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DDC72C" w14:textId="77777777" w:rsidR="000356E3" w:rsidRPr="001A7FA5" w:rsidRDefault="000356E3" w:rsidP="000356E3">
      <w:pPr>
        <w:spacing w:line="480" w:lineRule="auto"/>
        <w:jc w:val="center"/>
        <w:rPr>
          <w:rFonts w:cs="Arial"/>
          <w:b/>
          <w:color w:val="FF0000"/>
          <w:sz w:val="32"/>
          <w:szCs w:val="32"/>
        </w:rPr>
      </w:pPr>
      <w:r w:rsidRPr="001A7FA5">
        <w:rPr>
          <w:rFonts w:cs="Arial"/>
          <w:b/>
          <w:color w:val="FF0000"/>
          <w:sz w:val="32"/>
          <w:szCs w:val="32"/>
        </w:rPr>
        <w:t>META-ANALYSIS AND METAREGRESSION OF</w:t>
      </w:r>
      <w:r>
        <w:rPr>
          <w:rFonts w:cs="Arial"/>
          <w:b/>
          <w:color w:val="FF0000"/>
          <w:sz w:val="32"/>
          <w:szCs w:val="32"/>
        </w:rPr>
        <w:t xml:space="preserve"> RISK FACTORS ASSOCIATED WITH </w:t>
      </w:r>
      <w:r w:rsidRPr="001A7FA5">
        <w:rPr>
          <w:rFonts w:cs="Arial"/>
          <w:b/>
          <w:color w:val="FF0000"/>
          <w:sz w:val="32"/>
          <w:szCs w:val="32"/>
        </w:rPr>
        <w:t>MORTALITY IN HIP FRACTURE PATIENTS DURING THE COVID-19 PANDEMIC</w:t>
      </w:r>
    </w:p>
    <w:p w14:paraId="233FC86E" w14:textId="77777777" w:rsidR="00AF493E" w:rsidRDefault="00AF493E" w:rsidP="00AF493E">
      <w:r>
        <w:t>Firas J. Raheman*</w:t>
      </w:r>
      <w:r>
        <w:rPr>
          <w:vertAlign w:val="superscript"/>
        </w:rPr>
        <w:t>1</w:t>
      </w:r>
      <w:r>
        <w:t xml:space="preserve">, MBBS, MRCS, </w:t>
      </w:r>
      <w:proofErr w:type="spellStart"/>
      <w:r>
        <w:t>MAcadMed</w:t>
      </w:r>
      <w:proofErr w:type="spellEnd"/>
      <w:r>
        <w:t>, PGDip</w:t>
      </w:r>
    </w:p>
    <w:p w14:paraId="60F8DBC8" w14:textId="77777777" w:rsidR="00AF493E" w:rsidRDefault="00AF493E" w:rsidP="00AF493E">
      <w:r>
        <w:t>Djamila M. Rojoa</w:t>
      </w:r>
      <w:r>
        <w:rPr>
          <w:vertAlign w:val="superscript"/>
        </w:rPr>
        <w:t>1</w:t>
      </w:r>
      <w:r>
        <w:t>, MB ChB</w:t>
      </w:r>
    </w:p>
    <w:p w14:paraId="46146DDC" w14:textId="77777777" w:rsidR="00AF493E" w:rsidRDefault="00AF493E" w:rsidP="00AF493E">
      <w:proofErr w:type="spellStart"/>
      <w:r>
        <w:t>Jvalant</w:t>
      </w:r>
      <w:proofErr w:type="spellEnd"/>
      <w:r>
        <w:t xml:space="preserve"> Parekh</w:t>
      </w:r>
      <w:r>
        <w:rPr>
          <w:vertAlign w:val="superscript"/>
        </w:rPr>
        <w:t>1</w:t>
      </w:r>
      <w:r>
        <w:t>, MB ChB</w:t>
      </w:r>
    </w:p>
    <w:p w14:paraId="18C76179" w14:textId="77777777" w:rsidR="00AF493E" w:rsidRDefault="00AF493E" w:rsidP="00AF493E">
      <w:proofErr w:type="spellStart"/>
      <w:r>
        <w:t>Reshid</w:t>
      </w:r>
      <w:proofErr w:type="spellEnd"/>
      <w:r>
        <w:t xml:space="preserve"> Berber</w:t>
      </w:r>
      <w:r>
        <w:rPr>
          <w:vertAlign w:val="superscript"/>
        </w:rPr>
        <w:t>2</w:t>
      </w:r>
      <w:r>
        <w:t>, MBBS, BSC(Hons), FRCS(</w:t>
      </w:r>
      <w:proofErr w:type="spellStart"/>
      <w:r>
        <w:t>Tr&amp;Orth</w:t>
      </w:r>
      <w:proofErr w:type="spellEnd"/>
      <w:r>
        <w:t>), PhD</w:t>
      </w:r>
    </w:p>
    <w:p w14:paraId="33F31C8D" w14:textId="77777777" w:rsidR="00AF493E" w:rsidRDefault="00AF493E" w:rsidP="00AF493E">
      <w:r>
        <w:t>Robert Ashford</w:t>
      </w:r>
      <w:r>
        <w:rPr>
          <w:vertAlign w:val="superscript"/>
        </w:rPr>
        <w:t>1,3</w:t>
      </w:r>
      <w:r>
        <w:t>, MBBS, MD, FRCS(</w:t>
      </w:r>
      <w:proofErr w:type="spellStart"/>
      <w:r>
        <w:t>Tr&amp;Orth</w:t>
      </w:r>
      <w:proofErr w:type="spellEnd"/>
      <w:r>
        <w:t>)</w:t>
      </w:r>
    </w:p>
    <w:p w14:paraId="109B0C8A" w14:textId="77777777" w:rsidR="00AF493E" w:rsidRDefault="00AF493E" w:rsidP="00AF493E"/>
    <w:p w14:paraId="273CD044" w14:textId="77777777" w:rsidR="00AF493E" w:rsidRDefault="00AF493E" w:rsidP="00AF493E">
      <w:r>
        <w:rPr>
          <w:vertAlign w:val="superscript"/>
        </w:rPr>
        <w:t xml:space="preserve">1 </w:t>
      </w:r>
      <w:r>
        <w:t>The Leicester Royal Infirmary, University Hospitals of Leicester, UK</w:t>
      </w:r>
    </w:p>
    <w:p w14:paraId="630E9B24" w14:textId="77777777" w:rsidR="00AF493E" w:rsidRPr="00CE5774" w:rsidRDefault="00AF493E" w:rsidP="00AF493E">
      <w:r>
        <w:rPr>
          <w:vertAlign w:val="superscript"/>
        </w:rPr>
        <w:t>2</w:t>
      </w:r>
      <w:r>
        <w:t xml:space="preserve"> Nottingham University Hospitals, NHS Trust, UK</w:t>
      </w:r>
    </w:p>
    <w:p w14:paraId="42629722" w14:textId="5B4CD222" w:rsidR="00AF493E" w:rsidRDefault="00AF493E" w:rsidP="00AF493E">
      <w:r>
        <w:rPr>
          <w:vertAlign w:val="superscript"/>
        </w:rPr>
        <w:t xml:space="preserve">3 </w:t>
      </w:r>
      <w:r>
        <w:t>Leicester</w:t>
      </w:r>
      <w:r>
        <w:rPr>
          <w:vertAlign w:val="superscript"/>
        </w:rPr>
        <w:t xml:space="preserve"> </w:t>
      </w:r>
      <w:r>
        <w:t>Cancer Research Centre, University of Leicester, UK</w:t>
      </w:r>
    </w:p>
    <w:p w14:paraId="2D2659F0" w14:textId="33552222" w:rsidR="00AF493E" w:rsidRDefault="00AF493E" w:rsidP="00AF493E"/>
    <w:p w14:paraId="5CD12731" w14:textId="77777777" w:rsidR="00AF493E" w:rsidRPr="00CE5774" w:rsidRDefault="00AF493E" w:rsidP="00AF493E"/>
    <w:p w14:paraId="5985ADC2" w14:textId="77777777" w:rsidR="00485FC0" w:rsidRDefault="00485FC0"/>
    <w:tbl>
      <w:tblPr>
        <w:tblStyle w:val="TableGrid"/>
        <w:tblW w:w="16161" w:type="dxa"/>
        <w:tblInd w:w="-998" w:type="dxa"/>
        <w:tblLayout w:type="fixed"/>
        <w:tblLook w:val="04A0" w:firstRow="1" w:lastRow="0" w:firstColumn="1" w:lastColumn="0" w:noHBand="0" w:noVBand="1"/>
      </w:tblPr>
      <w:tblGrid>
        <w:gridCol w:w="1560"/>
        <w:gridCol w:w="2268"/>
        <w:gridCol w:w="1418"/>
        <w:gridCol w:w="1701"/>
        <w:gridCol w:w="1843"/>
        <w:gridCol w:w="1842"/>
        <w:gridCol w:w="1418"/>
        <w:gridCol w:w="1559"/>
        <w:gridCol w:w="1559"/>
        <w:gridCol w:w="993"/>
      </w:tblGrid>
      <w:tr w:rsidR="00EF7002" w:rsidRPr="00127DEF" w14:paraId="15199036" w14:textId="77777777" w:rsidTr="00A73F78">
        <w:tc>
          <w:tcPr>
            <w:tcW w:w="16161" w:type="dxa"/>
            <w:gridSpan w:val="10"/>
          </w:tcPr>
          <w:p w14:paraId="31776F07" w14:textId="77777777" w:rsidR="00EF7002" w:rsidRDefault="00EF7002" w:rsidP="00EF7002">
            <w:pPr>
              <w:tabs>
                <w:tab w:val="left" w:pos="-1080"/>
                <w:tab w:val="left" w:pos="-720"/>
                <w:tab w:val="left" w:pos="270"/>
              </w:tabs>
              <w:rPr>
                <w:sz w:val="22"/>
                <w:szCs w:val="22"/>
              </w:rPr>
            </w:pPr>
            <w:r>
              <w:rPr>
                <w:sz w:val="22"/>
                <w:szCs w:val="22"/>
              </w:rPr>
              <w:t>Supplementary t</w:t>
            </w:r>
            <w:r w:rsidRPr="00ED55F9">
              <w:rPr>
                <w:sz w:val="22"/>
                <w:szCs w:val="22"/>
              </w:rPr>
              <w:t>able. Shows the methodological quality assessment using the Newcastle-Ottawa Quality Assessment Scale (NOS)</w:t>
            </w:r>
            <w:r>
              <w:rPr>
                <w:sz w:val="22"/>
                <w:szCs w:val="22"/>
              </w:rPr>
              <w:t xml:space="preserve"> for case-control and cohort studies</w:t>
            </w:r>
            <w:r w:rsidRPr="00ED55F9">
              <w:rPr>
                <w:sz w:val="22"/>
                <w:szCs w:val="22"/>
              </w:rPr>
              <w:t>. Studies were awarded a maximum of</w:t>
            </w:r>
            <w:r>
              <w:rPr>
                <w:sz w:val="22"/>
                <w:szCs w:val="22"/>
              </w:rPr>
              <w:t xml:space="preserve"> one star for each numbered item within the Selection and Outcome categories. A maximum of two stars were given for Comparability.</w:t>
            </w:r>
          </w:p>
          <w:p w14:paraId="532A33FF" w14:textId="77777777" w:rsidR="00EF7002" w:rsidRPr="00127DEF" w:rsidRDefault="00EF7002" w:rsidP="00B806F5">
            <w:pPr>
              <w:rPr>
                <w:b/>
                <w:bCs/>
                <w:sz w:val="20"/>
                <w:szCs w:val="20"/>
              </w:rPr>
            </w:pPr>
          </w:p>
        </w:tc>
      </w:tr>
      <w:tr w:rsidR="00A6613E" w:rsidRPr="00127DEF" w14:paraId="3D6D46C4" w14:textId="77777777" w:rsidTr="00B806F5">
        <w:tc>
          <w:tcPr>
            <w:tcW w:w="1560" w:type="dxa"/>
          </w:tcPr>
          <w:p w14:paraId="24B20DB6" w14:textId="77777777" w:rsidR="00A6613E" w:rsidRPr="00127DEF" w:rsidRDefault="00A6613E" w:rsidP="00B806F5">
            <w:pPr>
              <w:rPr>
                <w:b/>
                <w:bCs/>
                <w:sz w:val="20"/>
                <w:szCs w:val="20"/>
              </w:rPr>
            </w:pPr>
            <w:r w:rsidRPr="00127DEF">
              <w:rPr>
                <w:b/>
                <w:bCs/>
                <w:sz w:val="20"/>
                <w:szCs w:val="20"/>
              </w:rPr>
              <w:t>Studies</w:t>
            </w:r>
          </w:p>
        </w:tc>
        <w:tc>
          <w:tcPr>
            <w:tcW w:w="7230" w:type="dxa"/>
            <w:gridSpan w:val="4"/>
          </w:tcPr>
          <w:p w14:paraId="5DC4D85B" w14:textId="77777777" w:rsidR="00A6613E" w:rsidRPr="00127DEF" w:rsidRDefault="00A6613E" w:rsidP="00B806F5">
            <w:pPr>
              <w:jc w:val="center"/>
              <w:rPr>
                <w:b/>
                <w:bCs/>
                <w:sz w:val="20"/>
                <w:szCs w:val="20"/>
              </w:rPr>
            </w:pPr>
            <w:r w:rsidRPr="00127DEF">
              <w:rPr>
                <w:b/>
                <w:bCs/>
                <w:sz w:val="20"/>
                <w:szCs w:val="20"/>
              </w:rPr>
              <w:t>Selection</w:t>
            </w:r>
          </w:p>
        </w:tc>
        <w:tc>
          <w:tcPr>
            <w:tcW w:w="1842" w:type="dxa"/>
          </w:tcPr>
          <w:p w14:paraId="63AD01B5" w14:textId="77777777" w:rsidR="00A6613E" w:rsidRPr="00127DEF" w:rsidRDefault="00A6613E" w:rsidP="00B806F5">
            <w:pPr>
              <w:rPr>
                <w:b/>
                <w:bCs/>
                <w:sz w:val="20"/>
                <w:szCs w:val="20"/>
              </w:rPr>
            </w:pPr>
            <w:r w:rsidRPr="00127DEF">
              <w:rPr>
                <w:b/>
                <w:bCs/>
                <w:sz w:val="20"/>
                <w:szCs w:val="20"/>
              </w:rPr>
              <w:t>Comparability</w:t>
            </w:r>
          </w:p>
        </w:tc>
        <w:tc>
          <w:tcPr>
            <w:tcW w:w="4536" w:type="dxa"/>
            <w:gridSpan w:val="3"/>
          </w:tcPr>
          <w:p w14:paraId="7F27771C" w14:textId="77777777" w:rsidR="00A6613E" w:rsidRPr="00127DEF" w:rsidRDefault="00A6613E" w:rsidP="00B806F5">
            <w:pPr>
              <w:jc w:val="center"/>
              <w:rPr>
                <w:b/>
                <w:bCs/>
                <w:sz w:val="20"/>
                <w:szCs w:val="20"/>
              </w:rPr>
            </w:pPr>
            <w:r w:rsidRPr="00127DEF">
              <w:rPr>
                <w:b/>
                <w:bCs/>
                <w:sz w:val="20"/>
                <w:szCs w:val="20"/>
              </w:rPr>
              <w:t>Exposure</w:t>
            </w:r>
          </w:p>
        </w:tc>
        <w:tc>
          <w:tcPr>
            <w:tcW w:w="993" w:type="dxa"/>
          </w:tcPr>
          <w:p w14:paraId="28115EC4" w14:textId="77777777" w:rsidR="00A6613E" w:rsidRPr="00127DEF" w:rsidRDefault="00A6613E" w:rsidP="00B806F5">
            <w:pPr>
              <w:rPr>
                <w:b/>
                <w:bCs/>
                <w:sz w:val="20"/>
                <w:szCs w:val="20"/>
              </w:rPr>
            </w:pPr>
            <w:r w:rsidRPr="00127DEF">
              <w:rPr>
                <w:b/>
                <w:bCs/>
                <w:sz w:val="20"/>
                <w:szCs w:val="20"/>
              </w:rPr>
              <w:t>Total Quality Score</w:t>
            </w:r>
          </w:p>
        </w:tc>
      </w:tr>
      <w:tr w:rsidR="00A6613E" w:rsidRPr="00127DEF" w14:paraId="05E7300A" w14:textId="77777777" w:rsidTr="00B806F5">
        <w:tc>
          <w:tcPr>
            <w:tcW w:w="1560" w:type="dxa"/>
          </w:tcPr>
          <w:p w14:paraId="2440A492" w14:textId="77777777" w:rsidR="00A6613E" w:rsidRPr="00127DEF" w:rsidRDefault="00A6613E" w:rsidP="00B806F5">
            <w:pPr>
              <w:rPr>
                <w:b/>
                <w:bCs/>
                <w:sz w:val="20"/>
                <w:szCs w:val="20"/>
              </w:rPr>
            </w:pPr>
            <w:r w:rsidRPr="00127DEF">
              <w:rPr>
                <w:b/>
                <w:bCs/>
                <w:sz w:val="20"/>
                <w:szCs w:val="20"/>
              </w:rPr>
              <w:t>Author, year</w:t>
            </w:r>
          </w:p>
        </w:tc>
        <w:tc>
          <w:tcPr>
            <w:tcW w:w="2268" w:type="dxa"/>
          </w:tcPr>
          <w:p w14:paraId="5EF646EF" w14:textId="77777777" w:rsidR="00A6613E" w:rsidRPr="00127DEF" w:rsidRDefault="00A6613E" w:rsidP="00B806F5">
            <w:pPr>
              <w:rPr>
                <w:b/>
                <w:bCs/>
                <w:sz w:val="20"/>
                <w:szCs w:val="20"/>
              </w:rPr>
            </w:pPr>
            <w:r w:rsidRPr="00127DEF">
              <w:rPr>
                <w:b/>
                <w:bCs/>
                <w:sz w:val="20"/>
                <w:szCs w:val="20"/>
              </w:rPr>
              <w:t>Representativeness of the exposed cohort</w:t>
            </w:r>
          </w:p>
        </w:tc>
        <w:tc>
          <w:tcPr>
            <w:tcW w:w="1418" w:type="dxa"/>
          </w:tcPr>
          <w:p w14:paraId="290C2D1F" w14:textId="77777777" w:rsidR="00A6613E" w:rsidRPr="00127DEF" w:rsidRDefault="00A6613E" w:rsidP="00B806F5">
            <w:pPr>
              <w:rPr>
                <w:b/>
                <w:bCs/>
                <w:sz w:val="20"/>
                <w:szCs w:val="20"/>
              </w:rPr>
            </w:pPr>
            <w:r w:rsidRPr="00127DEF">
              <w:rPr>
                <w:b/>
                <w:bCs/>
                <w:sz w:val="20"/>
                <w:szCs w:val="20"/>
              </w:rPr>
              <w:t>Selection of non-exposed cohort</w:t>
            </w:r>
          </w:p>
        </w:tc>
        <w:tc>
          <w:tcPr>
            <w:tcW w:w="1701" w:type="dxa"/>
          </w:tcPr>
          <w:p w14:paraId="532BC01F" w14:textId="77777777" w:rsidR="00A6613E" w:rsidRPr="00127DEF" w:rsidRDefault="00A6613E" w:rsidP="00B806F5">
            <w:pPr>
              <w:rPr>
                <w:b/>
                <w:bCs/>
                <w:sz w:val="20"/>
                <w:szCs w:val="20"/>
              </w:rPr>
            </w:pPr>
            <w:r w:rsidRPr="00127DEF">
              <w:rPr>
                <w:b/>
                <w:bCs/>
                <w:sz w:val="20"/>
                <w:szCs w:val="20"/>
              </w:rPr>
              <w:t>Ascertainment of exposure</w:t>
            </w:r>
          </w:p>
        </w:tc>
        <w:tc>
          <w:tcPr>
            <w:tcW w:w="1843" w:type="dxa"/>
          </w:tcPr>
          <w:p w14:paraId="50765880" w14:textId="77777777" w:rsidR="00A6613E" w:rsidRPr="00127DEF" w:rsidRDefault="00A6613E" w:rsidP="00B806F5">
            <w:pPr>
              <w:rPr>
                <w:b/>
                <w:bCs/>
                <w:sz w:val="20"/>
                <w:szCs w:val="20"/>
              </w:rPr>
            </w:pPr>
            <w:r w:rsidRPr="00127DEF">
              <w:rPr>
                <w:b/>
                <w:bCs/>
                <w:sz w:val="20"/>
                <w:szCs w:val="20"/>
              </w:rPr>
              <w:t>Demonstration of outcome of interest was not present at start of study</w:t>
            </w:r>
          </w:p>
        </w:tc>
        <w:tc>
          <w:tcPr>
            <w:tcW w:w="1842" w:type="dxa"/>
          </w:tcPr>
          <w:p w14:paraId="672E0E46" w14:textId="77777777" w:rsidR="00A6613E" w:rsidRPr="00127DEF" w:rsidRDefault="00A6613E" w:rsidP="00B806F5">
            <w:pPr>
              <w:rPr>
                <w:b/>
                <w:bCs/>
                <w:sz w:val="20"/>
                <w:szCs w:val="20"/>
              </w:rPr>
            </w:pPr>
            <w:r w:rsidRPr="00127DEF">
              <w:rPr>
                <w:b/>
                <w:bCs/>
                <w:sz w:val="20"/>
                <w:szCs w:val="20"/>
              </w:rPr>
              <w:t>Comparability of cohorts on the bases of the designs or analysis</w:t>
            </w:r>
          </w:p>
        </w:tc>
        <w:tc>
          <w:tcPr>
            <w:tcW w:w="1418" w:type="dxa"/>
          </w:tcPr>
          <w:p w14:paraId="6CE68338" w14:textId="77777777" w:rsidR="00A6613E" w:rsidRPr="00127DEF" w:rsidRDefault="00A6613E" w:rsidP="00B806F5">
            <w:pPr>
              <w:rPr>
                <w:b/>
                <w:bCs/>
                <w:sz w:val="20"/>
                <w:szCs w:val="20"/>
              </w:rPr>
            </w:pPr>
            <w:r w:rsidRPr="00127DEF">
              <w:rPr>
                <w:b/>
                <w:bCs/>
                <w:sz w:val="20"/>
                <w:szCs w:val="20"/>
              </w:rPr>
              <w:t>Assessment of outcome</w:t>
            </w:r>
          </w:p>
        </w:tc>
        <w:tc>
          <w:tcPr>
            <w:tcW w:w="1559" w:type="dxa"/>
          </w:tcPr>
          <w:p w14:paraId="6244FBD8" w14:textId="77777777" w:rsidR="00A6613E" w:rsidRPr="00127DEF" w:rsidRDefault="00A6613E" w:rsidP="00B806F5">
            <w:pPr>
              <w:rPr>
                <w:b/>
                <w:bCs/>
                <w:sz w:val="20"/>
                <w:szCs w:val="20"/>
              </w:rPr>
            </w:pPr>
            <w:r w:rsidRPr="00127DEF">
              <w:rPr>
                <w:b/>
                <w:bCs/>
                <w:sz w:val="20"/>
                <w:szCs w:val="20"/>
              </w:rPr>
              <w:t>Was follow-up long enough for outcomes to occur</w:t>
            </w:r>
          </w:p>
        </w:tc>
        <w:tc>
          <w:tcPr>
            <w:tcW w:w="1559" w:type="dxa"/>
          </w:tcPr>
          <w:p w14:paraId="0B7E7B18" w14:textId="77777777" w:rsidR="00A6613E" w:rsidRPr="00127DEF" w:rsidRDefault="00A6613E" w:rsidP="00B806F5">
            <w:pPr>
              <w:rPr>
                <w:b/>
                <w:bCs/>
                <w:sz w:val="20"/>
                <w:szCs w:val="20"/>
              </w:rPr>
            </w:pPr>
            <w:r w:rsidRPr="00127DEF">
              <w:rPr>
                <w:b/>
                <w:bCs/>
                <w:sz w:val="20"/>
                <w:szCs w:val="20"/>
              </w:rPr>
              <w:t>Adequacy of follow up of cohorts</w:t>
            </w:r>
          </w:p>
        </w:tc>
        <w:tc>
          <w:tcPr>
            <w:tcW w:w="993" w:type="dxa"/>
          </w:tcPr>
          <w:p w14:paraId="0E44F13B" w14:textId="77777777" w:rsidR="00A6613E" w:rsidRPr="00127DEF" w:rsidRDefault="00A6613E" w:rsidP="00B806F5">
            <w:pPr>
              <w:rPr>
                <w:b/>
                <w:bCs/>
                <w:sz w:val="20"/>
                <w:szCs w:val="20"/>
              </w:rPr>
            </w:pPr>
          </w:p>
        </w:tc>
      </w:tr>
      <w:tr w:rsidR="00A6613E" w:rsidRPr="00127DEF" w14:paraId="2D55889C" w14:textId="77777777" w:rsidTr="00B806F5">
        <w:tc>
          <w:tcPr>
            <w:tcW w:w="16161" w:type="dxa"/>
            <w:gridSpan w:val="10"/>
          </w:tcPr>
          <w:p w14:paraId="112AADAD" w14:textId="77777777" w:rsidR="00A6613E" w:rsidRPr="00127DEF" w:rsidRDefault="00A6613E" w:rsidP="00B806F5">
            <w:pPr>
              <w:jc w:val="center"/>
              <w:rPr>
                <w:b/>
                <w:bCs/>
                <w:sz w:val="20"/>
                <w:szCs w:val="20"/>
              </w:rPr>
            </w:pPr>
            <w:r w:rsidRPr="00127DEF">
              <w:rPr>
                <w:b/>
                <w:bCs/>
                <w:sz w:val="20"/>
                <w:szCs w:val="20"/>
              </w:rPr>
              <w:t>Case-series reporting on COVID-19 positive patients only</w:t>
            </w:r>
          </w:p>
        </w:tc>
      </w:tr>
      <w:tr w:rsidR="00A6613E" w:rsidRPr="00127DEF" w14:paraId="0C53A7E3" w14:textId="77777777" w:rsidTr="00B806F5">
        <w:tc>
          <w:tcPr>
            <w:tcW w:w="1560" w:type="dxa"/>
          </w:tcPr>
          <w:p w14:paraId="45669C71" w14:textId="77777777" w:rsidR="00A6613E" w:rsidRPr="00127DEF" w:rsidRDefault="00A6613E" w:rsidP="00B806F5">
            <w:pPr>
              <w:rPr>
                <w:sz w:val="20"/>
                <w:szCs w:val="20"/>
              </w:rPr>
            </w:pPr>
            <w:proofErr w:type="spellStart"/>
            <w:r w:rsidRPr="00127DEF">
              <w:rPr>
                <w:sz w:val="20"/>
                <w:szCs w:val="20"/>
              </w:rPr>
              <w:t>Catellani</w:t>
            </w:r>
            <w:proofErr w:type="spellEnd"/>
            <w:r w:rsidRPr="00127DEF">
              <w:rPr>
                <w:sz w:val="20"/>
                <w:szCs w:val="20"/>
              </w:rPr>
              <w:t xml:space="preserve"> 2020 </w:t>
            </w:r>
            <w:r w:rsidRPr="00127DEF">
              <w:rPr>
                <w:sz w:val="20"/>
                <w:szCs w:val="20"/>
              </w:rPr>
              <w:fldChar w:fldCharType="begin"/>
            </w:r>
            <w:r w:rsidRPr="00127DEF">
              <w:rPr>
                <w:sz w:val="20"/>
                <w:szCs w:val="20"/>
              </w:rPr>
              <w:instrText xml:space="preserve"> ADDIN ZOTERO_ITEM CSL_CITATION {"citationID":"9aXPyrN9","properties":{"formattedCitation":"(27)","plainCitation":"(27)","noteIndex":0},"citationItems":[{"id":479,"uris":["http://zotero.org/users/local/Tj9AEhkp/items/G2UZM9ED"],"uri":["http://zotero.org/users/local/Tj9AEhkp/items/G2UZM9ED"],"itemData":{"id":479,"type":"article-journal","abstract":"BACKGROUND: From February 20 to April 2020, the coronavirus SARS (severe acute respiratory syndrome)-CoV-2 spread in northern Italy, drastically challenging the care capacities of the national health care system. Unprepared for this emergency, hospitals have quickly reformulated paths of assistance in an effort to guarantee treatment for infected patients. Orthopaedic departments have been focused on elderly traumatology, especially the treatment of femoral neck fractures in patients with coronavirus disease-2019 (COVID-19). The purpose of the present study was to evaluate the orthopaedic management strategy for femoral fragility fractures in COVID-19-positive patients with the hypothesis that operative treatment may contribute to the overall stability of the patient. &lt;br/&gt;METHOD(S): Sixteen patients affected by proximal femoral fracture and a recent history of fever, shortness of breath, and desaturation were admitted to the emergency room. Thoracic computed tomography (CT) and oropharyngeal swabs confirmed that they were positive for COVID-19, requiring hospitalization and prophylaxis with low-molecular-weight heparin. &lt;br/&gt;RESULT(S): Three patients died before surgery because of severe respiratory insufficiency and multiple-organ-failure syndrome. Ten patients underwent surgery on the day after admission, whereas 3 patients had suspended their use of direct thrombin inhibitors and needed surgery to be delayed until the third day after admission. In all patients except 1, we noted an improvement in terms of O2 saturation and assisted respiration. In 9 patients, hemodynamic and respiratory stability was observed at an average of 7 days postoperatively. Four patients who underwent surgical treatment died of respiratory failure on the first day after surgery (1 patient), the third day after surgery (2 patients), or the seventh day after surgery (1 patient). &lt;br/&gt;CONCLUSION(S): We noted a stabilization of respiratory parameters in 12 COVID-19-positive patients who underwent surgery treatment of proximal femoral fractures. We believe that in elderly patients with COVID-19 who have proximal femoral fractures, surgery may contribute to the overall stability of the patient, seated mobilization, improvement in physiological ventilation, and general patient comfort in bed. LEVEL OF EVIDENCE: Prognostic Level IV. See Instructions for Authors for a complete description of levels of evidence.","container-title":"The Journal of bone and joint surgery. American volume","issue":"12","journalAbbreviation":"The Journal of bone and joint surgery. American volume","note":"publisher: NLM (Medline)","source":"EMBASE","title":"Treatment of Proximal Femoral Fragility Fractures in Patients with COVID-19 During the SARS-CoV-2 Outbreak in Northern Italy","volume":"102","author":[{"literal":"Catellani F."},{"literal":"Coscione A."},{"literal":"Usai L."},{"literal":"Roscitano C."},{"literal":"Fiorentino G."},{"literal":"D'Ambrosi R."}],"issued":{"date-parts":[["2020",6]]}}}],"schema":"https://github.com/citation-style-language/schema/raw/master/csl-citation.json"} </w:instrText>
            </w:r>
            <w:r w:rsidRPr="00127DEF">
              <w:rPr>
                <w:sz w:val="20"/>
                <w:szCs w:val="20"/>
              </w:rPr>
              <w:fldChar w:fldCharType="separate"/>
            </w:r>
            <w:r w:rsidRPr="00127DEF">
              <w:rPr>
                <w:noProof/>
                <w:sz w:val="20"/>
                <w:szCs w:val="20"/>
              </w:rPr>
              <w:t>(27)</w:t>
            </w:r>
            <w:r w:rsidRPr="00127DEF">
              <w:rPr>
                <w:sz w:val="20"/>
                <w:szCs w:val="20"/>
              </w:rPr>
              <w:fldChar w:fldCharType="end"/>
            </w:r>
          </w:p>
        </w:tc>
        <w:tc>
          <w:tcPr>
            <w:tcW w:w="2268" w:type="dxa"/>
          </w:tcPr>
          <w:p w14:paraId="0C8C77BE" w14:textId="77777777" w:rsidR="00A6613E" w:rsidRPr="00127DEF" w:rsidRDefault="00A6613E" w:rsidP="00B806F5">
            <w:pPr>
              <w:rPr>
                <w:sz w:val="20"/>
                <w:szCs w:val="20"/>
              </w:rPr>
            </w:pPr>
            <w:r w:rsidRPr="00127DEF">
              <w:rPr>
                <w:sz w:val="20"/>
                <w:szCs w:val="20"/>
              </w:rPr>
              <w:t>*</w:t>
            </w:r>
          </w:p>
        </w:tc>
        <w:tc>
          <w:tcPr>
            <w:tcW w:w="1418" w:type="dxa"/>
          </w:tcPr>
          <w:p w14:paraId="03DA5B97" w14:textId="5D3FB3DA" w:rsidR="00A6613E" w:rsidRPr="00127DEF" w:rsidRDefault="00A6613E" w:rsidP="00B806F5">
            <w:pPr>
              <w:rPr>
                <w:sz w:val="20"/>
                <w:szCs w:val="20"/>
              </w:rPr>
            </w:pPr>
            <w:r w:rsidRPr="00127DEF">
              <w:rPr>
                <w:sz w:val="20"/>
                <w:szCs w:val="20"/>
              </w:rPr>
              <w:t>No</w:t>
            </w:r>
            <w:r>
              <w:rPr>
                <w:sz w:val="20"/>
                <w:szCs w:val="20"/>
              </w:rPr>
              <w:t>ne</w:t>
            </w:r>
          </w:p>
        </w:tc>
        <w:tc>
          <w:tcPr>
            <w:tcW w:w="1701" w:type="dxa"/>
          </w:tcPr>
          <w:p w14:paraId="6AF85FBB" w14:textId="77777777" w:rsidR="00A6613E" w:rsidRPr="00127DEF" w:rsidRDefault="00A6613E" w:rsidP="00B806F5">
            <w:pPr>
              <w:rPr>
                <w:sz w:val="20"/>
                <w:szCs w:val="20"/>
              </w:rPr>
            </w:pPr>
            <w:r w:rsidRPr="00127DEF">
              <w:rPr>
                <w:sz w:val="20"/>
                <w:szCs w:val="20"/>
              </w:rPr>
              <w:t>*</w:t>
            </w:r>
          </w:p>
        </w:tc>
        <w:tc>
          <w:tcPr>
            <w:tcW w:w="1843" w:type="dxa"/>
          </w:tcPr>
          <w:p w14:paraId="557D8BC2" w14:textId="77777777" w:rsidR="00A6613E" w:rsidRPr="00127DEF" w:rsidRDefault="00A6613E" w:rsidP="00B806F5">
            <w:pPr>
              <w:rPr>
                <w:sz w:val="20"/>
                <w:szCs w:val="20"/>
              </w:rPr>
            </w:pPr>
            <w:r w:rsidRPr="00127DEF">
              <w:rPr>
                <w:sz w:val="20"/>
                <w:szCs w:val="20"/>
              </w:rPr>
              <w:t>*</w:t>
            </w:r>
          </w:p>
        </w:tc>
        <w:tc>
          <w:tcPr>
            <w:tcW w:w="1842" w:type="dxa"/>
          </w:tcPr>
          <w:p w14:paraId="4C677102" w14:textId="77777777" w:rsidR="00A6613E" w:rsidRPr="00127DEF" w:rsidRDefault="00A6613E" w:rsidP="00B806F5">
            <w:pPr>
              <w:rPr>
                <w:sz w:val="20"/>
                <w:szCs w:val="20"/>
              </w:rPr>
            </w:pPr>
            <w:r w:rsidRPr="00127DEF">
              <w:rPr>
                <w:sz w:val="20"/>
                <w:szCs w:val="20"/>
              </w:rPr>
              <w:t>**</w:t>
            </w:r>
          </w:p>
        </w:tc>
        <w:tc>
          <w:tcPr>
            <w:tcW w:w="1418" w:type="dxa"/>
          </w:tcPr>
          <w:p w14:paraId="37674A45" w14:textId="77777777" w:rsidR="00A6613E" w:rsidRPr="00127DEF" w:rsidRDefault="00A6613E" w:rsidP="00B806F5">
            <w:pPr>
              <w:rPr>
                <w:sz w:val="20"/>
                <w:szCs w:val="20"/>
              </w:rPr>
            </w:pPr>
            <w:r w:rsidRPr="00127DEF">
              <w:rPr>
                <w:sz w:val="20"/>
                <w:szCs w:val="20"/>
              </w:rPr>
              <w:t>*</w:t>
            </w:r>
          </w:p>
        </w:tc>
        <w:tc>
          <w:tcPr>
            <w:tcW w:w="1559" w:type="dxa"/>
          </w:tcPr>
          <w:p w14:paraId="10990C2A" w14:textId="77777777" w:rsidR="00A6613E" w:rsidRPr="00127DEF" w:rsidRDefault="00A6613E" w:rsidP="00B806F5">
            <w:pPr>
              <w:rPr>
                <w:sz w:val="20"/>
                <w:szCs w:val="20"/>
              </w:rPr>
            </w:pPr>
            <w:r w:rsidRPr="00127DEF">
              <w:rPr>
                <w:sz w:val="20"/>
                <w:szCs w:val="20"/>
              </w:rPr>
              <w:t>-</w:t>
            </w:r>
          </w:p>
        </w:tc>
        <w:tc>
          <w:tcPr>
            <w:tcW w:w="1559" w:type="dxa"/>
          </w:tcPr>
          <w:p w14:paraId="5A746B97" w14:textId="77777777" w:rsidR="00A6613E" w:rsidRPr="00127DEF" w:rsidRDefault="00A6613E" w:rsidP="00B806F5">
            <w:pPr>
              <w:rPr>
                <w:sz w:val="20"/>
                <w:szCs w:val="20"/>
              </w:rPr>
            </w:pPr>
            <w:r w:rsidRPr="00127DEF">
              <w:rPr>
                <w:sz w:val="20"/>
                <w:szCs w:val="20"/>
              </w:rPr>
              <w:t>-</w:t>
            </w:r>
          </w:p>
        </w:tc>
        <w:tc>
          <w:tcPr>
            <w:tcW w:w="993" w:type="dxa"/>
          </w:tcPr>
          <w:p w14:paraId="3F5072DF" w14:textId="77777777" w:rsidR="00A6613E" w:rsidRPr="00127DEF" w:rsidRDefault="00A6613E" w:rsidP="00B806F5">
            <w:pPr>
              <w:rPr>
                <w:sz w:val="20"/>
                <w:szCs w:val="20"/>
              </w:rPr>
            </w:pPr>
            <w:r w:rsidRPr="00127DEF">
              <w:rPr>
                <w:sz w:val="20"/>
                <w:szCs w:val="20"/>
              </w:rPr>
              <w:t>6</w:t>
            </w:r>
          </w:p>
        </w:tc>
      </w:tr>
      <w:tr w:rsidR="00A6613E" w:rsidRPr="00127DEF" w14:paraId="0C873A84" w14:textId="77777777" w:rsidTr="00B806F5">
        <w:tc>
          <w:tcPr>
            <w:tcW w:w="1560" w:type="dxa"/>
          </w:tcPr>
          <w:p w14:paraId="005C5EE6"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Cheung 2020 </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ADDIN ZOTERO_ITEM CSL_CITATION {"citationID":"i738mi9A","properties":{"formattedCitation":"(62)","plainCitation":"(62)","noteIndex":0},"citationItems":[{"id":1034,"uris":["http://zotero.org/users/local/Tj9AEhkp/items/R562QF6V"],"uri":["http://zotero.org/users/local/Tj9AEhkp/items/R562QF6V"],"itemData":{"id":1034,"type":"article-journal","abstract":"Introduction\nThe COVID-19 pandemic has spread globally and placed healthcare systems under substantial strain. Hip fracture patients represent a high-risk population for severe COVID-19 symptoms, as they are generally older with multiple medical comorbidities. There has been limited information available on the presenting characteristics and outcomes of COVID-positive patients with hip fractures who undergo surgical treatment.\n\nMethods\nThis was a retrospective study of 10 patients ≥60 years of age with a hip fracture and COVID-19 who underwent surgical treatment in New York City during the COVID-19 outbreak from March 1, 2020 to May 22, 2020. Clinical characteristics and early postoperative outcomes were reported.\n\nResults\nEight out of the 10 COVID-positive hip fracture patients in our series were asymptomatic on admission with no clinical signs or symptoms of COVID-19 infection. Only 2 patients presented with hypoxia. All 10 patients underwent surgery within 2 days of admission. Five out of the 10 patients – including the patients who presented with hypoxia – subsequently required supplemental oxygen postoperatively. Two patients had persistently elevated oxygen demands requiring prolonged administration of supplemental oxygen therapy beyond postoperative day 3. None of the patients were put on mechanical ventilation. One patient had a presumed venous thromboembolism postoperatively and subsequently died on postoperative day 19, likely due to respiratory failure. There were no other deaths in the early postoperative period. The average length of inpatient stay was 7.8 days.\n\nConclusions\nOur findings suggest that hip fracture patients who present with asymptomatic or mild COVID-19 infection may have temporarily increased oxygen demands postoperatively, but they can safely undergo early surgical intervention after appropriate medical optimization.","container-title":"Journal of Orthopaedics","DOI":"10.1016/j.jor.2020.06.003","ISSN":"0972-978X","journalAbbreviation":"J Orthop","note":"PMID: 32549692\nPMCID: PMC7274993","page":"291-296","source":"PubMed Central","title":"Early outcomes after hip fracture surgery in COVID-19 patients in New York City","volume":"21","author":[{"family":"Cheung","given":"Zoe B."},{"family":"Forsh","given":"David A."}],"issued":{"date-parts":[["2020"]]}}}],"schema":"https://github.com/citation-style-language/schema/raw/master/csl-citation.json"} </w:instrTex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127DEF">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(62)</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c>
          <w:tcPr>
            <w:tcW w:w="2268" w:type="dxa"/>
          </w:tcPr>
          <w:p w14:paraId="72B15034"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175ED301" w14:textId="09C154B2"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sz w:val="20"/>
                <w:szCs w:val="20"/>
              </w:rPr>
              <w:t>No</w:t>
            </w:r>
            <w:r>
              <w:rPr>
                <w:sz w:val="20"/>
                <w:szCs w:val="20"/>
              </w:rPr>
              <w:t>ne</w:t>
            </w:r>
          </w:p>
        </w:tc>
        <w:tc>
          <w:tcPr>
            <w:tcW w:w="1701" w:type="dxa"/>
          </w:tcPr>
          <w:p w14:paraId="2BD195D2"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3" w:type="dxa"/>
          </w:tcPr>
          <w:p w14:paraId="226D6591"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2" w:type="dxa"/>
          </w:tcPr>
          <w:p w14:paraId="59DE4211"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3E997093"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1F808E8C"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21E94DDA"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993" w:type="dxa"/>
          </w:tcPr>
          <w:p w14:paraId="0E5C787E"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A6613E" w:rsidRPr="00127DEF" w14:paraId="103D96E9" w14:textId="77777777" w:rsidTr="00B806F5">
        <w:tc>
          <w:tcPr>
            <w:tcW w:w="1560" w:type="dxa"/>
          </w:tcPr>
          <w:p w14:paraId="3ADC8B08"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2020 </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ADDIN ZOTERO_ITEM CSL_CITATION {"citationID":"X2V9UU1d","properties":{"formattedCitation":"(34)","plainCitation":"(34)","noteIndex":0},"citationItems":[{"id":537,"uris":["http://zotero.org/users/local/Tj9AEhkp/items/6DJNCFJ2"],"uri":["http://zotero.org/users/local/Tj9AEhkp/items/6DJNCFJ2"],"itemData":{"id":537,"type":"article-journal","abstract":"Aim: This UK based multi-centre study reports clinical characteristics, early outcomes and predictors of mortality in 34 consecutive COVID-19-positive hip fractures so that the lessons learnt could be utilised in other parts of World who are at a different phase of the pandemic. &lt;br/&gt;Method(s): This study analysed patient admitted with hip fractures with COVID positive swabs, between March and May'2020 in three large hospitals covering a population of nearly two million. Data was collected on demographic profile, peri-operative variables, post-operative complications and mortality. The specific aim was to identify any variables, which could predict high 30-day mortality. &lt;br/&gt;Result(s): Overall, 12% of hip fractures were COVID positive with the mortality rate of 41.2%. The higher age (p = 0.036) and male gender (p = 0.025) was significantly associated with mortality and most of the deaths were between American Society of Anaesthesiologists (ASA) grade 3 and 4 patients. The patients having intramedullary (IM) nailing were more likely to die (p = 0.02). There was no difference in laboratory parameters but there was significant difference in findings on chest radiographs (p &amp;lt; 0.001), post-operative oxygen requirements (p = 0.006) and early respiratory complications (p = 0.006). &lt;br/&gt;Conclusion(s): This study suggests that the mortality following surgery for a hip fracture in COVID-positive patients is strikingly high and is associated with higher age and male gender. Higher mortality has been observed for extracapsular fracture operated with intramedullary nailing. In the immediate post-operative period, rapid deterioration of chest imaging, higher oxygen requirement and early pulmonary complications can serve as warning signs and predicting factors for higher mortality.&lt;br/&gt;Copyright &amp;#xa9; 2020, Indian Orthopaedics Association.","container-title":"Indian Journal of Orthopaedics","journalAbbreviation":"Indian Journal of Orthopaedics","note":"publisher: Springer","source":"EMCARE","title":"Peri-operative Outcomes and Predictors of Mortality in COVID-19 Positive Patients with Hip Fractures: A Multicentre Study in the UK","author":[{"literal":"De C."},{"literal":"Gulati A."},{"literal":"Wignall A."},{"literal":"Aderinto J."},{"literal":"Pandit H."},{"literal":"Palan J."},{"literal":"Giannoudis V."},{"literal":"Jimenez A."},{"literal":"Sturdee S."}],"issued":{"date-parts":[["2020"]]}}}],"schema":"https://github.com/citation-style-language/schema/raw/master/csl-citation.json"} </w:instrTex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127DEF">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(34)</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c>
          <w:tcPr>
            <w:tcW w:w="2268" w:type="dxa"/>
          </w:tcPr>
          <w:p w14:paraId="39CE8AC6"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43AE91BD" w14:textId="625D8001"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sz w:val="20"/>
                <w:szCs w:val="20"/>
              </w:rPr>
              <w:t>No</w:t>
            </w:r>
            <w:r>
              <w:rPr>
                <w:sz w:val="20"/>
                <w:szCs w:val="20"/>
              </w:rPr>
              <w:t>ne</w:t>
            </w:r>
          </w:p>
        </w:tc>
        <w:tc>
          <w:tcPr>
            <w:tcW w:w="1701" w:type="dxa"/>
          </w:tcPr>
          <w:p w14:paraId="1B19E843"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3" w:type="dxa"/>
          </w:tcPr>
          <w:p w14:paraId="4BF01BB2"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2" w:type="dxa"/>
          </w:tcPr>
          <w:p w14:paraId="55634ED5"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5DD4330B"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30B71BE4"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7BB5CD12"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993" w:type="dxa"/>
          </w:tcPr>
          <w:p w14:paraId="0889242D"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A6613E" w:rsidRPr="00127DEF" w14:paraId="75C895FE" w14:textId="77777777" w:rsidTr="00B806F5">
        <w:tc>
          <w:tcPr>
            <w:tcW w:w="1560" w:type="dxa"/>
          </w:tcPr>
          <w:p w14:paraId="25D323D7"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Dupley 2020 </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ADDIN ZOTERO_ITEM CSL_CITATION {"citationID":"MIfbcQvS","properties":{"formattedCitation":"(35)","plainCitation":"(35)","noteIndex":0},"citationItems":[{"id":399,"uris":["http://zotero.org/users/local/Tj9AEhkp/items/TJ2DUHKW"],"uri":["http://zotero.org/users/local/Tj9AEhkp/items/TJ2DUHKW"],"itemData":{"id":399,"type":"article-journal","abstract":"Introduction: Risk factors for mortality associated with COVID-19 have been reported to include increased age, male sex and certain comorbidities. Fracture neck of femur (NOF) patients is high-risk surgical patients, often with multiple comorbidities and advanced age. We quantify the 30-day mortality rate in fractured NOF patients with a positive peri-operative COVID-19 antigen test and identify risk factors for increased mortality. &lt;br/&gt;Method(s): This is a retrospective multi-centre review of all patients admitted with a fractured NOF and a confirmed laboratory diagnosis of COVID-19 between 1 March and 26 April 2020. Demographic data, comorbidities, ASA grade and date of death (if applicable) were collected. &lt;br/&gt;Result(s): There were 64 patients in the cohort with an overall 30-day mortality rate of 32.8% (n = 21). Thirty-five (55%) were female, and mean age was 83 (SD 9, range 46-100) years. There was significantly increased mortality for those with a history of myocardial infarction (p = 0.03). Sixty-four percent of patients underwent surgery within the 36-h target, which is comparable to previous data for the same time of year. Overall mortality increased to 50% (n = 32) at 45 days post-operatively. &lt;br/&gt;Conclusion(s): This is a large review of 30-day mortality in NOF patients with concurrent COVID-19 infection. We report a substantial increase from the pre-COVID-19 mean 30-day mortality rate (6.5% in 2019). We highlight the need for counselling patients when presenting with a NOF in relation to peri-operative COVID-19 infection and the associated increased risks.&lt;br/&gt;Copyright &amp;#xa9; 2020, Springer-Verlag France SAS, part of Springer Nature.","container-title":"European Journal of Orthopaedic Surgery and Traumatology","journalAbbreviation":"European Journal of Orthopaedic Surgery and Traumatology","note":"publisher: Springer (E-mail: springer@springer.it)","source":"EMBASE","title":"30-day mortality for fractured neck of femur patients with concurrent COVID-19 infection","author":[{"literal":"Dupley L."},{"literal":"Oputa T.J."},{"literal":"Bourne J.T."},{"literal":"Lum J."},{"literal":"Hodhody G."},{"literal":"Rogers S."},{"literal":"Mcloughlin K."},{"literal":"Murphy L."},{"literal":"Konarski A."},{"literal":"Almari F."},{"literal":"Greenhalgh M.S."},{"literal":"Collins T."},{"literal":"Bhatty U.N."},{"literal":"Tang A."},{"literal":"Ranson J."},{"literal":"Sharrock M."},{"literal":"Vernon O."},{"literal":"Myatt D."}],"issued":{"date-parts":[["2020"]]}}}],"schema":"https://github.com/citation-style-language/schema/raw/master/csl-citation.json"} </w:instrTex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127DEF">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(35)</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c>
          <w:tcPr>
            <w:tcW w:w="2268" w:type="dxa"/>
          </w:tcPr>
          <w:p w14:paraId="3012B59D"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58CE1EF3" w14:textId="24D8C176"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sz w:val="20"/>
                <w:szCs w:val="20"/>
              </w:rPr>
              <w:t>No</w:t>
            </w:r>
            <w:r>
              <w:rPr>
                <w:sz w:val="20"/>
                <w:szCs w:val="20"/>
              </w:rPr>
              <w:t>ne</w:t>
            </w:r>
          </w:p>
        </w:tc>
        <w:tc>
          <w:tcPr>
            <w:tcW w:w="1701" w:type="dxa"/>
          </w:tcPr>
          <w:p w14:paraId="76864516"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3" w:type="dxa"/>
          </w:tcPr>
          <w:p w14:paraId="18156404"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2" w:type="dxa"/>
          </w:tcPr>
          <w:p w14:paraId="07AAAD39"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39C406ED"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304A73D0"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3349B181"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993" w:type="dxa"/>
          </w:tcPr>
          <w:p w14:paraId="2D2B6B85"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A6613E" w:rsidRPr="00127DEF" w14:paraId="1AEF02B3" w14:textId="77777777" w:rsidTr="00B806F5">
        <w:tc>
          <w:tcPr>
            <w:tcW w:w="1560" w:type="dxa"/>
          </w:tcPr>
          <w:p w14:paraId="2B2F38D2" w14:textId="77777777" w:rsidR="00A6613E" w:rsidRPr="00127DEF" w:rsidRDefault="00A6613E" w:rsidP="00B806F5">
            <w:pPr>
              <w:rPr>
                <w:sz w:val="20"/>
                <w:szCs w:val="20"/>
              </w:rPr>
            </w:pPr>
            <w:proofErr w:type="spellStart"/>
            <w:r w:rsidRPr="00127DEF">
              <w:rPr>
                <w:sz w:val="20"/>
                <w:szCs w:val="20"/>
              </w:rPr>
              <w:t>Jannelli</w:t>
            </w:r>
            <w:proofErr w:type="spellEnd"/>
            <w:r w:rsidRPr="00127DEF">
              <w:rPr>
                <w:sz w:val="20"/>
                <w:szCs w:val="20"/>
              </w:rPr>
              <w:t xml:space="preserve"> 2020 </w:t>
            </w:r>
            <w:r w:rsidRPr="00127DEF">
              <w:rPr>
                <w:sz w:val="20"/>
                <w:szCs w:val="20"/>
              </w:rPr>
              <w:fldChar w:fldCharType="begin"/>
            </w:r>
            <w:r w:rsidRPr="00127DEF">
              <w:rPr>
                <w:sz w:val="20"/>
                <w:szCs w:val="20"/>
              </w:rPr>
              <w:instrText xml:space="preserve"> ADDIN ZOTERO_ITEM CSL_CITATION {"citationID":"D1RcYmnd","properties":{"formattedCitation":"(28)","plainCitation":"(28)","noteIndex":0},"citationItems":[{"id":374,"uris":["http://zotero.org/users/local/Tj9AEhkp/items/927EIQGS"],"uri":["http://zotero.org/users/local/Tj9AEhkp/items/927EIQGS"],"itemData":{"id":374,"type":"article-journal","abstract":"Fifty-eight percent of the total infections in Italy of COVID-19 were found in northern Italy, in particular, Lombardy. From February 21, 2020, to March 23, 2020, 20 patients with a fracture and a diagnosis of COVID-19 were hospitalized. Demographic data, COVID-19 symptoms, laboratory and radiographic examinations, and treatment methods were recorded. At 1-month follow-up, patients were assessed with the SF-36 score. This case series includes 20 patients (16 women and 4 men), with an average age of 82.35 years (range 59-95). Eleven patients (55%) had a femur fracture. Fourteen patients (70%) had 3 or more comorbidities or previous pathologies. Three patients with severe comorbidities died during the hospitalization. Thirteen patients (65%) had fever, 18 patients (90%) asthenia, and 17 patients (85%) dyspnea. All patients (100%) were given antibiotic therapy, whereas 16 patients (80%) underwent hydroxychloroquine therapy and 8 (40%) were treated with corticosteroids. Eighteen patients (90%) underwent antithromboembolic prophylaxis. Eighteen patients (90%) had lymphopenia. All 20 patients (100%) required noninvasive mechanical ventilation. High D-dimer and polymerase chain reaction values were found in all patients (100%), whereas lactate dehydrogenase was increased in 18 patients (90%). Patients with fractures, especially in the lower limbs, frequently require hospitalization, making these patients more subjected to the risk of COVID-19 infection. COVID-19 infection therefore does not seem to influence the fracture pattern in the elderly population but can lead to health deterioration with increased mortality. The typical symptoms of COVID-19 disease have not changed when associated with a fracture or trauma. Laboratory data are in line with what is reported in recent studies, whereas a more invasive assisted ventilation is associated with a poor prognosis. Finally, analyzing the data obtained from the SF-36 score, significantly lower values emerged when compared with those reported in the literature. LEVEL OF EVIDENCE:: Prognostic Level IV. See Instructions for Authors for a complete description of levels of evidence.","container-title":"Journal of orthopaedic trauma","issue":"10","journalAbbreviation":"Journal of orthopaedic trauma","note":"publisher: NLM (Medline)","source":"EMBASE","title":"Fractures in Patients With COVID-19 Infection: Early Prognosis and Management. A Case Series of 20 Patients in a Single Institution in Lombardy, Northern Italy","volume":"34","author":[{"literal":"Jannelli E."},{"literal":"Castelli A."},{"literal":"Ferranti Calderoni E."},{"literal":"Annunziata S."},{"literal":"Maccario G."},{"literal":"Ivone A."},{"literal":"Pasta G."},{"literal":"Mosconi M."}],"issued":{"date-parts":[["2020",10]]}}}],"schema":"https://github.com/citation-style-language/schema/raw/master/csl-citation.json"} </w:instrText>
            </w:r>
            <w:r w:rsidRPr="00127DEF">
              <w:rPr>
                <w:sz w:val="20"/>
                <w:szCs w:val="20"/>
              </w:rPr>
              <w:fldChar w:fldCharType="separate"/>
            </w:r>
            <w:r w:rsidRPr="00127DEF">
              <w:rPr>
                <w:noProof/>
                <w:sz w:val="20"/>
                <w:szCs w:val="20"/>
              </w:rPr>
              <w:t>(28)</w:t>
            </w:r>
            <w:r w:rsidRPr="00127DEF">
              <w:rPr>
                <w:sz w:val="20"/>
                <w:szCs w:val="20"/>
              </w:rPr>
              <w:fldChar w:fldCharType="end"/>
            </w:r>
          </w:p>
        </w:tc>
        <w:tc>
          <w:tcPr>
            <w:tcW w:w="2268" w:type="dxa"/>
          </w:tcPr>
          <w:p w14:paraId="4DA39A65" w14:textId="77777777" w:rsidR="00A6613E" w:rsidRPr="00127DEF" w:rsidRDefault="00A6613E" w:rsidP="00B806F5">
            <w:pPr>
              <w:rPr>
                <w:sz w:val="20"/>
                <w:szCs w:val="20"/>
              </w:rPr>
            </w:pPr>
            <w:r w:rsidRPr="00127DEF">
              <w:rPr>
                <w:sz w:val="20"/>
                <w:szCs w:val="20"/>
              </w:rPr>
              <w:t>*</w:t>
            </w:r>
          </w:p>
        </w:tc>
        <w:tc>
          <w:tcPr>
            <w:tcW w:w="1418" w:type="dxa"/>
          </w:tcPr>
          <w:p w14:paraId="1866E0D2" w14:textId="70838947" w:rsidR="00A6613E" w:rsidRPr="00127DEF" w:rsidRDefault="00A6613E" w:rsidP="00B806F5">
            <w:pPr>
              <w:rPr>
                <w:sz w:val="20"/>
                <w:szCs w:val="20"/>
              </w:rPr>
            </w:pPr>
            <w:r w:rsidRPr="00127DEF">
              <w:rPr>
                <w:sz w:val="20"/>
                <w:szCs w:val="20"/>
              </w:rPr>
              <w:t>No</w:t>
            </w:r>
            <w:r>
              <w:rPr>
                <w:sz w:val="20"/>
                <w:szCs w:val="20"/>
              </w:rPr>
              <w:t>ne</w:t>
            </w:r>
          </w:p>
        </w:tc>
        <w:tc>
          <w:tcPr>
            <w:tcW w:w="1701" w:type="dxa"/>
          </w:tcPr>
          <w:p w14:paraId="3DCBA0BF" w14:textId="77777777" w:rsidR="00A6613E" w:rsidRPr="00127DEF" w:rsidRDefault="00A6613E" w:rsidP="00B806F5">
            <w:pPr>
              <w:rPr>
                <w:sz w:val="20"/>
                <w:szCs w:val="20"/>
              </w:rPr>
            </w:pPr>
            <w:r w:rsidRPr="00127DEF">
              <w:rPr>
                <w:sz w:val="20"/>
                <w:szCs w:val="20"/>
              </w:rPr>
              <w:t>*</w:t>
            </w:r>
          </w:p>
        </w:tc>
        <w:tc>
          <w:tcPr>
            <w:tcW w:w="1843" w:type="dxa"/>
          </w:tcPr>
          <w:p w14:paraId="47E28BAA" w14:textId="77777777" w:rsidR="00A6613E" w:rsidRPr="00127DEF" w:rsidRDefault="00A6613E" w:rsidP="00B806F5">
            <w:pPr>
              <w:rPr>
                <w:sz w:val="20"/>
                <w:szCs w:val="20"/>
              </w:rPr>
            </w:pPr>
            <w:r w:rsidRPr="00127DEF">
              <w:rPr>
                <w:sz w:val="20"/>
                <w:szCs w:val="20"/>
              </w:rPr>
              <w:t>*</w:t>
            </w:r>
          </w:p>
        </w:tc>
        <w:tc>
          <w:tcPr>
            <w:tcW w:w="1842" w:type="dxa"/>
          </w:tcPr>
          <w:p w14:paraId="5914CF26" w14:textId="77777777" w:rsidR="00A6613E" w:rsidRPr="00127DEF" w:rsidRDefault="00A6613E" w:rsidP="00B806F5">
            <w:pPr>
              <w:rPr>
                <w:sz w:val="20"/>
                <w:szCs w:val="20"/>
              </w:rPr>
            </w:pPr>
            <w:r w:rsidRPr="00127DEF">
              <w:rPr>
                <w:sz w:val="20"/>
                <w:szCs w:val="20"/>
              </w:rPr>
              <w:t>*</w:t>
            </w:r>
          </w:p>
        </w:tc>
        <w:tc>
          <w:tcPr>
            <w:tcW w:w="1418" w:type="dxa"/>
          </w:tcPr>
          <w:p w14:paraId="0E5BCF35" w14:textId="77777777" w:rsidR="00A6613E" w:rsidRPr="00127DEF" w:rsidRDefault="00A6613E" w:rsidP="00B806F5">
            <w:pPr>
              <w:rPr>
                <w:sz w:val="20"/>
                <w:szCs w:val="20"/>
              </w:rPr>
            </w:pPr>
            <w:r w:rsidRPr="00127DEF">
              <w:rPr>
                <w:sz w:val="20"/>
                <w:szCs w:val="20"/>
              </w:rPr>
              <w:t>*</w:t>
            </w:r>
          </w:p>
        </w:tc>
        <w:tc>
          <w:tcPr>
            <w:tcW w:w="1559" w:type="dxa"/>
          </w:tcPr>
          <w:p w14:paraId="7328D508" w14:textId="77777777" w:rsidR="00A6613E" w:rsidRPr="00127DEF" w:rsidRDefault="00A6613E" w:rsidP="00B806F5">
            <w:pPr>
              <w:rPr>
                <w:sz w:val="20"/>
                <w:szCs w:val="20"/>
              </w:rPr>
            </w:pPr>
            <w:r w:rsidRPr="00127DEF">
              <w:rPr>
                <w:sz w:val="20"/>
                <w:szCs w:val="20"/>
              </w:rPr>
              <w:t>*</w:t>
            </w:r>
          </w:p>
        </w:tc>
        <w:tc>
          <w:tcPr>
            <w:tcW w:w="1559" w:type="dxa"/>
          </w:tcPr>
          <w:p w14:paraId="00817744" w14:textId="77777777" w:rsidR="00A6613E" w:rsidRPr="00127DEF" w:rsidRDefault="00A6613E" w:rsidP="00B806F5">
            <w:pPr>
              <w:rPr>
                <w:sz w:val="20"/>
                <w:szCs w:val="20"/>
              </w:rPr>
            </w:pPr>
            <w:r w:rsidRPr="00127DEF">
              <w:rPr>
                <w:sz w:val="20"/>
                <w:szCs w:val="20"/>
              </w:rPr>
              <w:t>*</w:t>
            </w:r>
          </w:p>
        </w:tc>
        <w:tc>
          <w:tcPr>
            <w:tcW w:w="993" w:type="dxa"/>
          </w:tcPr>
          <w:p w14:paraId="01C919CA" w14:textId="77777777" w:rsidR="00A6613E" w:rsidRPr="00127DEF" w:rsidRDefault="00A6613E" w:rsidP="00B806F5">
            <w:pPr>
              <w:rPr>
                <w:sz w:val="20"/>
                <w:szCs w:val="20"/>
              </w:rPr>
            </w:pPr>
            <w:r w:rsidRPr="00127DEF">
              <w:rPr>
                <w:sz w:val="20"/>
                <w:szCs w:val="20"/>
              </w:rPr>
              <w:t>7</w:t>
            </w:r>
          </w:p>
        </w:tc>
      </w:tr>
      <w:tr w:rsidR="00A6613E" w:rsidRPr="00127DEF" w14:paraId="1235491D" w14:textId="77777777" w:rsidTr="00B806F5">
        <w:tc>
          <w:tcPr>
            <w:tcW w:w="1560" w:type="dxa"/>
          </w:tcPr>
          <w:p w14:paraId="5E47415C" w14:textId="77777777" w:rsidR="00A6613E" w:rsidRPr="00127DEF" w:rsidRDefault="00A6613E" w:rsidP="00B806F5">
            <w:pPr>
              <w:rPr>
                <w:sz w:val="20"/>
                <w:szCs w:val="20"/>
              </w:rPr>
            </w:pPr>
            <w:r w:rsidRPr="00127DEF">
              <w:rPr>
                <w:sz w:val="20"/>
                <w:szCs w:val="20"/>
              </w:rPr>
              <w:t xml:space="preserve">Morelli 2020 </w:t>
            </w:r>
            <w:r w:rsidRPr="00127DEF">
              <w:rPr>
                <w:sz w:val="20"/>
                <w:szCs w:val="20"/>
              </w:rPr>
              <w:fldChar w:fldCharType="begin"/>
            </w:r>
            <w:r w:rsidRPr="00127DEF">
              <w:rPr>
                <w:sz w:val="20"/>
                <w:szCs w:val="20"/>
              </w:rPr>
              <w:instrText xml:space="preserve"> ADDIN ZOTERO_ITEM CSL_CITATION {"citationID":"Mgq5RBqA","properties":{"formattedCitation":"(36)","plainCitation":"(36)","noteIndex":0},"citationItems":[{"id":583,"uris":["http://zotero.org/users/local/Tj9AEhkp/items/387XLJMI"],"uri":["http://zotero.org/users/local/Tj9AEhkp/items/387XLJMI"],"itemData":{"id":583,"type":"article-journal","container-title":"Journal of orthopaedic surgery and research","issue":"1","journalAbbreviation":"Journal of orthopaedic surgery and research","page":"285","source":"Medline","title":"COVID-19: not a contraindication for surgery in patients with proximal femur fragility fractures.","volume":"15","author":[{"family":"Morelli","given":"Ilaria"},{"family":"Luceri","given":"Francesco"},{"family":"Giorgino","given":"Riccardo"},{"family":"Accetta","given":"Riccardo"},{"family":"Perazzo","given":"Paolo"},{"family":"Mangiavini","given":"Laura"},{"family":"Maffulli","given":"Nicola"},{"family":"Peretti","given":"Giuseppe M"}],"issued":{"date-parts":[["2020",7]]}}}],"schema":"https://github.com/citation-style-language/schema/raw/master/csl-citation.json"} </w:instrText>
            </w:r>
            <w:r w:rsidRPr="00127DEF">
              <w:rPr>
                <w:sz w:val="20"/>
                <w:szCs w:val="20"/>
              </w:rPr>
              <w:fldChar w:fldCharType="separate"/>
            </w:r>
            <w:r w:rsidRPr="00127DEF">
              <w:rPr>
                <w:noProof/>
                <w:sz w:val="20"/>
                <w:szCs w:val="20"/>
              </w:rPr>
              <w:t>(36)</w:t>
            </w:r>
            <w:r w:rsidRPr="00127DEF">
              <w:rPr>
                <w:sz w:val="20"/>
                <w:szCs w:val="20"/>
              </w:rPr>
              <w:fldChar w:fldCharType="end"/>
            </w:r>
          </w:p>
        </w:tc>
        <w:tc>
          <w:tcPr>
            <w:tcW w:w="2268" w:type="dxa"/>
          </w:tcPr>
          <w:p w14:paraId="6EA35E0B" w14:textId="77777777" w:rsidR="00A6613E" w:rsidRPr="00127DEF" w:rsidRDefault="00A6613E" w:rsidP="00B806F5">
            <w:pPr>
              <w:rPr>
                <w:sz w:val="20"/>
                <w:szCs w:val="20"/>
              </w:rPr>
            </w:pPr>
            <w:r w:rsidRPr="00127DEF">
              <w:rPr>
                <w:sz w:val="20"/>
                <w:szCs w:val="20"/>
              </w:rPr>
              <w:t>*</w:t>
            </w:r>
          </w:p>
        </w:tc>
        <w:tc>
          <w:tcPr>
            <w:tcW w:w="1418" w:type="dxa"/>
          </w:tcPr>
          <w:p w14:paraId="0C5BB8A5" w14:textId="1D924564" w:rsidR="00A6613E" w:rsidRPr="00127DEF" w:rsidRDefault="00A6613E" w:rsidP="00B806F5">
            <w:pPr>
              <w:rPr>
                <w:sz w:val="20"/>
                <w:szCs w:val="20"/>
              </w:rPr>
            </w:pPr>
            <w:r w:rsidRPr="00127DEF">
              <w:rPr>
                <w:sz w:val="20"/>
                <w:szCs w:val="20"/>
              </w:rPr>
              <w:t>No</w:t>
            </w:r>
            <w:r>
              <w:rPr>
                <w:sz w:val="20"/>
                <w:szCs w:val="20"/>
              </w:rPr>
              <w:t>ne</w:t>
            </w:r>
          </w:p>
        </w:tc>
        <w:tc>
          <w:tcPr>
            <w:tcW w:w="1701" w:type="dxa"/>
          </w:tcPr>
          <w:p w14:paraId="35C7541B" w14:textId="77777777" w:rsidR="00A6613E" w:rsidRPr="00127DEF" w:rsidRDefault="00A6613E" w:rsidP="00B806F5">
            <w:pPr>
              <w:rPr>
                <w:sz w:val="20"/>
                <w:szCs w:val="20"/>
              </w:rPr>
            </w:pPr>
            <w:r w:rsidRPr="00127DEF">
              <w:rPr>
                <w:sz w:val="20"/>
                <w:szCs w:val="20"/>
              </w:rPr>
              <w:t>*</w:t>
            </w:r>
          </w:p>
        </w:tc>
        <w:tc>
          <w:tcPr>
            <w:tcW w:w="1843" w:type="dxa"/>
          </w:tcPr>
          <w:p w14:paraId="3AF25232" w14:textId="77777777" w:rsidR="00A6613E" w:rsidRPr="00127DEF" w:rsidRDefault="00A6613E" w:rsidP="00B806F5">
            <w:pPr>
              <w:rPr>
                <w:sz w:val="20"/>
                <w:szCs w:val="20"/>
              </w:rPr>
            </w:pPr>
            <w:r w:rsidRPr="00127DEF">
              <w:rPr>
                <w:sz w:val="20"/>
                <w:szCs w:val="20"/>
              </w:rPr>
              <w:t>*</w:t>
            </w:r>
          </w:p>
        </w:tc>
        <w:tc>
          <w:tcPr>
            <w:tcW w:w="1842" w:type="dxa"/>
          </w:tcPr>
          <w:p w14:paraId="7D481F74" w14:textId="77777777" w:rsidR="00A6613E" w:rsidRPr="00127DEF" w:rsidRDefault="00A6613E" w:rsidP="00B806F5">
            <w:pPr>
              <w:rPr>
                <w:sz w:val="20"/>
                <w:szCs w:val="20"/>
              </w:rPr>
            </w:pPr>
            <w:r w:rsidRPr="00127DEF">
              <w:rPr>
                <w:sz w:val="20"/>
                <w:szCs w:val="20"/>
              </w:rPr>
              <w:t>*</w:t>
            </w:r>
          </w:p>
        </w:tc>
        <w:tc>
          <w:tcPr>
            <w:tcW w:w="1418" w:type="dxa"/>
          </w:tcPr>
          <w:p w14:paraId="52EB966E" w14:textId="77777777" w:rsidR="00A6613E" w:rsidRPr="00127DEF" w:rsidRDefault="00A6613E" w:rsidP="00B806F5">
            <w:pPr>
              <w:rPr>
                <w:sz w:val="20"/>
                <w:szCs w:val="20"/>
              </w:rPr>
            </w:pPr>
            <w:r w:rsidRPr="00127DEF">
              <w:rPr>
                <w:sz w:val="20"/>
                <w:szCs w:val="20"/>
              </w:rPr>
              <w:t>*</w:t>
            </w:r>
          </w:p>
        </w:tc>
        <w:tc>
          <w:tcPr>
            <w:tcW w:w="1559" w:type="dxa"/>
          </w:tcPr>
          <w:p w14:paraId="32F6EC61" w14:textId="77777777" w:rsidR="00A6613E" w:rsidRPr="00127DEF" w:rsidRDefault="00A6613E" w:rsidP="00B806F5">
            <w:pPr>
              <w:rPr>
                <w:sz w:val="20"/>
                <w:szCs w:val="20"/>
              </w:rPr>
            </w:pPr>
            <w:r w:rsidRPr="00127DEF">
              <w:rPr>
                <w:sz w:val="20"/>
                <w:szCs w:val="20"/>
              </w:rPr>
              <w:t>-</w:t>
            </w:r>
          </w:p>
        </w:tc>
        <w:tc>
          <w:tcPr>
            <w:tcW w:w="1559" w:type="dxa"/>
          </w:tcPr>
          <w:p w14:paraId="45D706BA" w14:textId="77777777" w:rsidR="00A6613E" w:rsidRPr="00127DEF" w:rsidRDefault="00A6613E" w:rsidP="00B806F5">
            <w:pPr>
              <w:rPr>
                <w:sz w:val="20"/>
                <w:szCs w:val="20"/>
              </w:rPr>
            </w:pPr>
            <w:r w:rsidRPr="00127DEF">
              <w:rPr>
                <w:sz w:val="20"/>
                <w:szCs w:val="20"/>
              </w:rPr>
              <w:t>-</w:t>
            </w:r>
          </w:p>
        </w:tc>
        <w:tc>
          <w:tcPr>
            <w:tcW w:w="993" w:type="dxa"/>
          </w:tcPr>
          <w:p w14:paraId="6529DDF7" w14:textId="77777777" w:rsidR="00A6613E" w:rsidRPr="00127DEF" w:rsidRDefault="00A6613E" w:rsidP="00B806F5">
            <w:pPr>
              <w:rPr>
                <w:sz w:val="20"/>
                <w:szCs w:val="20"/>
              </w:rPr>
            </w:pPr>
            <w:r w:rsidRPr="00127DEF">
              <w:rPr>
                <w:sz w:val="20"/>
                <w:szCs w:val="20"/>
              </w:rPr>
              <w:t>5</w:t>
            </w:r>
          </w:p>
        </w:tc>
      </w:tr>
      <w:tr w:rsidR="00A6613E" w:rsidRPr="00127DEF" w14:paraId="791FCBB6" w14:textId="77777777" w:rsidTr="00B806F5">
        <w:tc>
          <w:tcPr>
            <w:tcW w:w="1560" w:type="dxa"/>
          </w:tcPr>
          <w:p w14:paraId="2142A518"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 2020 </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ADDIN ZOTERO_ITEM CSL_CITATION {"citationID":"TMlxyA1B","properties":{"formattedCitation":"(37)","plainCitation":"(37)","noteIndex":0},"citationItems":[{"id":393,"uris":["http://zotero.org/users/local/Tj9AEhkp/items/5YQQ8I95"],"uri":["http://zotero.org/users/local/Tj9AEhkp/items/5YQQ8I95"],"itemData":{"id":393,"type":"article-journal","abstract":"Background and purpose - Following the outbreak of COVID-19 in December 2019, in China, many hip fracture patients were unable to gain timely admission and surgery. We assessed whether delayed surgery improves hip joint function and reduces major complications better than nonoperative therapy. Patients and methods - In this retrospective observational study, we collected data from 24 different hospitals from January 1, 2020, to July 20, 2020. 145 patients with hip fractures aged 65 years or older were eligible. Clinical data was extracted from electronic medical records. The primary outcomes were visual analogue scale (VAS) score and Harris Hip Score. Major complications, including deep venous thrombosis (DVT) and pneumonia within 1 month and 3 months, were collected for further analysis. Results - Of the 145 hip fracture patients 108 (median age 72; 70 females) received delayed surgery and 37 (median age 74; 20 females) received nonoperative therapy. The median time from hip fracture injury to surgery was 33 days (IQR 24-48) in the delayed surgery group. Hypertension, in about half of the patients in both groups, and cerebral infarction, in around a quarter of patients in both groups, were the most common comorbidities. Both VAS score and Harris Hip Score were superior in the delayed surgery group. At the 3-month follow-up, the median VAS score was 1 in the delayed surgery group and 2.5 in the nonoperative group (p &amp;lt; 0.001). Also, the percentage of complications was higher in the nonoperative group (p = 0.004 for DVT, p &amp;lt; 0.001 for pulmonary infection). Interpretation - In hip fracture patients, delayed surgery compared with nonoperative therapy significantly improved hip function and reduced various major complications.&lt;br/&gt;Copyright &amp;#xa9; 2020 The Author(s). Published by Taylor &amp; Francis on behalf of the Nordic Orthopedic Federation.","container-title":"Acta Orthopaedica","journalAbbreviation":"Acta Orthopaedica","note":"publisher: Taylor and Francis Ltd","source":"EMBASE","title":"Delayed surgery versus nonoperative treatment for hip fractures in post-COVID-19 arena: a retrospective study of 145 patients","author":[{"literal":"Mi B."},{"literal":"Chen L."},{"literal":"Xiong Y."},{"literal":"Liu G."},{"literal":"Panayi A.C."},{"literal":"Tong D."},{"literal":"Ji F."},{"literal":"Guo J."},{"literal":"Ou Z."},{"literal":"Zhang Y."}],"issued":{"date-parts":[["2020"]]}}}],"schema":"https://github.com/citation-style-language/schema/raw/master/csl-citation.json"} </w:instrTex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127DEF">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(37)</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c>
          <w:tcPr>
            <w:tcW w:w="2268" w:type="dxa"/>
          </w:tcPr>
          <w:p w14:paraId="14C44F1B"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4A1B79ED" w14:textId="42DA7B08"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sz w:val="20"/>
                <w:szCs w:val="20"/>
              </w:rPr>
              <w:t>No</w:t>
            </w:r>
            <w:r>
              <w:rPr>
                <w:sz w:val="20"/>
                <w:szCs w:val="20"/>
              </w:rPr>
              <w:t>ne</w:t>
            </w:r>
          </w:p>
        </w:tc>
        <w:tc>
          <w:tcPr>
            <w:tcW w:w="1701" w:type="dxa"/>
          </w:tcPr>
          <w:p w14:paraId="1B215F01"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3" w:type="dxa"/>
          </w:tcPr>
          <w:p w14:paraId="6A465E09"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2" w:type="dxa"/>
          </w:tcPr>
          <w:p w14:paraId="289273B6"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156DCAF0"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300F070B"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4B8E1121"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993" w:type="dxa"/>
          </w:tcPr>
          <w:p w14:paraId="2433FA8D"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A6613E" w:rsidRPr="00127DEF" w14:paraId="782DEC67" w14:textId="77777777" w:rsidTr="00B806F5">
        <w:tc>
          <w:tcPr>
            <w:tcW w:w="16161" w:type="dxa"/>
            <w:gridSpan w:val="10"/>
          </w:tcPr>
          <w:p w14:paraId="53D6F2D0" w14:textId="77777777" w:rsidR="00A6613E" w:rsidRPr="00127DEF" w:rsidRDefault="00A6613E" w:rsidP="00B806F5">
            <w:pPr>
              <w:jc w:val="center"/>
              <w:rPr>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Cohort studies reporting on COVID-19 positive patients compared to non-COVID-19 positive patients</w:t>
            </w:r>
          </w:p>
        </w:tc>
      </w:tr>
      <w:tr w:rsidR="00A6613E" w:rsidRPr="00127DEF" w14:paraId="134BD6B7" w14:textId="77777777" w:rsidTr="00B806F5">
        <w:tc>
          <w:tcPr>
            <w:tcW w:w="1560" w:type="dxa"/>
          </w:tcPr>
          <w:p w14:paraId="14D31944"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Egol</w:t>
            </w:r>
            <w:proofErr w:type="spellEnd"/>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2020 </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ADDIN ZOTERO_ITEM CSL_CITATION {"citationID":"t3j5a198","properties":{"formattedCitation":"(38)","plainCitation":"(38)","noteIndex":0},"citationItems":[{"id":363,"uris":["http://zotero.org/users/local/Tj9AEhkp/items/EHHJ2AXB"],"uri":["http://zotero.org/users/local/Tj9AEhkp/items/EHHJ2AXB"],"itemData":{"id":363,"type":"article-journal","abstract":"Objectives:To examine one health system's response to the essential care of its hip fracture population during the COVID-19 pandemic and report on its effect on patient outcomes. &lt;br/&gt;Design(s):Prospective cohort study. &lt;br/&gt;Setting(s):Seven musculoskeletal care centers within New York City and Long Island.Patients/Participants:One hundred thirty-eight recent and 115 historical hip fracture patients. &lt;br/&gt;Intervention(s):Patients with hip fractures occurring between February 1, 2020, and April 15, 2020, or between February 1, 2019, and April 15, 2019, were prospectively enrolled in an orthopaedic trauma registry and chart reviewed for demographic and hospital quality measures. Patients with recent hip fractures were identified as COVID positive (C+), COVID suspected (Cs), or COVID negative (C-).Main Outcome Measurements:Hospital quality measures, inpatient complications, and mortality rates. &lt;br/&gt;Result(s):Seventeen (12.2%) patients were confirmed C+ by testing, and another 14 (10.1%) were suspected (Cs) of having had the virus but were never tested. The C+ cohort, when compared with Cs and C- cohorts, had an increased mortality rate (35.3% vs. 7.1% vs. 0.9%), increased length of hospital stay, a greater major complication rate, and a greater incidence of ventilator need postoperatively. &lt;br/&gt;Conclusion(s):COVID-19 had a devastating effect on the care of patients with hip fracture during the pandemic. Although practice patterns generally remained unchanged, treating physicians need to understand the increased morbidity and mortality in patients with hip fracture complicated by COVID-19. &lt;br/&gt;Level of Evidence:Prognostic Level III. See Instructions for Authors for a complete description of Levels of Evidence.&lt;br/&gt;Copyright &amp;#xa9; 2020 Lippincott Williams and Wilkins. All rights reserved.","container-title":"Journal of Orthopaedic Trauma","issue":"8","journalAbbreviation":"Journal of Orthopaedic Trauma","note":"publisher: Lippincott Williams and Wilkins (E-mail: customerservice@lww.com)","page":"395-402","source":"EMBASE","title":"Increased mortality and major complications in hip fracture care during the COVID-19 pandemic: A New York city perspective","volume":"34","author":[{"literal":"Egol K.A."},{"literal":"Konda S.R."},{"literal":"Bird M.L."},{"literal":"Dedhia N."},{"literal":"Landes E.K."},{"literal":"Ranson R.A."},{"literal":"Solasz S.J."},{"literal":"Aggarwal V.K."},{"literal":"Bosco J.A."},{"literal":"Furgiuele D.L."},{"literal":"Ganta A."},{"literal":"Gould J."},{"literal":"Lyon T.R."},{"literal":"McLaurin T.M."},{"literal":"Tejwani N.C."},{"literal":"Zuckerman J.D."},{"literal":"Leucht P."}],"issued":{"date-parts":[["2020",8]]}}}],"schema":"https://github.com/citation-style-language/schema/raw/master/csl-citation.json"} </w:instrTex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127DEF">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c>
          <w:tcPr>
            <w:tcW w:w="2268" w:type="dxa"/>
          </w:tcPr>
          <w:p w14:paraId="017D0446"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3419983E"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701" w:type="dxa"/>
          </w:tcPr>
          <w:p w14:paraId="54F25FCF"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3" w:type="dxa"/>
          </w:tcPr>
          <w:p w14:paraId="71527302"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2" w:type="dxa"/>
          </w:tcPr>
          <w:p w14:paraId="0312FDFB"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0AA6292E"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23867686"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787DAE9C"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993" w:type="dxa"/>
          </w:tcPr>
          <w:p w14:paraId="08A0939E"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A6613E" w:rsidRPr="00127DEF" w14:paraId="39E4BB8C" w14:textId="77777777" w:rsidTr="00B806F5">
        <w:tc>
          <w:tcPr>
            <w:tcW w:w="1560" w:type="dxa"/>
          </w:tcPr>
          <w:p w14:paraId="5F78D470"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Fadulelmola</w:t>
            </w:r>
            <w:proofErr w:type="spellEnd"/>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2020 </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ADDIN ZOTERO_ITEM CSL_CITATION {"citationID":"iJETd2hJ","properties":{"formattedCitation":"(39)","plainCitation":"(39)","noteIndex":0},"citationItems":[{"id":425,"uris":["http://zotero.org/users/local/Tj9AEhkp/items/7TRH3XXN"],"uri":["http://zotero.org/users/local/Tj9AEhkp/items/7TRH3XXN"],"itemData":{"id":425,"type":"article-journal","abstract":"Introduction: A novel virus, SARS-CoV-2 has caused a fatal global pandemic which particularly affects the elderly and those with co-morbidities. Hip fractures affect elderly populations, necessitate hospital admissions, and place this group at particular risk from COVID-19 infection. This study investigates the effect of COVID-19 infection on 30-day hip fracture mortality. &lt;br/&gt;Method(s): Data related to seventy-five adult hip fractures admitted to two units during March and April 2020 was reviewed. The mean age was 83.5 years (range 65-98 years) and most (53, 70.7%) were females. The primary outcome measure was 30-day mortality associated with COVID-19 infection. &lt;br/&gt;Result(s): The COVID-19 infection rate was 26.7% (20 patients), with a significant difference in the 30-day mortality rate in COVID-19 positive group (10/20, 50%) compared to COVID-19 negative group (4/55, 7.3%), with mean time to death of 19.8 days (95% confidence interval 17.0-22.5). The mean time from admission to surgery was 43.1 hours and 38.3 hours, in COVID-19 positive and COVID-19 negative groups, respectively. All COVID-19 positive patients had shown symptoms of fever and cough, and all ten cases who died were from hypoxia. Seven (35%) cases had radiological lung findings consistent with viral pneumonitis which resulted in mortality (70% of mortality). 30% (n = 6) contracted the COVID-19 infection in the community and 70% (n = 14) developed symptoms after hospital admission. &lt;br/&gt;Conclusion(s): Hip fractures associated with COVID-19 infection have a high 30-day mortality. COVID-19 testing and chest x-ray for patients presenting with hip fractures, helps in early planning of high-risk surgeries and allows counselling of the patients and family using realistic prognosis.&lt;br/&gt;Copyright &amp;#xa9; The Author(s) 2020.","container-title":"Trauma","journalAbbreviation":"Trauma","note":"publisher: SAGE Publications Ltd (E-mail: info@sagepub.co.uk)","source":"EMBASE","title":"The impact of COVID-19 infection on hip fractures 30-day mortality","author":[{"literal":"Fadulelmola A."},{"literal":"Gregory R."},{"literal":"Gordon G."},{"literal":"Smith F."},{"literal":"Jennings A."}],"issued":{"date-parts":[["2020"]]}}}],"schema":"https://github.com/citation-style-language/schema/raw/master/csl-citation.json"} </w:instrTex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127DEF">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(39)</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c>
          <w:tcPr>
            <w:tcW w:w="2268" w:type="dxa"/>
          </w:tcPr>
          <w:p w14:paraId="397AC21A"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35752B20"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701" w:type="dxa"/>
          </w:tcPr>
          <w:p w14:paraId="6B042FA2"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3" w:type="dxa"/>
          </w:tcPr>
          <w:p w14:paraId="1AA43EDC"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2" w:type="dxa"/>
          </w:tcPr>
          <w:p w14:paraId="2A0C2BB4"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2FF5718E"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76123444"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336C132F"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993" w:type="dxa"/>
          </w:tcPr>
          <w:p w14:paraId="5428BCED"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A6613E" w:rsidRPr="00127DEF" w14:paraId="09F318E9" w14:textId="77777777" w:rsidTr="00B806F5">
        <w:tc>
          <w:tcPr>
            <w:tcW w:w="1560" w:type="dxa"/>
          </w:tcPr>
          <w:p w14:paraId="16FBAF78"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Hall 2020 </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ADDIN ZOTERO_ITEM CSL_CITATION {"citationID":"N4r1VsiI","properties":{"formattedCitation":"(40)","plainCitation":"(40)","noteIndex":0},"citationItems":[{"id":599,"uris":["http://zotero.org/users/local/Tj9AEhkp/items/K6KLDZ8N"],"uri":["http://zotero.org/users/local/Tj9AEhkp/items/K6KLDZ8N"],"itemData":{"id":599,"type":"article-journal","abstract":"Aims The primary aim was to assess the independent influence of coronavirus disease (COVID-19) on 30-day mortality for patients with a hip fracture. The secondary aims were to determine whether: 1) there were clinical predictors of COVID-19 status; and 2) whether social lockdown influenced the incidence and epidemiology of hip fractures. Methods A national multicentre retrospective study was conducted of all patients presenting to six trauma centres or units with a hip fracture over a 46-day period (23 days pre- and 23 days post-lockdown). Patient demographics, type of residence, place of injury, presentation blood tests, Nottingham Hip Fracture Score, time to surgery, operation, American Society of Anesthesiologists (ASA) grade, anaesthetic, length of stay, COVID-19 status, and 30-day mortality were recorded. Results Of 317 patients with acute hip fracture, 27 (8.5%) had a positive COVID-19 test. Only seven (26%) had suggestive symptoms on admission. COVID-19-positive patients had a significantly lower 30-day survival compared to those without COVID-19 (64.5%, 95% confidence interval (CI) 45.7 to 83.3 vs 91.7%, 95% CI 88.2 to 94.8; p &amp;lt; 0.001). COVID-19 was independently associated with increased 30-day mortality risk adjusting for: 1) age, sex, type of residence (hazard ratio (HR) 2.93; p = 0.008); 2) Nottingham Hip Fracture Score (HR 3.52; p = 0.001); and 3) ASA (HR 3.45; p = 0.004). Presentation platelet count predicted subsequent COVID-19 status; a value of &amp;lt; 217 x 10&lt;sup&gt;9&lt;/sup&gt;/l was associated with 68% area under the curve (95% CI 58 to 77; p = 0.002) and a sensitivity and specificity of 63%. A similar number of patients presented with hip fracture in the 23 days pre-lockdown (n = 160) and 23 days post-lockdown (n = 157) with no significant (all p &amp;gt;= 0.130) difference in patient demographics, residence, place of injury, Nottingham Hip Fracture Score, time to surgery, ASA, or management. Conclusion COVID-19 was independently associated with an increased 30-day mortality rate for patients with a hip fracture. Notably, most patients with hip fracture and COVID-19 lacked suggestive symptoms at presentation. Platelet count was an indicator of risk of COVID-19 infection. These findings have implications for the management of hip fractures, in particular the need for COVID-19 testing.&lt;br/&gt;Copyright &amp;#xa9; 2020 The British Editorial Society of Bone &amp; Joint Surgery doi:10.1302/0301-620X.102B9. BJJ-2020-1100.R1 $2.00","container-title":"Bone and Joint Journal","issue":"9","journalAbbreviation":"Bone and Joint Journal","note":"publisher: British Editorial Society of Bone and Joint Surgery","page":"1219-1228","source":"EMBASE","title":"IMPACT-Scot report on COVID-19 and hip fractures: A MULTICENTRE STUDY ASSESSING MORTALITY, PREDICTORS of EARLY SARS-CoV-2 INFECTION, and the EFFECTS of SOCIAL LOCKDOWN on EPIDEMIOLOGY","author":[{"literal":"Hall A.J."},{"literal":"Clement N.D."},{"literal":"Farrow L."},{"literal":"MacLullich A.M.J."},{"literal":"Dall G.F."},{"literal":"Scott C.E.H."},{"literal":"Jenkins P.J."},{"literal":"White T.O."},{"literal":"Duckworth A.D."}],"issued":{"date-parts":[["2020",9]]}}}],"schema":"https://github.com/citation-style-language/schema/raw/master/csl-citation.json"} </w:instrTex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127DEF">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c>
          <w:tcPr>
            <w:tcW w:w="2268" w:type="dxa"/>
          </w:tcPr>
          <w:p w14:paraId="50875E9E"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7445ACEF"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701" w:type="dxa"/>
          </w:tcPr>
          <w:p w14:paraId="30084F5A"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3" w:type="dxa"/>
          </w:tcPr>
          <w:p w14:paraId="49D8F35B"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2" w:type="dxa"/>
          </w:tcPr>
          <w:p w14:paraId="22FCC4B9"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5613BECE"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4E8BB742"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61023152"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993" w:type="dxa"/>
          </w:tcPr>
          <w:p w14:paraId="2C2B0888"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A6613E" w:rsidRPr="00127DEF" w14:paraId="43ACBC90" w14:textId="77777777" w:rsidTr="00B806F5">
        <w:tc>
          <w:tcPr>
            <w:tcW w:w="1560" w:type="dxa"/>
          </w:tcPr>
          <w:p w14:paraId="4E0F4B68"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Kayani</w:t>
            </w:r>
            <w:proofErr w:type="spellEnd"/>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2020 </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ADDIN ZOTERO_ITEM CSL_CITATION {"citationID":"UlgfOlYi","properties":{"formattedCitation":"(7)","plainCitation":"(7)","noteIndex":0},"citationItems":[{"id":559,"uris":["http://zotero.org/users/local/Tj9AEhkp/items/6UI4D3XS"],"uri":["http://zotero.org/users/local/Tj9AEhkp/items/6UI4D3XS"],"itemData":{"id":559,"type":"article-journal","container-title":"The bone &amp; joint journal","issue":"10","journalAbbreviation":"The bone &amp; joint journal","page":"1279-1280","source":"PubMed","title":"Infographic: The effects of COVID-19 on perioperative morbidity and mortality in patients with hip fractures.","author":[{"literal":"Kayani B"},{"literal":"Onochie E"},{"literal":"Patil V"},{"literal":"Begum F"},{"literal":"Cuthbert R"},{"literal":"Ferguson D"},{"literal":"Bhamra J"},{"literal":"Sharma A"},{"literal":"Bates P"},{"literal":"Haddad FS"}],"issued":{"date-parts":[["2020"]]}}}],"schema":"https://github.com/citation-style-language/schema/raw/master/csl-citation.json"} </w:instrTex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127DEF">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c>
          <w:tcPr>
            <w:tcW w:w="2268" w:type="dxa"/>
          </w:tcPr>
          <w:p w14:paraId="3BCCA76E"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353FE7DA"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701" w:type="dxa"/>
          </w:tcPr>
          <w:p w14:paraId="6FAE5535"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3" w:type="dxa"/>
          </w:tcPr>
          <w:p w14:paraId="0E07C93E"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2" w:type="dxa"/>
          </w:tcPr>
          <w:p w14:paraId="5BC01415"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72CF4B2F"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158436F3"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0C3CB8E9"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993" w:type="dxa"/>
          </w:tcPr>
          <w:p w14:paraId="108E71B4"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A6613E" w:rsidRPr="00127DEF" w14:paraId="0392FD10" w14:textId="77777777" w:rsidTr="00B806F5">
        <w:tc>
          <w:tcPr>
            <w:tcW w:w="1560" w:type="dxa"/>
          </w:tcPr>
          <w:p w14:paraId="54CAC6AA" w14:textId="77777777" w:rsidR="00A6613E" w:rsidRPr="00127DEF" w:rsidRDefault="00A6613E" w:rsidP="00B806F5">
            <w:pPr>
              <w:rPr>
                <w:sz w:val="20"/>
                <w:szCs w:val="20"/>
              </w:rPr>
            </w:pPr>
            <w:r w:rsidRPr="00127DEF">
              <w:rPr>
                <w:sz w:val="20"/>
                <w:szCs w:val="20"/>
              </w:rPr>
              <w:t xml:space="preserve">Konda 2020 </w:t>
            </w:r>
            <w:r w:rsidRPr="00127DEF">
              <w:rPr>
                <w:sz w:val="20"/>
                <w:szCs w:val="20"/>
              </w:rPr>
              <w:fldChar w:fldCharType="begin"/>
            </w:r>
            <w:r w:rsidRPr="00127DEF">
              <w:rPr>
                <w:sz w:val="20"/>
                <w:szCs w:val="20"/>
              </w:rPr>
              <w:instrText xml:space="preserve"> ADDIN ZOTERO_ITEM CSL_CITATION {"citationID":"LQglEHtn","properties":{"formattedCitation":"(29)","plainCitation":"(29)","noteIndex":0},"citationItems":[{"id":402,"uris":["http://zotero.org/users/local/Tj9AEhkp/items/X8JNLTNP"],"uri":["http://zotero.org/users/local/Tj9AEhkp/items/X8JNLTNP"],"itemData":{"id":402,"type":"article-journal","abstract":"OBJECTIVES: (1) To demonstrate how a risk assessment tool modified to account for the COVID-19 virus during the current global pandemic is able to provide risk assessment for low-energy geriatric hip fracture patients. (2) To provide a treatment algorithm for care of COVID-19 positive/suspected hip fractures patients that accounts for their increased risk of morbidity and mortality. SETTING: One academic medical center including 4 Level 1 trauma centers, 1 university-based tertiary care referral hospital, and 1 orthopaedic specialty hospital. PATIENTS/PARTICIPANTS: One thousand two hundred seventy-eight patients treated for hip fractures between October 2014 and April 2020, including 136 patients treated during the COVID-19 pandemic between February 1, 2020 and April 15, 2020. INTERVENTION: The Score for Trauma Triage in the Geriatric and Middle-Aged ORIGINAL (STTGMAORIGINAL) score was modified by adding COVID-19 virus as a risk factor for mortality to create the STTGMACOVID score. Patients were stratified into quartiles to demonstrate differences in risk distribution between the scores. MAIN OUTCOME MEASUREMENTS: Inpatient and 30-day mortality, major, and minor complications. &lt;br/&gt;RESULT(S): Both STTGMA score and COVID-19 positive/suspected status are independent predictors of inpatient mortality, confirming their use in risk assessment models for geriatric hip fracture patients. Compared with STTGMAORIGINAL, where COVID-19 patients are haphazardly distributed among the risk groups and COVID-19 inpatient and 30 days mortalities comprise 50% deaths in the minimal-risk and low-risk cohorts, the STTGMACOVID tool is able to triage 100% of COVID-19 patients and 100% of COVID-19 inpatient and 30 days mortalities into the highest risk quartile, where it was demonstrated that these patients have a 55% rate of pneumonia, a 35% rate of acute respiratory distress syndrome, a 22% rate of inpatient mortality, and a 35% rate of 30 days mortality. COVID-19 patients who are symptomatic on presentation to the emergency department and undergo surgical fixation have a 30% inpatient mortality rate compared with 12.5% for patients who are initially asymptomatic but later develop symptoms. &lt;br/&gt;CONCLUSION(S): The STTGMA tool can be modified for specific disease processes, in this case to account for the COVID-19 virus and provide a robust risk stratification tool that accounts for a heretofore unknown risk factor. COVID-19 positive/suspected status portends a poor outcome in this susceptible trauma population and should be included in risk assessment models. These patients should be considered a high risk for perioperative morbidity and mortality. Patients with COVID-19 symptoms on presentation should have surgery deferred until symptoms improve or resolve and should be reassessed for surgical treatment versus definitive nonoperative treatment with palliative care and/or hospice care. LEVEL OF EVIDENCE: Prognostic Level III. See Instructions for Authors for a complete description of Levels of Evidence.","container-title":"Journal of orthopaedic trauma","issue":"9","journalAbbreviation":"Journal of orthopaedic trauma","note":"publisher: NLM (Medline)","source":"EMBASE","title":"Modification of a Validated Risk Stratification Tool to Characterize Geriatric Hip Fracture Outcomes and Optimize Care in a Post-COVID-19 World","volume":"34","author":[{"literal":"Konda S.R."},{"literal":"Ranson R.A."},{"literal":"Solasz S.J."},{"literal":"Dedhia N."},{"literal":"Lott A."},{"literal":"Bird M.L."},{"literal":"Landes E.K."},{"literal":"Aggarwal V.K."},{"literal":"Bosco J.A."},{"literal":"McLaurin T.M."},{"literal":"Tejwani N.C."},{"literal":"Zuckerman J.D."},{"literal":"Leucht P."},{"literal":"Ganta A."},{"literal":"Egol K.A."},{"literal":"Furgiuele D.L."},{"literal":"Gould J."},{"literal":"Lyon T.R."}],"issued":{"date-parts":[["2020",9]]}}}],"schema":"https://github.com/citation-style-language/schema/raw/master/csl-citation.json"} </w:instrText>
            </w:r>
            <w:r w:rsidRPr="00127DEF">
              <w:rPr>
                <w:sz w:val="20"/>
                <w:szCs w:val="20"/>
              </w:rPr>
              <w:fldChar w:fldCharType="separate"/>
            </w:r>
            <w:r w:rsidRPr="00127DEF">
              <w:rPr>
                <w:noProof/>
                <w:sz w:val="20"/>
                <w:szCs w:val="20"/>
              </w:rPr>
              <w:t>(29)</w:t>
            </w:r>
            <w:r w:rsidRPr="00127DEF">
              <w:rPr>
                <w:sz w:val="20"/>
                <w:szCs w:val="20"/>
              </w:rPr>
              <w:fldChar w:fldCharType="end"/>
            </w:r>
          </w:p>
        </w:tc>
        <w:tc>
          <w:tcPr>
            <w:tcW w:w="2268" w:type="dxa"/>
          </w:tcPr>
          <w:p w14:paraId="0234463F" w14:textId="77777777" w:rsidR="00A6613E" w:rsidRPr="00127DEF" w:rsidRDefault="00A6613E" w:rsidP="00B806F5">
            <w:pPr>
              <w:rPr>
                <w:sz w:val="20"/>
                <w:szCs w:val="20"/>
              </w:rPr>
            </w:pPr>
            <w:r w:rsidRPr="00127DEF">
              <w:rPr>
                <w:sz w:val="20"/>
                <w:szCs w:val="20"/>
              </w:rPr>
              <w:t>*</w:t>
            </w:r>
          </w:p>
        </w:tc>
        <w:tc>
          <w:tcPr>
            <w:tcW w:w="1418" w:type="dxa"/>
          </w:tcPr>
          <w:p w14:paraId="2A77943D" w14:textId="77777777" w:rsidR="00A6613E" w:rsidRPr="00127DEF" w:rsidRDefault="00A6613E" w:rsidP="00B806F5">
            <w:pPr>
              <w:rPr>
                <w:sz w:val="20"/>
                <w:szCs w:val="20"/>
              </w:rPr>
            </w:pPr>
            <w:r w:rsidRPr="00127DEF">
              <w:rPr>
                <w:sz w:val="20"/>
                <w:szCs w:val="20"/>
              </w:rPr>
              <w:t>*</w:t>
            </w:r>
          </w:p>
        </w:tc>
        <w:tc>
          <w:tcPr>
            <w:tcW w:w="1701" w:type="dxa"/>
          </w:tcPr>
          <w:p w14:paraId="487EA83A" w14:textId="77777777" w:rsidR="00A6613E" w:rsidRPr="00127DEF" w:rsidRDefault="00A6613E" w:rsidP="00B806F5">
            <w:pPr>
              <w:rPr>
                <w:sz w:val="20"/>
                <w:szCs w:val="20"/>
              </w:rPr>
            </w:pPr>
            <w:r w:rsidRPr="00127DEF">
              <w:rPr>
                <w:sz w:val="20"/>
                <w:szCs w:val="20"/>
              </w:rPr>
              <w:t>*</w:t>
            </w:r>
          </w:p>
        </w:tc>
        <w:tc>
          <w:tcPr>
            <w:tcW w:w="1843" w:type="dxa"/>
          </w:tcPr>
          <w:p w14:paraId="3E088F2A" w14:textId="77777777" w:rsidR="00A6613E" w:rsidRPr="00127DEF" w:rsidRDefault="00A6613E" w:rsidP="00B806F5">
            <w:pPr>
              <w:rPr>
                <w:sz w:val="20"/>
                <w:szCs w:val="20"/>
              </w:rPr>
            </w:pPr>
            <w:r w:rsidRPr="00127DEF">
              <w:rPr>
                <w:sz w:val="20"/>
                <w:szCs w:val="20"/>
              </w:rPr>
              <w:t>*</w:t>
            </w:r>
          </w:p>
        </w:tc>
        <w:tc>
          <w:tcPr>
            <w:tcW w:w="1842" w:type="dxa"/>
          </w:tcPr>
          <w:p w14:paraId="69690CC8" w14:textId="77777777" w:rsidR="00A6613E" w:rsidRPr="00127DEF" w:rsidRDefault="00A6613E" w:rsidP="00B806F5">
            <w:pPr>
              <w:rPr>
                <w:sz w:val="20"/>
                <w:szCs w:val="20"/>
              </w:rPr>
            </w:pPr>
            <w:r w:rsidRPr="00127DEF">
              <w:rPr>
                <w:sz w:val="20"/>
                <w:szCs w:val="20"/>
              </w:rPr>
              <w:t>*</w:t>
            </w:r>
          </w:p>
        </w:tc>
        <w:tc>
          <w:tcPr>
            <w:tcW w:w="1418" w:type="dxa"/>
          </w:tcPr>
          <w:p w14:paraId="7E1C3C47" w14:textId="77777777" w:rsidR="00A6613E" w:rsidRPr="00127DEF" w:rsidRDefault="00A6613E" w:rsidP="00B806F5">
            <w:pPr>
              <w:rPr>
                <w:sz w:val="20"/>
                <w:szCs w:val="20"/>
              </w:rPr>
            </w:pPr>
            <w:r w:rsidRPr="00127DEF">
              <w:rPr>
                <w:sz w:val="20"/>
                <w:szCs w:val="20"/>
              </w:rPr>
              <w:t>*</w:t>
            </w:r>
          </w:p>
        </w:tc>
        <w:tc>
          <w:tcPr>
            <w:tcW w:w="1559" w:type="dxa"/>
          </w:tcPr>
          <w:p w14:paraId="1C417804" w14:textId="77777777" w:rsidR="00A6613E" w:rsidRPr="00127DEF" w:rsidRDefault="00A6613E" w:rsidP="00B806F5">
            <w:pPr>
              <w:rPr>
                <w:sz w:val="20"/>
                <w:szCs w:val="20"/>
              </w:rPr>
            </w:pPr>
            <w:r w:rsidRPr="00127DEF">
              <w:rPr>
                <w:sz w:val="20"/>
                <w:szCs w:val="20"/>
              </w:rPr>
              <w:t>*</w:t>
            </w:r>
          </w:p>
        </w:tc>
        <w:tc>
          <w:tcPr>
            <w:tcW w:w="1559" w:type="dxa"/>
          </w:tcPr>
          <w:p w14:paraId="16A5EDA0" w14:textId="77777777" w:rsidR="00A6613E" w:rsidRPr="00127DEF" w:rsidRDefault="00A6613E" w:rsidP="00B806F5">
            <w:pPr>
              <w:rPr>
                <w:sz w:val="20"/>
                <w:szCs w:val="20"/>
              </w:rPr>
            </w:pPr>
            <w:r w:rsidRPr="00127DEF">
              <w:rPr>
                <w:sz w:val="20"/>
                <w:szCs w:val="20"/>
              </w:rPr>
              <w:t>*</w:t>
            </w:r>
          </w:p>
        </w:tc>
        <w:tc>
          <w:tcPr>
            <w:tcW w:w="993" w:type="dxa"/>
          </w:tcPr>
          <w:p w14:paraId="7699C121" w14:textId="77777777" w:rsidR="00A6613E" w:rsidRPr="00127DEF" w:rsidRDefault="00A6613E" w:rsidP="00B806F5">
            <w:pPr>
              <w:rPr>
                <w:sz w:val="20"/>
                <w:szCs w:val="20"/>
              </w:rPr>
            </w:pPr>
            <w:r w:rsidRPr="00127DEF">
              <w:rPr>
                <w:sz w:val="20"/>
                <w:szCs w:val="20"/>
              </w:rPr>
              <w:t>8</w:t>
            </w:r>
          </w:p>
        </w:tc>
      </w:tr>
      <w:tr w:rsidR="00A6613E" w:rsidRPr="00127DEF" w14:paraId="26E5131F" w14:textId="77777777" w:rsidTr="00B806F5">
        <w:tc>
          <w:tcPr>
            <w:tcW w:w="1560" w:type="dxa"/>
          </w:tcPr>
          <w:p w14:paraId="3902FBD8" w14:textId="77777777" w:rsidR="00A6613E" w:rsidRPr="00127DEF" w:rsidRDefault="00A6613E" w:rsidP="00B806F5">
            <w:pPr>
              <w:rPr>
                <w:sz w:val="20"/>
                <w:szCs w:val="20"/>
              </w:rPr>
            </w:pPr>
            <w:r w:rsidRPr="00127DEF">
              <w:rPr>
                <w:sz w:val="20"/>
                <w:szCs w:val="20"/>
              </w:rPr>
              <w:t xml:space="preserve">LeBrun2020 </w:t>
            </w:r>
            <w:r w:rsidRPr="00127DEF">
              <w:rPr>
                <w:sz w:val="20"/>
                <w:szCs w:val="20"/>
              </w:rPr>
              <w:fldChar w:fldCharType="begin"/>
            </w:r>
            <w:r w:rsidRPr="00127DEF">
              <w:rPr>
                <w:sz w:val="20"/>
                <w:szCs w:val="20"/>
              </w:rPr>
              <w:instrText xml:space="preserve"> ADDIN ZOTERO_ITEM CSL_CITATION {"citationID":"Yb9i0ry1","properties":{"formattedCitation":"(41)","plainCitation":"(41)","noteIndex":0},"citationItems":[{"id":358,"uris":["http://zotero.org/users/local/Tj9AEhkp/items/ZJKEYQXA"],"uri":["http://zotero.org/users/local/Tj9AEhkp/items/ZJKEYQXA"],"itemData":{"id":358,"type":"article-journal","abstract":"Objective:To evaluate inpatient outcomes among patients with hip fracture treated during the COVID-19 pandemic in New York City. &lt;br/&gt;Design(s):Multicenter retrospective cohort study. &lt;br/&gt;Setting(s):One Level 1 trauma center and one orthopaedic specialty hospital in New York City.Patients/Participants:Fifty-nine consecutive patients (average age 85 years, range: 65-100 years) treated for a hip fracture (OTA/AO 31, 32.1) over a 5-week period, March 20, 2020, to April 24, 2020, during the height of the COVID-19 crisis.Main Outcome Measurements:COVID-19 infection status was used to stratify patients. The primary outcome was inpatient mortality. Secondary outcomes were admission to the intensive care unit, unexpected intubation, pneumonia, deep vein thrombosis, pulmonary embolus, myocardial infarction, cerebrovascular accident, urinary tract infection, and transfusion. Baseline demographics, comorbidities, treatment characteristics, and COVID-related symptomatology were also evaluated. &lt;br/&gt;Result(s):Ten patients (15%) tested positive for COVID-19 (COVID+) (n = 9; 7 preoperatively and 2 postoperatively) or were presumed positive (n = 1), 40 (68%) patients tested negative, and 9 (15%) patients were not tested in the primary hospitalization. American Society of Anesthesiologists' scores were higher in the COVID+ group (d = -0.83; P = 0.04); however, the Charlson Comorbidity Index was similar between the study groups (d = -0.17; P = 0.63). Inpatient mortality was significantly increased in the COVID+ cohort (56% vs. 4%; odds ratio 30.0, 95% confidence interval 4.3-207; P = 0.001). Including the one presumed positive case in the COVID+ cohort increased this difference (60% vs. 2%; odds ratio 72.0, 95% confidence interval 7.9-754; P &amp;lt; 0.001). &lt;br/&gt;Conclusion(s):Hip fracture patients with concomitant COVID-19 infection had worse American Society of Anesthesiologists' scores but similar baseline comorbidities with significantly higher rates of inpatient mortality compared with those without concomitant COVID-19 infection. &lt;br/&gt;Level of Evidence:Prognostic Level III. See Instructions for Authors for a complete description of levels of evidence.&lt;br/&gt;Copyright &amp;#xa9; 2020 Lippincott Williams and Wilkins. All rights reserved.","container-title":"Journal of Orthopaedic Trauma","issue":"8","journalAbbreviation":"Journal of Orthopaedic Trauma","note":"publisher: Lippincott Williams and Wilkins (E-mail: customerservice@lww.com)","page":"403-410","source":"EMBASE","title":"Hip fracture outcomes during the COVID-19 pandemic: Early results from New York","volume":"34","author":[{"literal":"LeBrun D.G."},{"literal":"Premkumar A."},{"literal":"Defrancesco C.J."},{"literal":"Gruskay J.A."},{"literal":"Dvorzhinskiy A."},{"literal":"Konnaris M.A."},{"literal":"Ghahramani G.C."},{"literal":"Mendias C.L."},{"literal":"Sandhu M.S."},{"literal":"Goldwyn E.M."},{"literal":"Ricci W.M."}],"issued":{"date-parts":[["2020",8]]}}}],"schema":"https://github.com/citation-style-language/schema/raw/master/csl-citation.json"} </w:instrText>
            </w:r>
            <w:r w:rsidRPr="00127DEF">
              <w:rPr>
                <w:sz w:val="20"/>
                <w:szCs w:val="20"/>
              </w:rPr>
              <w:fldChar w:fldCharType="separate"/>
            </w:r>
            <w:r w:rsidRPr="00127DEF">
              <w:rPr>
                <w:noProof/>
                <w:sz w:val="20"/>
                <w:szCs w:val="20"/>
              </w:rPr>
              <w:t>(41)</w:t>
            </w:r>
            <w:r w:rsidRPr="00127DEF">
              <w:rPr>
                <w:sz w:val="20"/>
                <w:szCs w:val="20"/>
              </w:rPr>
              <w:fldChar w:fldCharType="end"/>
            </w:r>
          </w:p>
        </w:tc>
        <w:tc>
          <w:tcPr>
            <w:tcW w:w="2268" w:type="dxa"/>
          </w:tcPr>
          <w:p w14:paraId="42846DAD" w14:textId="77777777" w:rsidR="00A6613E" w:rsidRPr="00127DEF" w:rsidRDefault="00A6613E" w:rsidP="00B806F5">
            <w:pPr>
              <w:rPr>
                <w:sz w:val="20"/>
                <w:szCs w:val="20"/>
              </w:rPr>
            </w:pPr>
            <w:r w:rsidRPr="00127DEF">
              <w:rPr>
                <w:sz w:val="20"/>
                <w:szCs w:val="20"/>
              </w:rPr>
              <w:t>*</w:t>
            </w:r>
          </w:p>
        </w:tc>
        <w:tc>
          <w:tcPr>
            <w:tcW w:w="1418" w:type="dxa"/>
          </w:tcPr>
          <w:p w14:paraId="6D706860" w14:textId="77777777" w:rsidR="00A6613E" w:rsidRPr="00127DEF" w:rsidRDefault="00A6613E" w:rsidP="00B806F5">
            <w:pPr>
              <w:rPr>
                <w:sz w:val="20"/>
                <w:szCs w:val="20"/>
              </w:rPr>
            </w:pPr>
            <w:r w:rsidRPr="00127DEF">
              <w:rPr>
                <w:sz w:val="20"/>
                <w:szCs w:val="20"/>
              </w:rPr>
              <w:t>*</w:t>
            </w:r>
          </w:p>
        </w:tc>
        <w:tc>
          <w:tcPr>
            <w:tcW w:w="1701" w:type="dxa"/>
          </w:tcPr>
          <w:p w14:paraId="0C61259C" w14:textId="77777777" w:rsidR="00A6613E" w:rsidRPr="00127DEF" w:rsidRDefault="00A6613E" w:rsidP="00B806F5">
            <w:pPr>
              <w:rPr>
                <w:sz w:val="20"/>
                <w:szCs w:val="20"/>
              </w:rPr>
            </w:pPr>
            <w:r w:rsidRPr="00127DEF">
              <w:rPr>
                <w:sz w:val="20"/>
                <w:szCs w:val="20"/>
              </w:rPr>
              <w:t>*</w:t>
            </w:r>
          </w:p>
        </w:tc>
        <w:tc>
          <w:tcPr>
            <w:tcW w:w="1843" w:type="dxa"/>
          </w:tcPr>
          <w:p w14:paraId="05EC9988" w14:textId="77777777" w:rsidR="00A6613E" w:rsidRPr="00127DEF" w:rsidRDefault="00A6613E" w:rsidP="00B806F5">
            <w:pPr>
              <w:rPr>
                <w:sz w:val="20"/>
                <w:szCs w:val="20"/>
              </w:rPr>
            </w:pPr>
            <w:r w:rsidRPr="00127DEF">
              <w:rPr>
                <w:sz w:val="20"/>
                <w:szCs w:val="20"/>
              </w:rPr>
              <w:t>-</w:t>
            </w:r>
          </w:p>
        </w:tc>
        <w:tc>
          <w:tcPr>
            <w:tcW w:w="1842" w:type="dxa"/>
          </w:tcPr>
          <w:p w14:paraId="60CAB14C" w14:textId="77777777" w:rsidR="00A6613E" w:rsidRPr="00127DEF" w:rsidRDefault="00A6613E" w:rsidP="00B806F5">
            <w:pPr>
              <w:rPr>
                <w:sz w:val="20"/>
                <w:szCs w:val="20"/>
              </w:rPr>
            </w:pPr>
            <w:r w:rsidRPr="00127DEF">
              <w:rPr>
                <w:sz w:val="20"/>
                <w:szCs w:val="20"/>
              </w:rPr>
              <w:t>**</w:t>
            </w:r>
          </w:p>
        </w:tc>
        <w:tc>
          <w:tcPr>
            <w:tcW w:w="1418" w:type="dxa"/>
          </w:tcPr>
          <w:p w14:paraId="5B00A7F8" w14:textId="77777777" w:rsidR="00A6613E" w:rsidRPr="00127DEF" w:rsidRDefault="00A6613E" w:rsidP="00B806F5">
            <w:pPr>
              <w:rPr>
                <w:sz w:val="20"/>
                <w:szCs w:val="20"/>
              </w:rPr>
            </w:pPr>
            <w:r w:rsidRPr="00127DEF">
              <w:rPr>
                <w:sz w:val="20"/>
                <w:szCs w:val="20"/>
              </w:rPr>
              <w:t>*</w:t>
            </w:r>
          </w:p>
        </w:tc>
        <w:tc>
          <w:tcPr>
            <w:tcW w:w="1559" w:type="dxa"/>
          </w:tcPr>
          <w:p w14:paraId="4338BC7F" w14:textId="77777777" w:rsidR="00A6613E" w:rsidRPr="00127DEF" w:rsidRDefault="00A6613E" w:rsidP="00B806F5">
            <w:pPr>
              <w:rPr>
                <w:sz w:val="20"/>
                <w:szCs w:val="20"/>
              </w:rPr>
            </w:pPr>
            <w:r w:rsidRPr="00127DEF">
              <w:rPr>
                <w:sz w:val="20"/>
                <w:szCs w:val="20"/>
              </w:rPr>
              <w:t>-</w:t>
            </w:r>
          </w:p>
        </w:tc>
        <w:tc>
          <w:tcPr>
            <w:tcW w:w="1559" w:type="dxa"/>
          </w:tcPr>
          <w:p w14:paraId="72A42116" w14:textId="77777777" w:rsidR="00A6613E" w:rsidRPr="00127DEF" w:rsidRDefault="00A6613E" w:rsidP="00B806F5">
            <w:pPr>
              <w:rPr>
                <w:sz w:val="20"/>
                <w:szCs w:val="20"/>
              </w:rPr>
            </w:pPr>
            <w:r w:rsidRPr="00127DEF">
              <w:rPr>
                <w:sz w:val="20"/>
                <w:szCs w:val="20"/>
              </w:rPr>
              <w:t>-</w:t>
            </w:r>
          </w:p>
        </w:tc>
        <w:tc>
          <w:tcPr>
            <w:tcW w:w="993" w:type="dxa"/>
          </w:tcPr>
          <w:p w14:paraId="1D9637BD" w14:textId="77777777" w:rsidR="00A6613E" w:rsidRPr="00127DEF" w:rsidRDefault="00A6613E" w:rsidP="00B806F5">
            <w:pPr>
              <w:rPr>
                <w:sz w:val="20"/>
                <w:szCs w:val="20"/>
              </w:rPr>
            </w:pPr>
            <w:r w:rsidRPr="00127DEF">
              <w:rPr>
                <w:sz w:val="20"/>
                <w:szCs w:val="20"/>
              </w:rPr>
              <w:t>7</w:t>
            </w:r>
          </w:p>
        </w:tc>
      </w:tr>
      <w:tr w:rsidR="00A6613E" w:rsidRPr="00127DEF" w14:paraId="19A5A2A2" w14:textId="77777777" w:rsidTr="00B806F5">
        <w:tc>
          <w:tcPr>
            <w:tcW w:w="1560" w:type="dxa"/>
          </w:tcPr>
          <w:p w14:paraId="3D1B4E59"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Malik </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ADDIN ZOTERO_ITEM CSL_CITATION {"citationID":"uQdhzMt6","properties":{"formattedCitation":"(42)","plainCitation":"(42)","noteIndex":0},"citationItems":[{"id":508,"uris":["http://zotero.org/users/local/Tj9AEhkp/items/GDM7QDVL"],"uri":["http://zotero.org/users/local/Tj9AEhkp/items/GDM7QDVL"],"itemData":{"id":508,"type":"article-journal","abstract":"This study aimed to compare the treatment pathway and 30-day outcomes of hip fracture patients admitted during the COVID-19 pandemic with the pre-pandemic period. Three periods were retrospectively analysed: period C = 23/03/2020-11/05/2020, period A = 23/03/2018-11/05/2018, period B = 23/03/2019-11/05/2019. No statistically significant differences in time to surgery, type of treatment, complications, and mortality rates were noted. A significant reduction (p = 0.021) in the time to orthogeriatric assessment and length of inpatient stay (p &amp;lt; 0.001) was found in period C. Institutional adaptions to facilitate prompt treatment in hip fractures during the pandemic resulted in favourable outcomes.&lt;br/&gt;Copyright &amp;#xa9; 2020","container-title":"Journal of Orthopaedics","journalAbbreviation":"Journal of Orthopaedics","note":"publisher: Reed Elsevier India Pvt. Ltd.","page":"332-337","source":"EMBASE","title":"Management of hip fractures during the COVID-19 pandemic at a high-volume hip fracture unit in the United Kingdom","volume":"20","author":[{"literal":"Malik-Tabassum K."},{"literal":"Crooks M."},{"literal":"Robertson A."},{"literal":"To C."},{"literal":"Maling L."},{"literal":"Selmon G."}],"issued":{"date-parts":[["2020"]]}}}],"schema":"https://github.com/citation-style-language/schema/raw/master/csl-citation.json"} </w:instrTex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127DEF">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(42)</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c>
          <w:tcPr>
            <w:tcW w:w="2268" w:type="dxa"/>
          </w:tcPr>
          <w:p w14:paraId="5B998E1D"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2CEDC9F3"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701" w:type="dxa"/>
          </w:tcPr>
          <w:p w14:paraId="396939D5"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3" w:type="dxa"/>
          </w:tcPr>
          <w:p w14:paraId="14DC6FF5"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2" w:type="dxa"/>
          </w:tcPr>
          <w:p w14:paraId="67BFB9BB"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41452FD2"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164872EB"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746D5CDC"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993" w:type="dxa"/>
          </w:tcPr>
          <w:p w14:paraId="22906CAB"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A6613E" w:rsidRPr="00127DEF" w14:paraId="285D9C2F" w14:textId="77777777" w:rsidTr="00B806F5">
        <w:tc>
          <w:tcPr>
            <w:tcW w:w="1560" w:type="dxa"/>
          </w:tcPr>
          <w:p w14:paraId="025CD169"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Maniscalco </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ADDIN ZOTERO_ITEM CSL_CITATION {"citationID":"rLocfZrm","properties":{"formattedCitation":"(43)","plainCitation":"(43)","noteIndex":0},"citationItems":[{"id":477,"uris":["http://zotero.org/users/local/Tj9AEhkp/items/6EIMSH9E"],"uri":["http://zotero.org/users/local/Tj9AEhkp/items/6EIMSH9E"],"itemData":{"id":477,"type":"article-journal","abstract":"Background and aim of the work: The worldwide incidence of fractures of the proximal end of the femur is increasing as the average age of the population rises. The current surgical gold treatment standard is intramedullary nail fixation. The Authors present their experience with the D-Nail system for intertrochanteric femur fractures. &lt;br/&gt;Method(s): From January 1st to February 21st 2020 (breakout of COVID-19 pandemic) 34 patients were treated with the D-Nail system: 11 with basicervical fractures, 16 with intertrochanteric stable fractures and 7 with intertrochanteric unstable fractures. In 11 cases, a single cephalic screw was used; in 23 cases, two of them were used. Distal locking was executed in 7 patients. Follow-up time ranged from 2 to 3 months. &lt;br/&gt;Result(s): None of the reported intra-or post-operative complication was linked to the fixation device or the surgical technique. Patients were monitored with clinical and radiological checkups using modified Harris Hip Score to accurately evaluate the fluctuations in the rehabilitation period. &lt;br/&gt;Conclusion(s): The main advantages of this synthesis device are the proximal hole's peculiar shape, which allows the possibility to position one or two cephalic screws on the same nail, and the silicon coating, which provides numerous biological advantages. Distal locking was executed in selected cases only, based on fracture type. Optimum treatment involves rapid execution of surgery, minimal trauma during surgery, maximum mechanical stability, and rapid weight-bearing. Although our case number is small and follow-up time brief, our results are encouraging. (www.actabiomedica.it).&lt;br/&gt;Copyright &amp;#xa9; Mattioli 1885.","container-title":"Acta Biomedica de l'Ateneo Parmense","journalAbbreviation":"Acta Biomedica de l'Ateneo Parmense","note":"publisher: Mattioli 1885 (E-mail: edit@mattioli1885.com)","page":"122-127","source":"EMBASE","title":"A preliminary experience with a new intramedullary nail for trochanteric fractures","volume":"91","author":[{"literal":"Maniscalco P."},{"literal":"Quattrini F."},{"literal":"Ciatti C."},{"literal":"Rivera F."},{"literal":"Di Stefano G."},{"literal":"Pavone V."},{"literal":"Burgio V."}],"issued":{"date-parts":[["2020",6]]}}}],"schema":"https://github.com/citation-style-language/schema/raw/master/csl-citation.json"} </w:instrTex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127DEF">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(43)</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c>
          <w:tcPr>
            <w:tcW w:w="2268" w:type="dxa"/>
          </w:tcPr>
          <w:p w14:paraId="3DDA513B"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7B6B2517"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701" w:type="dxa"/>
          </w:tcPr>
          <w:p w14:paraId="587AE056"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3" w:type="dxa"/>
          </w:tcPr>
          <w:p w14:paraId="7CFD1C2E"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2" w:type="dxa"/>
          </w:tcPr>
          <w:p w14:paraId="152F01DB"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4766ECD3"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52983251"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33CF3B32"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993" w:type="dxa"/>
          </w:tcPr>
          <w:p w14:paraId="301ECAFA"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A6613E" w:rsidRPr="00127DEF" w14:paraId="2D6BCDE5" w14:textId="77777777" w:rsidTr="00B806F5">
        <w:tc>
          <w:tcPr>
            <w:tcW w:w="1560" w:type="dxa"/>
          </w:tcPr>
          <w:p w14:paraId="2A3D75DE" w14:textId="77777777" w:rsidR="00A6613E" w:rsidRPr="00127DEF" w:rsidRDefault="00A6613E" w:rsidP="00B806F5">
            <w:pPr>
              <w:rPr>
                <w:sz w:val="20"/>
                <w:szCs w:val="20"/>
              </w:rPr>
            </w:pPr>
            <w:r w:rsidRPr="00127DEF">
              <w:rPr>
                <w:sz w:val="20"/>
                <w:szCs w:val="20"/>
              </w:rPr>
              <w:t xml:space="preserve">Narang 2020 </w:t>
            </w:r>
            <w:r w:rsidRPr="00127DEF">
              <w:rPr>
                <w:sz w:val="20"/>
                <w:szCs w:val="20"/>
              </w:rPr>
              <w:fldChar w:fldCharType="begin"/>
            </w:r>
            <w:r w:rsidRPr="00127DEF">
              <w:rPr>
                <w:sz w:val="20"/>
                <w:szCs w:val="20"/>
              </w:rPr>
              <w:instrText xml:space="preserve"> ADDIN ZOTERO_ITEM CSL_CITATION {"citationID":"cZDs7DWL","properties":{"formattedCitation":"(30)","plainCitation":"(30)","noteIndex":0},"citationItems":[{"id":417,"uris":["http://zotero.org/users/local/Tj9AEhkp/items/VWML3FAJ"],"uri":["http://zotero.org/users/local/Tj9AEhkp/items/VWML3FAJ"],"itemData":{"id":417,"type":"article-journal","abstract":"Purpose: Thirty-day mortality of patients with hip fracture is well researched and predictive; validated scoring tools have been developed (Nottingham Hip Fracture Score, NHFS). COVID-19 has significantly greater mortality in the elderly and comorbid patients which includes hip fracture patients. Non-operative treatment is not appropriate due to significantly higher mortality, and therefore, these patients are often exposed to COVID-19 in the peri-operative period. What is unclear is the effect of concomitant COVID-19 infection in these patients. &lt;br/&gt;Method(s): A multicentre prospective study across ten sites in the United Kingdom (responsible for 7% of hip fracture patients per annum in the UK). Demographic and background information were collected by independent chart review. Data on surgical factors included American Society of Anesthesiologists (ASA) score, time to theatre, Nottingham Hip fracture score (NHFS) and classification of fracture were also collected between 1st March 2020 and 30th April 2020 with a matched cohort from the same period in 2019. &lt;br/&gt;Result(s): Actual and expected 30-day mortality was found to be significantly higher than expected for 2020 COVID-19 positive patients (RR 3.00 95% CI 1.57-5.75, p &amp;lt; 0.001), with 30 observed deaths compared against the 10 expected from NHFS risk stratification. &lt;br/&gt;Conclusion(s): COVID-19 infection appears to be an independent risk factor for increased mortality in hip fracture patients. Whilst non-operative management of these fractures is not suggested due to the documented increased risks and mortality, this study provides evidence to the emerging literature of the severity of COVID-19 infection in surgical patients and the potential impact of COVID-19 on elective surgical patients in the peri-operative period.&lt;br/&gt;Copyright &amp;#xa9; 2020, SICOT aisbl.","container-title":"International Orthopaedics","journalAbbreviation":"International Orthopaedics","note":"publisher: Springer","source":"EMBASE","title":"Thirty-day mortality following surgical management of hip fractures during the COVID-19 pandemic: findings from a prospective multi-centre UK study","author":[{"literal":"Narang A."},{"literal":"Ali Z."},{"literal":"Carr A."},{"literal":"Belgaumkar A."},{"literal":"Kieffer W.K.M."},{"literal":"Chan G."},{"literal":"Aframian A."},{"literal":"Morgan C."},{"literal":"Gibbons C."},{"literal":"Goodier H."},{"literal":"Wilson M."},{"literal":"Gallagher K."},{"literal":"Park C."},{"literal":"Sugand K."},{"literal":"Sarraf K."},{"literal":"Walton T."},{"literal":"Rogers B.A."},{"literal":"Ghosh K."},{"literal":"Wakeling C."},{"literal":"Keightley A."},{"literal":"Nawaz Z."}],"issued":{"date-parts":[["2020"]]}}}],"schema":"https://github.com/citation-style-language/schema/raw/master/csl-citation.json"} </w:instrText>
            </w:r>
            <w:r w:rsidRPr="00127DEF">
              <w:rPr>
                <w:sz w:val="20"/>
                <w:szCs w:val="20"/>
              </w:rPr>
              <w:fldChar w:fldCharType="separate"/>
            </w:r>
            <w:r w:rsidRPr="00127DEF">
              <w:rPr>
                <w:noProof/>
                <w:sz w:val="20"/>
                <w:szCs w:val="20"/>
              </w:rPr>
              <w:t>(30)</w:t>
            </w:r>
            <w:r w:rsidRPr="00127DEF">
              <w:rPr>
                <w:sz w:val="20"/>
                <w:szCs w:val="20"/>
              </w:rPr>
              <w:fldChar w:fldCharType="end"/>
            </w:r>
          </w:p>
        </w:tc>
        <w:tc>
          <w:tcPr>
            <w:tcW w:w="2268" w:type="dxa"/>
          </w:tcPr>
          <w:p w14:paraId="12DF815F" w14:textId="77777777" w:rsidR="00A6613E" w:rsidRPr="00127DEF" w:rsidRDefault="00A6613E" w:rsidP="00B806F5">
            <w:pPr>
              <w:rPr>
                <w:sz w:val="20"/>
                <w:szCs w:val="20"/>
              </w:rPr>
            </w:pPr>
            <w:r w:rsidRPr="00127DEF">
              <w:rPr>
                <w:sz w:val="20"/>
                <w:szCs w:val="20"/>
              </w:rPr>
              <w:t>*</w:t>
            </w:r>
          </w:p>
        </w:tc>
        <w:tc>
          <w:tcPr>
            <w:tcW w:w="1418" w:type="dxa"/>
          </w:tcPr>
          <w:p w14:paraId="2372C413" w14:textId="77777777" w:rsidR="00A6613E" w:rsidRPr="00127DEF" w:rsidRDefault="00A6613E" w:rsidP="00B806F5">
            <w:pPr>
              <w:rPr>
                <w:sz w:val="20"/>
                <w:szCs w:val="20"/>
              </w:rPr>
            </w:pPr>
            <w:r w:rsidRPr="00127DEF">
              <w:rPr>
                <w:sz w:val="20"/>
                <w:szCs w:val="20"/>
              </w:rPr>
              <w:t>*</w:t>
            </w:r>
          </w:p>
        </w:tc>
        <w:tc>
          <w:tcPr>
            <w:tcW w:w="1701" w:type="dxa"/>
          </w:tcPr>
          <w:p w14:paraId="04D8C6FA" w14:textId="77777777" w:rsidR="00A6613E" w:rsidRPr="00127DEF" w:rsidRDefault="00A6613E" w:rsidP="00B806F5">
            <w:pPr>
              <w:rPr>
                <w:sz w:val="20"/>
                <w:szCs w:val="20"/>
              </w:rPr>
            </w:pPr>
            <w:r w:rsidRPr="00127DEF">
              <w:rPr>
                <w:sz w:val="20"/>
                <w:szCs w:val="20"/>
              </w:rPr>
              <w:t>*</w:t>
            </w:r>
          </w:p>
        </w:tc>
        <w:tc>
          <w:tcPr>
            <w:tcW w:w="1843" w:type="dxa"/>
          </w:tcPr>
          <w:p w14:paraId="0B560F88" w14:textId="77777777" w:rsidR="00A6613E" w:rsidRPr="00127DEF" w:rsidRDefault="00A6613E" w:rsidP="00B806F5">
            <w:pPr>
              <w:rPr>
                <w:sz w:val="20"/>
                <w:szCs w:val="20"/>
              </w:rPr>
            </w:pPr>
            <w:r w:rsidRPr="00127DEF">
              <w:rPr>
                <w:sz w:val="20"/>
                <w:szCs w:val="20"/>
              </w:rPr>
              <w:t>*</w:t>
            </w:r>
          </w:p>
        </w:tc>
        <w:tc>
          <w:tcPr>
            <w:tcW w:w="1842" w:type="dxa"/>
          </w:tcPr>
          <w:p w14:paraId="7F9E9C69" w14:textId="77777777" w:rsidR="00A6613E" w:rsidRPr="00127DEF" w:rsidRDefault="00A6613E" w:rsidP="00B806F5">
            <w:pPr>
              <w:rPr>
                <w:sz w:val="20"/>
                <w:szCs w:val="20"/>
              </w:rPr>
            </w:pPr>
            <w:r w:rsidRPr="00127DEF">
              <w:rPr>
                <w:sz w:val="20"/>
                <w:szCs w:val="20"/>
              </w:rPr>
              <w:t>**</w:t>
            </w:r>
          </w:p>
        </w:tc>
        <w:tc>
          <w:tcPr>
            <w:tcW w:w="1418" w:type="dxa"/>
          </w:tcPr>
          <w:p w14:paraId="02E35758" w14:textId="77777777" w:rsidR="00A6613E" w:rsidRPr="00127DEF" w:rsidRDefault="00A6613E" w:rsidP="00B806F5">
            <w:pPr>
              <w:rPr>
                <w:sz w:val="20"/>
                <w:szCs w:val="20"/>
              </w:rPr>
            </w:pPr>
            <w:r w:rsidRPr="00127DEF">
              <w:rPr>
                <w:sz w:val="20"/>
                <w:szCs w:val="20"/>
              </w:rPr>
              <w:t>*</w:t>
            </w:r>
          </w:p>
        </w:tc>
        <w:tc>
          <w:tcPr>
            <w:tcW w:w="1559" w:type="dxa"/>
          </w:tcPr>
          <w:p w14:paraId="669A6D5C" w14:textId="77777777" w:rsidR="00A6613E" w:rsidRPr="00127DEF" w:rsidRDefault="00A6613E" w:rsidP="00B806F5">
            <w:pPr>
              <w:rPr>
                <w:sz w:val="20"/>
                <w:szCs w:val="20"/>
              </w:rPr>
            </w:pPr>
            <w:r w:rsidRPr="00127DEF">
              <w:rPr>
                <w:sz w:val="20"/>
                <w:szCs w:val="20"/>
              </w:rPr>
              <w:t>*</w:t>
            </w:r>
          </w:p>
        </w:tc>
        <w:tc>
          <w:tcPr>
            <w:tcW w:w="1559" w:type="dxa"/>
          </w:tcPr>
          <w:p w14:paraId="4D624A93" w14:textId="77777777" w:rsidR="00A6613E" w:rsidRPr="00127DEF" w:rsidRDefault="00A6613E" w:rsidP="00B806F5">
            <w:pPr>
              <w:rPr>
                <w:sz w:val="20"/>
                <w:szCs w:val="20"/>
              </w:rPr>
            </w:pPr>
            <w:r w:rsidRPr="00127DEF">
              <w:rPr>
                <w:sz w:val="20"/>
                <w:szCs w:val="20"/>
              </w:rPr>
              <w:t>*</w:t>
            </w:r>
          </w:p>
        </w:tc>
        <w:tc>
          <w:tcPr>
            <w:tcW w:w="993" w:type="dxa"/>
          </w:tcPr>
          <w:p w14:paraId="4ED3C650" w14:textId="77777777" w:rsidR="00A6613E" w:rsidRPr="00127DEF" w:rsidRDefault="00A6613E" w:rsidP="00B806F5">
            <w:pPr>
              <w:rPr>
                <w:sz w:val="20"/>
                <w:szCs w:val="20"/>
              </w:rPr>
            </w:pPr>
            <w:r w:rsidRPr="00127DEF">
              <w:rPr>
                <w:sz w:val="20"/>
                <w:szCs w:val="20"/>
              </w:rPr>
              <w:t>9</w:t>
            </w:r>
          </w:p>
        </w:tc>
      </w:tr>
      <w:tr w:rsidR="00A6613E" w:rsidRPr="00127DEF" w14:paraId="5477F32D" w14:textId="77777777" w:rsidTr="00B806F5">
        <w:tc>
          <w:tcPr>
            <w:tcW w:w="1560" w:type="dxa"/>
          </w:tcPr>
          <w:p w14:paraId="1BC69413"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Nunez 2020 </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ADDIN ZOTERO_ITEM CSL_CITATION {"citationID":"YsnouBBm","properties":{"formattedCitation":"(44)","plainCitation":"(44)","noteIndex":0},"citationItems":[{"id":467,"uris":["http://zotero.org/users/local/Tj9AEhkp/items/LX8JVFZQ"],"uri":["http://zotero.org/users/local/Tj9AEhkp/items/LX8JVFZQ"],"itemData":{"id":467,"type":"article-journal","abstract":"Introduction: The severe disruptions caused by the SARS-CoV-2 coronavirus have necessitated a redistribution of resources to meet hospitals' current service needs during this pandemic. The aim of this study was to provide an overview of the impact of the pandemic, and its corresponding State of Emergency, on a tertiary traumatology emergency service. &lt;br/&gt;Method(s): An observational study was performed at a tertiary hospital within the Spanish National Health System. Four different periods were studied, including the first 20 days of Spain's current State of Emergency, from March 14 to April 02, 2020 (Period 4). This period was compared to the 20-day period prior to the State of Emergency (Period 3), and to matching periods in the two previous years (Periods 1 and 2). A total of 6,565 patient visits were analyzed: 1909 in Period 1 (29.1%), 2161 in Period 2 (32.9%), 1983 in Period 3 (30.2%), and 512 in Period 4 (7.8%). Variables collected included patient age and sex, insurance type, discharge destination and reason for hospital admission. &lt;br/&gt;Result(s): The patients' mean age was 55.1 years old (Standard Deviation (SD): 22.1), and 51.8% were women (3495/6565). During the COVID-19 pandemic, there were significant reductions in total visits to the trauma emergency department, workplace accidents, traffic accidents and number of hospital admissions, particularly during Period 4. However, no statistically-significant differences were found in the number of osteoporotic hip fractures admitted between the four periods. The numbers of hospital admissions for osteoporotic hip fracture were 42 during Period 1, 41 during Period 2, 43 during Period 3 and 36 during Period 4. &lt;br/&gt;Conclusion(s): While most traumatological presentations decreased in frequency over the course of the outbreak, the number of osteoporotic hip fractures remained stable. Thus, contingency plans in times of crisis need to be carefully targeted, and to keep in mind certain public health issues that do not decrease, despite a State of Emergency, like osteoporotic hip fractures.&lt;br/&gt;Copyright &amp;#xa9; 2020 Elsevier Ltd","container-title":"Injury","issue":"7","journalAbbreviation":"Injury","note":"publisher: Elsevier Ltd","page":"1414-1418","source":"EMBASE","title":"Impact of the COVID-19 Pandemic on an Emergency Traumatology Service: Experience at a Tertiary Trauma Centre in Spain","volume":"51","author":[{"literal":"Nunez J.H."},{"literal":"Sallent A."},{"literal":"Lakhani K."},{"literal":"Guerra-Farfan E."},{"literal":"Vidal N."},{"literal":"Minguell J."},{"literal":"Ekhtiari S."}],"issued":{"date-parts":[["2020",7]]}}}],"schema":"https://github.com/citation-style-language/schema/raw/master/csl-citation.json"} </w:instrTex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127DEF">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(44)</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c>
          <w:tcPr>
            <w:tcW w:w="2268" w:type="dxa"/>
          </w:tcPr>
          <w:p w14:paraId="2C2B5420"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15472472"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701" w:type="dxa"/>
          </w:tcPr>
          <w:p w14:paraId="654DF491"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3" w:type="dxa"/>
          </w:tcPr>
          <w:p w14:paraId="7AAC3FA1"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2" w:type="dxa"/>
          </w:tcPr>
          <w:p w14:paraId="3D120557"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7763AC33"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45D21950"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2821E469"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993" w:type="dxa"/>
          </w:tcPr>
          <w:p w14:paraId="37445B86"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A6613E" w:rsidRPr="00127DEF" w14:paraId="51D4B0DD" w14:textId="77777777" w:rsidTr="00B806F5">
        <w:tc>
          <w:tcPr>
            <w:tcW w:w="1560" w:type="dxa"/>
          </w:tcPr>
          <w:p w14:paraId="18B8FAD7" w14:textId="77777777" w:rsidR="00A6613E" w:rsidRPr="00127DEF" w:rsidRDefault="00A6613E" w:rsidP="00B806F5">
            <w:pPr>
              <w:rPr>
                <w:sz w:val="20"/>
                <w:szCs w:val="20"/>
              </w:rPr>
            </w:pPr>
            <w:r w:rsidRPr="00127DEF">
              <w:rPr>
                <w:sz w:val="20"/>
                <w:szCs w:val="20"/>
              </w:rPr>
              <w:t xml:space="preserve">Segarra 2020 </w:t>
            </w:r>
            <w:r w:rsidRPr="00127DEF">
              <w:rPr>
                <w:sz w:val="20"/>
                <w:szCs w:val="20"/>
              </w:rPr>
              <w:fldChar w:fldCharType="begin"/>
            </w:r>
            <w:r w:rsidRPr="00127DEF">
              <w:rPr>
                <w:sz w:val="20"/>
                <w:szCs w:val="20"/>
              </w:rPr>
              <w:instrText xml:space="preserve"> ADDIN ZOTERO_ITEM CSL_CITATION {"citationID":"7hylFyAR","properties":{"formattedCitation":"(31)","plainCitation":"(31)","noteIndex":0},"citationItems":[{"id":378,"uris":["http://zotero.org/users/local/Tj9AEhkp/items/UDRMIHQ9"],"uri":["http://zotero.org/users/local/Tj9AEhkp/items/UDRMIHQ9"],"itemData":{"id":378,"type":"article-journal","abstract":"OBJECTIVES: To describe clinical characteristics of fracture patients, including a closer look to hip fracture patients, and determine how epidemiological variables may have influenced on a higher vulnerability to SARS-CoV-2 infection, as the basis for the considerations needed to reintroduce elective surgery during the pandemic. DESIGN: Longitudinal prospective cohort study. SETTING: Level I Trauma Center in the East of Spain. PATIENTS/PARTICIPANTS: One hundred forty-four consecutive fracture patients 18 years or older admitted for surgery. INTERVENTION: Patients were tested for SARS-CoV-2 with either molecular and/or serological techniques and screened for presentation of COVID-19. MAIN OUTCOME MEASUREMENTS: Patients were interviewed and charts reviewed for demographic, epidemiological, clinical, and surgical characteristics. &lt;br/&gt;RESULT(S): We interviewed all patients and tested 137 (95.7%) of them. Three positive patients for SARS-CoV-2 were identified (2.1%). One was asymptomatic and the other 2 required admission due to COVID-19-related symptoms. Mortality for the whole cohort was 13 patients (9%). Significant association was found between infection by SARS-CoV-2 and epidemiological variables including: intimate exposure to respiratory symptomatic patients (P = 0.025) and intimate exposure to SARS-CoV-2-positive patients (P = 0.013). No association was found when crowding above 50 people was tested individually (P = 0.187). When comparing the 2020 and 2019 hip fracture cohorts we found them to be similar, including 30-day mortality. A significant increase in surgical delay from 1.5 to 1.8 days was observed on the 2020 patients (P = 0.034). &lt;br/&gt;CONCLUSION(S): Patients may be treated safely at hospitals if strict recommendations are followed. Both cohorts of hip fracture patients had similar 30-day mortality. LEVEL OF EVIDENCE: Prognostic Level III. See Instructions for Authors for a complete description of levels of evidence.","container-title":"Journal of orthopaedic trauma","issue":"10","journalAbbreviation":"Journal of orthopaedic trauma","note":"publisher: NLM (Medline)","source":"EMBASE","title":"Are Hospitals Safe? A Prospective Study on SARS-CoV-2 Prevalence and Outcome on Surgical Fracture Patients: A Closer Look at Hip Fracture Patients","volume":"34","author":[{"literal":"Segarra B."},{"literal":"Ballesteros Heras N."},{"literal":"Viadel Ortiz M."},{"literal":"Ribes-Iborra J."},{"literal":"Martinez-Macias O."},{"literal":"Cuesta-Peredo D."}],"issued":{"date-parts":[["2020",10]]}}}],"schema":"https://github.com/citation-style-language/schema/raw/master/csl-citation.json"} </w:instrText>
            </w:r>
            <w:r w:rsidRPr="00127DEF">
              <w:rPr>
                <w:sz w:val="20"/>
                <w:szCs w:val="20"/>
              </w:rPr>
              <w:fldChar w:fldCharType="separate"/>
            </w:r>
            <w:r w:rsidRPr="00127DEF">
              <w:rPr>
                <w:noProof/>
                <w:sz w:val="20"/>
                <w:szCs w:val="20"/>
              </w:rPr>
              <w:t>(31)</w:t>
            </w:r>
            <w:r w:rsidRPr="00127DEF">
              <w:rPr>
                <w:sz w:val="20"/>
                <w:szCs w:val="20"/>
              </w:rPr>
              <w:fldChar w:fldCharType="end"/>
            </w:r>
          </w:p>
        </w:tc>
        <w:tc>
          <w:tcPr>
            <w:tcW w:w="2268" w:type="dxa"/>
          </w:tcPr>
          <w:p w14:paraId="0B7BB664" w14:textId="77777777" w:rsidR="00A6613E" w:rsidRPr="00127DEF" w:rsidRDefault="00A6613E" w:rsidP="00B806F5">
            <w:pPr>
              <w:rPr>
                <w:sz w:val="20"/>
                <w:szCs w:val="20"/>
              </w:rPr>
            </w:pPr>
            <w:r w:rsidRPr="00127DEF">
              <w:rPr>
                <w:sz w:val="20"/>
                <w:szCs w:val="20"/>
              </w:rPr>
              <w:t>*</w:t>
            </w:r>
          </w:p>
        </w:tc>
        <w:tc>
          <w:tcPr>
            <w:tcW w:w="1418" w:type="dxa"/>
          </w:tcPr>
          <w:p w14:paraId="2410DB38" w14:textId="77777777" w:rsidR="00A6613E" w:rsidRPr="00127DEF" w:rsidRDefault="00A6613E" w:rsidP="00B806F5">
            <w:pPr>
              <w:rPr>
                <w:sz w:val="20"/>
                <w:szCs w:val="20"/>
              </w:rPr>
            </w:pPr>
            <w:r w:rsidRPr="00127DEF">
              <w:rPr>
                <w:sz w:val="20"/>
                <w:szCs w:val="20"/>
              </w:rPr>
              <w:t>*</w:t>
            </w:r>
          </w:p>
        </w:tc>
        <w:tc>
          <w:tcPr>
            <w:tcW w:w="1701" w:type="dxa"/>
          </w:tcPr>
          <w:p w14:paraId="35B6B25C" w14:textId="77777777" w:rsidR="00A6613E" w:rsidRPr="00127DEF" w:rsidRDefault="00A6613E" w:rsidP="00B806F5">
            <w:pPr>
              <w:rPr>
                <w:sz w:val="20"/>
                <w:szCs w:val="20"/>
              </w:rPr>
            </w:pPr>
            <w:r w:rsidRPr="00127DEF">
              <w:rPr>
                <w:sz w:val="20"/>
                <w:szCs w:val="20"/>
              </w:rPr>
              <w:t>*</w:t>
            </w:r>
          </w:p>
        </w:tc>
        <w:tc>
          <w:tcPr>
            <w:tcW w:w="1843" w:type="dxa"/>
          </w:tcPr>
          <w:p w14:paraId="3CE5440C" w14:textId="77777777" w:rsidR="00A6613E" w:rsidRPr="00127DEF" w:rsidRDefault="00A6613E" w:rsidP="00B806F5">
            <w:pPr>
              <w:rPr>
                <w:sz w:val="20"/>
                <w:szCs w:val="20"/>
              </w:rPr>
            </w:pPr>
            <w:r w:rsidRPr="00127DEF">
              <w:rPr>
                <w:sz w:val="20"/>
                <w:szCs w:val="20"/>
              </w:rPr>
              <w:t>*</w:t>
            </w:r>
          </w:p>
        </w:tc>
        <w:tc>
          <w:tcPr>
            <w:tcW w:w="1842" w:type="dxa"/>
          </w:tcPr>
          <w:p w14:paraId="427044EB" w14:textId="77777777" w:rsidR="00A6613E" w:rsidRPr="00127DEF" w:rsidRDefault="00A6613E" w:rsidP="00B806F5">
            <w:pPr>
              <w:rPr>
                <w:sz w:val="20"/>
                <w:szCs w:val="20"/>
              </w:rPr>
            </w:pPr>
            <w:r w:rsidRPr="00127DEF">
              <w:rPr>
                <w:sz w:val="20"/>
                <w:szCs w:val="20"/>
              </w:rPr>
              <w:t>**</w:t>
            </w:r>
          </w:p>
        </w:tc>
        <w:tc>
          <w:tcPr>
            <w:tcW w:w="1418" w:type="dxa"/>
          </w:tcPr>
          <w:p w14:paraId="6810CCED" w14:textId="77777777" w:rsidR="00A6613E" w:rsidRPr="00127DEF" w:rsidRDefault="00A6613E" w:rsidP="00B806F5">
            <w:pPr>
              <w:rPr>
                <w:sz w:val="20"/>
                <w:szCs w:val="20"/>
              </w:rPr>
            </w:pPr>
            <w:r w:rsidRPr="00127DEF">
              <w:rPr>
                <w:sz w:val="20"/>
                <w:szCs w:val="20"/>
              </w:rPr>
              <w:t>*</w:t>
            </w:r>
          </w:p>
        </w:tc>
        <w:tc>
          <w:tcPr>
            <w:tcW w:w="1559" w:type="dxa"/>
          </w:tcPr>
          <w:p w14:paraId="67928CF7" w14:textId="77777777" w:rsidR="00A6613E" w:rsidRPr="00127DEF" w:rsidRDefault="00A6613E" w:rsidP="00B806F5">
            <w:pPr>
              <w:rPr>
                <w:sz w:val="20"/>
                <w:szCs w:val="20"/>
              </w:rPr>
            </w:pPr>
            <w:r w:rsidRPr="00127DEF">
              <w:rPr>
                <w:sz w:val="20"/>
                <w:szCs w:val="20"/>
              </w:rPr>
              <w:t>*</w:t>
            </w:r>
          </w:p>
        </w:tc>
        <w:tc>
          <w:tcPr>
            <w:tcW w:w="1559" w:type="dxa"/>
          </w:tcPr>
          <w:p w14:paraId="7C36DD02" w14:textId="77777777" w:rsidR="00A6613E" w:rsidRPr="00127DEF" w:rsidRDefault="00A6613E" w:rsidP="00B806F5">
            <w:pPr>
              <w:rPr>
                <w:sz w:val="20"/>
                <w:szCs w:val="20"/>
              </w:rPr>
            </w:pPr>
            <w:r w:rsidRPr="00127DEF">
              <w:rPr>
                <w:sz w:val="20"/>
                <w:szCs w:val="20"/>
              </w:rPr>
              <w:t>*</w:t>
            </w:r>
          </w:p>
        </w:tc>
        <w:tc>
          <w:tcPr>
            <w:tcW w:w="993" w:type="dxa"/>
          </w:tcPr>
          <w:p w14:paraId="5FC98A8A" w14:textId="77777777" w:rsidR="00A6613E" w:rsidRPr="00127DEF" w:rsidRDefault="00A6613E" w:rsidP="00B806F5">
            <w:pPr>
              <w:rPr>
                <w:sz w:val="20"/>
                <w:szCs w:val="20"/>
              </w:rPr>
            </w:pPr>
            <w:r w:rsidRPr="00127DEF">
              <w:rPr>
                <w:sz w:val="20"/>
                <w:szCs w:val="20"/>
              </w:rPr>
              <w:t>9</w:t>
            </w:r>
          </w:p>
        </w:tc>
      </w:tr>
      <w:tr w:rsidR="00A6613E" w:rsidRPr="00127DEF" w14:paraId="26C40E58" w14:textId="77777777" w:rsidTr="00B806F5">
        <w:tc>
          <w:tcPr>
            <w:tcW w:w="1560" w:type="dxa"/>
          </w:tcPr>
          <w:p w14:paraId="6791FB3B"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Slullitel</w:t>
            </w:r>
            <w:proofErr w:type="spellEnd"/>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2020 </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ADDIN ZOTERO_ITEM CSL_CITATION {"citationID":"jh3O2Nko","properties":{"formattedCitation":"(45)","plainCitation":"(45)","noteIndex":0},"citationItems":[{"id":446,"uris":["http://zotero.org/users/local/Tj9AEhkp/items/CJF5NGE7"],"uri":["http://zotero.org/users/local/Tj9AEhkp/items/CJF5NGE7"],"itemData":{"id":446,"type":"article-journal","abstract":"Purpose: To analyse the impact of prolonged mandatory lockdown due to COVID-19 on hip fracture epidemiology. &lt;br/&gt;Method(s): Retrospective case-control study of 160 hip fractures operated upon between December 2019 and May 2020. Based on the date of declaration of national lockdown, the cohort was separated into two groups: 'pre-COVID time' (PCT), including 86 patients, and 'COVID time' (CT), consisting of 74 patients. All CT patients tested negative for SARS-CoV-2. Patients were stratified based on demographic characteristics. Outcome measures were 30-day complications, readmissions and mortality. A logistic regression model was run to evaluate factors associated with mortality. &lt;br/&gt;Result(s): Age, female/male ratio, body mass index and American Society of Anaesthesia score were similar between both groups (p &amp;gt; 0.05). CT patients had a higher percentage of Charlson &amp;gt;= 5 and Rockwood Frailty Index &amp;gt;= 5 scores (p &amp;lt; 0.05) as well as lower UCLA and Instrumental Activities of Daily Living scores (p &amp;lt; 0.05). This translated into a higher hemiarthroplasty/total hip arthroplasty ratio during CT (p = 0.04). Thromboembolic disease was higher during CT (p = 0.02). Readmissions (all negative for SARS-CoV-2) were similar between both groups (p = 0.34). Eight (10.8%) casualties were detected in the CT group, whereas no deaths were seen in the control group. Logistic regression showed that frailer (p = 0.006, OR 10.46, 95%CI 8.95-16.1), less active (p = 0.018, OR 2.45, 95%CI 1.45-2.72) and those with a thromboembolic event (p = 0.005, OR 30, 95%CI 11-42) had a higher risk of mortality. &lt;br/&gt;Conclusion(s): Despite testing negative for SARS-CoV-2, CT patients were less active and frailer than PCT patients, depicting an epidemiological shift that was associated with higher mortality rate.&lt;br/&gt;Copyright &amp;#xa9; 2020, SICOT aisbl.","container-title":"International Orthopaedics","journalAbbreviation":"International Orthopaedics","note":"publisher: Springer","source":"EMBASE","title":"Prolonged social lockdown during COVID-19 pandemic and hip fracture epidemiology","author":[{"literal":"Slullitel P.A."},{"literal":"Lucero C.M."},{"literal":"Zanotti G."},{"literal":"Comba F."},{"literal":"Piccaluga F."},{"literal":"Buttaro M.A."},{"literal":"Soruco M.L."},{"literal":"Barla J.D."},{"literal":"Taype-Zamboni D.R."},{"literal":"Carabelli G.S."},{"literal":"Sancineto C.F."},{"literal":"Benchimol J.A."},{"literal":"Boietti B.R."},{"literal":"Diehl M."}],"issued":{"date-parts":[["2020"]]}}}],"schema":"https://github.com/citation-style-language/schema/raw/master/csl-citation.json"} </w:instrTex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127DEF">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(45)</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c>
          <w:tcPr>
            <w:tcW w:w="2268" w:type="dxa"/>
          </w:tcPr>
          <w:p w14:paraId="665FE451" w14:textId="77777777" w:rsidR="00A6613E" w:rsidRPr="00127DEF" w:rsidRDefault="00A6613E" w:rsidP="00B806F5">
            <w:pPr>
              <w:tabs>
                <w:tab w:val="right" w:pos="2052"/>
              </w:tabs>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07C6E81F"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701" w:type="dxa"/>
          </w:tcPr>
          <w:p w14:paraId="74C3A7ED"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3" w:type="dxa"/>
          </w:tcPr>
          <w:p w14:paraId="110E37EB"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2" w:type="dxa"/>
          </w:tcPr>
          <w:p w14:paraId="6983FFEB"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07FDDA81"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30B42B34"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0AEA4768"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993" w:type="dxa"/>
          </w:tcPr>
          <w:p w14:paraId="58C20844"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A6613E" w:rsidRPr="00127DEF" w14:paraId="4C73C825" w14:textId="77777777" w:rsidTr="00B806F5">
        <w:tc>
          <w:tcPr>
            <w:tcW w:w="1560" w:type="dxa"/>
          </w:tcPr>
          <w:p w14:paraId="4A670030" w14:textId="77777777" w:rsidR="00A6613E" w:rsidRPr="00127DEF" w:rsidRDefault="00A6613E" w:rsidP="00B806F5">
            <w:pPr>
              <w:rPr>
                <w:sz w:val="20"/>
                <w:szCs w:val="20"/>
              </w:rPr>
            </w:pPr>
            <w:proofErr w:type="spellStart"/>
            <w:r w:rsidRPr="00127DEF">
              <w:rPr>
                <w:sz w:val="20"/>
                <w:szCs w:val="20"/>
              </w:rPr>
              <w:t>Sobti</w:t>
            </w:r>
            <w:proofErr w:type="spellEnd"/>
            <w:r w:rsidRPr="00127DEF">
              <w:rPr>
                <w:sz w:val="20"/>
                <w:szCs w:val="20"/>
              </w:rPr>
              <w:t xml:space="preserve"> 2020 </w:t>
            </w:r>
            <w:r w:rsidRPr="00127DEF">
              <w:rPr>
                <w:sz w:val="20"/>
                <w:szCs w:val="20"/>
              </w:rPr>
              <w:fldChar w:fldCharType="begin"/>
            </w:r>
            <w:r w:rsidRPr="00127DEF">
              <w:rPr>
                <w:sz w:val="20"/>
                <w:szCs w:val="20"/>
              </w:rPr>
              <w:instrText xml:space="preserve"> ADDIN ZOTERO_ITEM CSL_CITATION {"citationID":"Xa4QQfuS","properties":{"formattedCitation":"(32)","plainCitation":"(32)","noteIndex":0},"citationItems":[{"id":449,"uris":["http://zotero.org/users/local/Tj9AEhkp/items/9Z4LV5VQ"],"uri":["http://zotero.org/users/local/Tj9AEhkp/items/9Z4LV5VQ"],"itemData":{"id":449,"type":"article-journal","abstract":"Introduction: There are suggestions that elective surgery performed during the incubation period of COVID-19 infection may cause an immediate impairment of cell-mediated immunity, leading to high morbidity and mortality. However is contrasting data about the associated mortality. Since the outbreak, our unit has maintained a prospective database recording Trauma and Orthopaedic surgical activity. Our aim was to share our experience of the first 3 months with prospective data on outcome of essential surgery during the covid-19 peak. Our focus in this report was on the mortality rate as services begin to open. &lt;br/&gt;Method(s): We prospectively collected data during the peak of the pandemic in the UK, for fracture neck of femur patients (NOF) the most commonly performed surgical procedure and the most vulnerable during this period. We compared this Covid-19 cohort of NOFs against a cohort of NOF's during the same time in 2019 and another cohort of NOF's in 2020 outside the lockdown period to compare mortality rates and give a broader perspective. &lt;br/&gt;Result(s): During the period March 1, 2020 to May 31, 2020, total of 206 patients were operated. Ninety-four fracture NOF and another one hundred twelve essential surgical procedures were performed. In the NOF cohort, there were nine patients that died. Three of them were covid-19 positive, one was not tested and the rest five were covid-19 negative. There was no mortality reported in the non NOF group. &lt;br/&gt;Conclusion(s): In our unit, during the lock down period, mortality rate in patients undergoing fracture NOF was not significantly different from a similar cohort earlier in the year and similar period last year. We have not observed any mortality, to date in the Non NOF procedures carried out.&lt;br/&gt;Copyright &amp;#xa9; 2020 Delhi Orthopedic Association","container-title":"Journal of Clinical Orthopaedics and Trauma","journalAbbreviation":"Journal of Clinical Orthopaedics and Trauma","note":"publisher: Elsevier B.V.","source":"EMBASE","title":"Outcome of trauma and orthopaedic surgery at a UK District General Hospital during the Covid-19 pandemic","volume":"11","author":[{"literal":"Sobti A."},{"literal":"Memon K."},{"literal":"Unnithan A."},{"literal":"Khaleel A."},{"literal":"Bhaskar R.R.P."}],"issued":{"date-parts":[["2020",7]]}}}],"schema":"https://github.com/citation-style-language/schema/raw/master/csl-citation.json"} </w:instrText>
            </w:r>
            <w:r w:rsidRPr="00127DEF">
              <w:rPr>
                <w:sz w:val="20"/>
                <w:szCs w:val="20"/>
              </w:rPr>
              <w:fldChar w:fldCharType="separate"/>
            </w:r>
            <w:r w:rsidRPr="00127DEF">
              <w:rPr>
                <w:noProof/>
                <w:sz w:val="20"/>
                <w:szCs w:val="20"/>
              </w:rPr>
              <w:t>(32)</w:t>
            </w:r>
            <w:r w:rsidRPr="00127DEF">
              <w:rPr>
                <w:sz w:val="20"/>
                <w:szCs w:val="20"/>
              </w:rPr>
              <w:fldChar w:fldCharType="end"/>
            </w:r>
          </w:p>
        </w:tc>
        <w:tc>
          <w:tcPr>
            <w:tcW w:w="2268" w:type="dxa"/>
          </w:tcPr>
          <w:p w14:paraId="6C7F1072" w14:textId="77777777" w:rsidR="00A6613E" w:rsidRPr="00127DEF" w:rsidRDefault="00A6613E" w:rsidP="00B806F5">
            <w:pPr>
              <w:rPr>
                <w:sz w:val="20"/>
                <w:szCs w:val="20"/>
              </w:rPr>
            </w:pPr>
            <w:r w:rsidRPr="00127DEF">
              <w:rPr>
                <w:sz w:val="20"/>
                <w:szCs w:val="20"/>
              </w:rPr>
              <w:t>*</w:t>
            </w:r>
          </w:p>
        </w:tc>
        <w:tc>
          <w:tcPr>
            <w:tcW w:w="1418" w:type="dxa"/>
          </w:tcPr>
          <w:p w14:paraId="61A6CB8A" w14:textId="77777777" w:rsidR="00A6613E" w:rsidRPr="00127DEF" w:rsidRDefault="00A6613E" w:rsidP="00B806F5">
            <w:pPr>
              <w:rPr>
                <w:sz w:val="20"/>
                <w:szCs w:val="20"/>
              </w:rPr>
            </w:pPr>
            <w:r w:rsidRPr="00127DEF">
              <w:rPr>
                <w:sz w:val="20"/>
                <w:szCs w:val="20"/>
              </w:rPr>
              <w:t>*</w:t>
            </w:r>
          </w:p>
        </w:tc>
        <w:tc>
          <w:tcPr>
            <w:tcW w:w="1701" w:type="dxa"/>
          </w:tcPr>
          <w:p w14:paraId="56DB5D26" w14:textId="77777777" w:rsidR="00A6613E" w:rsidRPr="00127DEF" w:rsidRDefault="00A6613E" w:rsidP="00B806F5">
            <w:pPr>
              <w:rPr>
                <w:sz w:val="20"/>
                <w:szCs w:val="20"/>
              </w:rPr>
            </w:pPr>
            <w:r w:rsidRPr="00127DEF">
              <w:rPr>
                <w:sz w:val="20"/>
                <w:szCs w:val="20"/>
              </w:rPr>
              <w:t>*</w:t>
            </w:r>
          </w:p>
        </w:tc>
        <w:tc>
          <w:tcPr>
            <w:tcW w:w="1843" w:type="dxa"/>
          </w:tcPr>
          <w:p w14:paraId="389169D9" w14:textId="77777777" w:rsidR="00A6613E" w:rsidRPr="00127DEF" w:rsidRDefault="00A6613E" w:rsidP="00B806F5">
            <w:pPr>
              <w:rPr>
                <w:sz w:val="20"/>
                <w:szCs w:val="20"/>
              </w:rPr>
            </w:pPr>
            <w:r w:rsidRPr="00127DEF">
              <w:rPr>
                <w:sz w:val="20"/>
                <w:szCs w:val="20"/>
              </w:rPr>
              <w:t>*</w:t>
            </w:r>
          </w:p>
        </w:tc>
        <w:tc>
          <w:tcPr>
            <w:tcW w:w="1842" w:type="dxa"/>
          </w:tcPr>
          <w:p w14:paraId="3D968B04" w14:textId="77777777" w:rsidR="00A6613E" w:rsidRPr="00127DEF" w:rsidRDefault="00A6613E" w:rsidP="00B806F5">
            <w:pPr>
              <w:rPr>
                <w:sz w:val="20"/>
                <w:szCs w:val="20"/>
              </w:rPr>
            </w:pPr>
            <w:r w:rsidRPr="00127DEF">
              <w:rPr>
                <w:sz w:val="20"/>
                <w:szCs w:val="20"/>
              </w:rPr>
              <w:t>*</w:t>
            </w:r>
          </w:p>
        </w:tc>
        <w:tc>
          <w:tcPr>
            <w:tcW w:w="1418" w:type="dxa"/>
          </w:tcPr>
          <w:p w14:paraId="535FE27B" w14:textId="77777777" w:rsidR="00A6613E" w:rsidRPr="00127DEF" w:rsidRDefault="00A6613E" w:rsidP="00B806F5">
            <w:pPr>
              <w:rPr>
                <w:sz w:val="20"/>
                <w:szCs w:val="20"/>
              </w:rPr>
            </w:pPr>
            <w:r w:rsidRPr="00127DEF">
              <w:rPr>
                <w:sz w:val="20"/>
                <w:szCs w:val="20"/>
              </w:rPr>
              <w:t>*</w:t>
            </w:r>
          </w:p>
        </w:tc>
        <w:tc>
          <w:tcPr>
            <w:tcW w:w="1559" w:type="dxa"/>
          </w:tcPr>
          <w:p w14:paraId="20807435" w14:textId="77777777" w:rsidR="00A6613E" w:rsidRPr="00127DEF" w:rsidRDefault="00A6613E" w:rsidP="00B806F5">
            <w:pPr>
              <w:rPr>
                <w:sz w:val="20"/>
                <w:szCs w:val="20"/>
              </w:rPr>
            </w:pPr>
            <w:r w:rsidRPr="00127DEF">
              <w:rPr>
                <w:sz w:val="20"/>
                <w:szCs w:val="20"/>
              </w:rPr>
              <w:t>-</w:t>
            </w:r>
          </w:p>
        </w:tc>
        <w:tc>
          <w:tcPr>
            <w:tcW w:w="1559" w:type="dxa"/>
          </w:tcPr>
          <w:p w14:paraId="7AF6E1D4" w14:textId="77777777" w:rsidR="00A6613E" w:rsidRPr="00127DEF" w:rsidRDefault="00A6613E" w:rsidP="00B806F5">
            <w:pPr>
              <w:rPr>
                <w:sz w:val="20"/>
                <w:szCs w:val="20"/>
              </w:rPr>
            </w:pPr>
            <w:r w:rsidRPr="00127DEF">
              <w:rPr>
                <w:sz w:val="20"/>
                <w:szCs w:val="20"/>
              </w:rPr>
              <w:t>-</w:t>
            </w:r>
          </w:p>
        </w:tc>
        <w:tc>
          <w:tcPr>
            <w:tcW w:w="993" w:type="dxa"/>
          </w:tcPr>
          <w:p w14:paraId="6C427447" w14:textId="77777777" w:rsidR="00A6613E" w:rsidRPr="00127DEF" w:rsidRDefault="00A6613E" w:rsidP="00B806F5">
            <w:pPr>
              <w:rPr>
                <w:sz w:val="20"/>
                <w:szCs w:val="20"/>
              </w:rPr>
            </w:pPr>
            <w:r w:rsidRPr="00127DEF">
              <w:rPr>
                <w:sz w:val="20"/>
                <w:szCs w:val="20"/>
              </w:rPr>
              <w:t>6</w:t>
            </w:r>
          </w:p>
        </w:tc>
      </w:tr>
      <w:tr w:rsidR="00A6613E" w:rsidRPr="00127DEF" w14:paraId="71CB33D8" w14:textId="77777777" w:rsidTr="00B806F5">
        <w:tc>
          <w:tcPr>
            <w:tcW w:w="1560" w:type="dxa"/>
          </w:tcPr>
          <w:p w14:paraId="10D21321" w14:textId="77777777" w:rsidR="00A6613E" w:rsidRPr="00127DEF" w:rsidRDefault="00A6613E" w:rsidP="00B806F5">
            <w:pPr>
              <w:rPr>
                <w:sz w:val="20"/>
                <w:szCs w:val="20"/>
              </w:rPr>
            </w:pPr>
            <w:proofErr w:type="spellStart"/>
            <w:r w:rsidRPr="00127DEF">
              <w:rPr>
                <w:sz w:val="20"/>
                <w:szCs w:val="20"/>
              </w:rPr>
              <w:t>Thakrar</w:t>
            </w:r>
            <w:proofErr w:type="spellEnd"/>
            <w:r w:rsidRPr="00127DEF">
              <w:rPr>
                <w:sz w:val="20"/>
                <w:szCs w:val="20"/>
              </w:rPr>
              <w:t xml:space="preserve"> 2020 </w:t>
            </w:r>
            <w:r w:rsidRPr="00127DEF">
              <w:rPr>
                <w:sz w:val="20"/>
                <w:szCs w:val="20"/>
              </w:rPr>
              <w:fldChar w:fldCharType="begin"/>
            </w:r>
            <w:r w:rsidRPr="00127DEF">
              <w:rPr>
                <w:sz w:val="20"/>
                <w:szCs w:val="20"/>
              </w:rPr>
              <w:instrText xml:space="preserve"> ADDIN ZOTERO_ITEM CSL_CITATION {"citationID":"Pyf0lZqd","properties":{"formattedCitation":"(33)","plainCitation":"(33)","noteIndex":0},"citationItems":[{"id":407,"uris":["http://zotero.org/users/local/Tj9AEhkp/items/FEEXD9VQ"],"uri":["http://zotero.org/users/local/Tj9AEhkp/items/FEEXD9VQ"],"itemData":{"id":407,"type":"article-journal","abstract":"OBJECTIVES: During the COVID-19 pandemic, the care of hip fracture patients remains a clinical priority. Our study aims to investigate the 30-day mortality rate of hip fracture patients during the first 30 days of the pandemic in the United Kingdom. &lt;br/&gt;METHOD(S): A single-center, observational, prospective study of patients presenting with hip fractures. Data collection started from \"day 0\" of the COVID-19 pandemic in the United Kingdom and continued for 30 days. We collected data on time to surgery, Clinical Frailty Scale score, Nottingham Hip Fracture Score, COVID-19 infection status, 30-day mortality, and cause of death. For comparison, we collected retrospective data during the same 30-day period in 2018, 2019, and the previous 6 months (Control groups A, B, and C, respectively). &lt;br/&gt;RESULT(S): Forty-three patients were included in the study. There was no difference in age or gender between the Study and Control groups. The 30-day mortality rate of the Study group was 16.3%, which was higher than Control groups A (P = 0.022), B (P = 0.003) and C (P = 0.001). The prevalence of COVID-19 infection in our Study group was 26%. Of the 7 mortalities recorded, 4 patients tested positive for COVID-19 infection. In our Study group, COVID-19 infection correlated significantly with 30-day mortality (P = 0.002, odds ratio 2.4). &lt;br/&gt;CONCLUSION(S): Our study demonstrated a significant increase in 30-day mortality among hip fracture patients during the first 30 days of the COVID-19 pandemic in the United Kingdom. A positive COVID-19 test result in patients with hip fractures is associated with a 2.4-fold increase in risk of 30-day mortality. LEVEL OF EVIDENCE: Prognostic Level II. See Instructions for Authors for a complete description of levels of evidence.","container-title":"Journal of orthopaedic trauma","issue":"9","journalAbbreviation":"Journal of orthopaedic trauma","note":"publisher: NLM (Medline)","source":"EMBASE","title":"Thirty-Day Mortality Rate of Patients With Hip Fractures During the COVID-19 Pandemic: A Single Centre Prospective Study in the United Kingdom","volume":"34","author":[{"literal":"Thakrar A."},{"literal":"Chui K."},{"literal":"Kapoor A."},{"literal":"Hambidge J."}],"issued":{"date-parts":[["2020",9]]}}}],"schema":"https://github.com/citation-style-language/schema/raw/master/csl-citation.json"} </w:instrText>
            </w:r>
            <w:r w:rsidRPr="00127DEF">
              <w:rPr>
                <w:sz w:val="20"/>
                <w:szCs w:val="20"/>
              </w:rPr>
              <w:fldChar w:fldCharType="separate"/>
            </w:r>
            <w:r w:rsidRPr="00127DEF">
              <w:rPr>
                <w:noProof/>
                <w:sz w:val="20"/>
                <w:szCs w:val="20"/>
              </w:rPr>
              <w:t>(33)</w:t>
            </w:r>
            <w:r w:rsidRPr="00127DEF">
              <w:rPr>
                <w:sz w:val="20"/>
                <w:szCs w:val="20"/>
              </w:rPr>
              <w:fldChar w:fldCharType="end"/>
            </w:r>
          </w:p>
        </w:tc>
        <w:tc>
          <w:tcPr>
            <w:tcW w:w="2268" w:type="dxa"/>
          </w:tcPr>
          <w:p w14:paraId="66348ABD" w14:textId="77777777" w:rsidR="00A6613E" w:rsidRPr="00127DEF" w:rsidRDefault="00A6613E" w:rsidP="00B806F5">
            <w:pPr>
              <w:rPr>
                <w:sz w:val="20"/>
                <w:szCs w:val="20"/>
              </w:rPr>
            </w:pPr>
            <w:r w:rsidRPr="00127DEF">
              <w:rPr>
                <w:sz w:val="20"/>
                <w:szCs w:val="20"/>
              </w:rPr>
              <w:t>*</w:t>
            </w:r>
          </w:p>
        </w:tc>
        <w:tc>
          <w:tcPr>
            <w:tcW w:w="1418" w:type="dxa"/>
          </w:tcPr>
          <w:p w14:paraId="08BB65E1" w14:textId="77777777" w:rsidR="00A6613E" w:rsidRPr="00127DEF" w:rsidRDefault="00A6613E" w:rsidP="00B806F5">
            <w:pPr>
              <w:rPr>
                <w:sz w:val="20"/>
                <w:szCs w:val="20"/>
              </w:rPr>
            </w:pPr>
            <w:r w:rsidRPr="00127DEF">
              <w:rPr>
                <w:sz w:val="20"/>
                <w:szCs w:val="20"/>
              </w:rPr>
              <w:t>*</w:t>
            </w:r>
          </w:p>
        </w:tc>
        <w:tc>
          <w:tcPr>
            <w:tcW w:w="1701" w:type="dxa"/>
          </w:tcPr>
          <w:p w14:paraId="18402DD3" w14:textId="77777777" w:rsidR="00A6613E" w:rsidRPr="00127DEF" w:rsidRDefault="00A6613E" w:rsidP="00B806F5">
            <w:pPr>
              <w:rPr>
                <w:sz w:val="20"/>
                <w:szCs w:val="20"/>
              </w:rPr>
            </w:pPr>
            <w:r w:rsidRPr="00127DEF">
              <w:rPr>
                <w:sz w:val="20"/>
                <w:szCs w:val="20"/>
              </w:rPr>
              <w:t>*</w:t>
            </w:r>
          </w:p>
        </w:tc>
        <w:tc>
          <w:tcPr>
            <w:tcW w:w="1843" w:type="dxa"/>
          </w:tcPr>
          <w:p w14:paraId="712ABD42" w14:textId="77777777" w:rsidR="00A6613E" w:rsidRPr="00127DEF" w:rsidRDefault="00A6613E" w:rsidP="00B806F5">
            <w:pPr>
              <w:rPr>
                <w:sz w:val="20"/>
                <w:szCs w:val="20"/>
              </w:rPr>
            </w:pPr>
            <w:r w:rsidRPr="00127DEF">
              <w:rPr>
                <w:sz w:val="20"/>
                <w:szCs w:val="20"/>
              </w:rPr>
              <w:t>*</w:t>
            </w:r>
          </w:p>
        </w:tc>
        <w:tc>
          <w:tcPr>
            <w:tcW w:w="1842" w:type="dxa"/>
          </w:tcPr>
          <w:p w14:paraId="0FAB835E" w14:textId="77777777" w:rsidR="00A6613E" w:rsidRPr="00127DEF" w:rsidRDefault="00A6613E" w:rsidP="00B806F5">
            <w:pPr>
              <w:rPr>
                <w:sz w:val="20"/>
                <w:szCs w:val="20"/>
              </w:rPr>
            </w:pPr>
            <w:r w:rsidRPr="00127DEF">
              <w:rPr>
                <w:sz w:val="20"/>
                <w:szCs w:val="20"/>
              </w:rPr>
              <w:t>*</w:t>
            </w:r>
          </w:p>
        </w:tc>
        <w:tc>
          <w:tcPr>
            <w:tcW w:w="1418" w:type="dxa"/>
          </w:tcPr>
          <w:p w14:paraId="41DB6053" w14:textId="77777777" w:rsidR="00A6613E" w:rsidRPr="00127DEF" w:rsidRDefault="00A6613E" w:rsidP="00B806F5">
            <w:pPr>
              <w:rPr>
                <w:sz w:val="20"/>
                <w:szCs w:val="20"/>
              </w:rPr>
            </w:pPr>
            <w:r w:rsidRPr="00127DEF">
              <w:rPr>
                <w:sz w:val="20"/>
                <w:szCs w:val="20"/>
              </w:rPr>
              <w:t>*</w:t>
            </w:r>
          </w:p>
        </w:tc>
        <w:tc>
          <w:tcPr>
            <w:tcW w:w="1559" w:type="dxa"/>
          </w:tcPr>
          <w:p w14:paraId="180B2C51" w14:textId="77777777" w:rsidR="00A6613E" w:rsidRPr="00127DEF" w:rsidRDefault="00A6613E" w:rsidP="00B806F5">
            <w:pPr>
              <w:rPr>
                <w:sz w:val="20"/>
                <w:szCs w:val="20"/>
              </w:rPr>
            </w:pPr>
            <w:r w:rsidRPr="00127DEF">
              <w:rPr>
                <w:sz w:val="20"/>
                <w:szCs w:val="20"/>
              </w:rPr>
              <w:t>*</w:t>
            </w:r>
          </w:p>
        </w:tc>
        <w:tc>
          <w:tcPr>
            <w:tcW w:w="1559" w:type="dxa"/>
          </w:tcPr>
          <w:p w14:paraId="7FAFE2EF" w14:textId="77777777" w:rsidR="00A6613E" w:rsidRPr="00127DEF" w:rsidRDefault="00A6613E" w:rsidP="00B806F5">
            <w:pPr>
              <w:rPr>
                <w:sz w:val="20"/>
                <w:szCs w:val="20"/>
              </w:rPr>
            </w:pPr>
            <w:r w:rsidRPr="00127DEF">
              <w:rPr>
                <w:sz w:val="20"/>
                <w:szCs w:val="20"/>
              </w:rPr>
              <w:t>*</w:t>
            </w:r>
          </w:p>
        </w:tc>
        <w:tc>
          <w:tcPr>
            <w:tcW w:w="993" w:type="dxa"/>
          </w:tcPr>
          <w:p w14:paraId="19A1DDEB" w14:textId="77777777" w:rsidR="00A6613E" w:rsidRPr="00127DEF" w:rsidRDefault="00A6613E" w:rsidP="00B806F5">
            <w:pPr>
              <w:rPr>
                <w:sz w:val="20"/>
                <w:szCs w:val="20"/>
              </w:rPr>
            </w:pPr>
            <w:r w:rsidRPr="00127DEF">
              <w:rPr>
                <w:sz w:val="20"/>
                <w:szCs w:val="20"/>
              </w:rPr>
              <w:t>8</w:t>
            </w:r>
          </w:p>
        </w:tc>
      </w:tr>
      <w:tr w:rsidR="00A6613E" w:rsidRPr="00127DEF" w14:paraId="1E0E75AB" w14:textId="77777777" w:rsidTr="00B806F5">
        <w:tc>
          <w:tcPr>
            <w:tcW w:w="1560" w:type="dxa"/>
          </w:tcPr>
          <w:p w14:paraId="1B90DD82"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Vives 2020 </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ADDIN ZOTERO_ITEM CSL_CITATION {"citationID":"QoHqFyQZ","properties":{"formattedCitation":"(46)","plainCitation":"(46)","noteIndex":0},"citationItems":[{"id":490,"uris":["http://zotero.org/users/local/Tj9AEhkp/items/GEQEEZHH"],"uri":["http://zotero.org/users/local/Tj9AEhkp/items/GEQEEZHH"],"itemData":{"id":490,"type":"article-journal","abstract":"BACKGROUND: The outbreak of coronavirus disease 2019 (COVID-19), caused by SARS-CoV-2 (severe acute respiratory syndrome coronavirus 2), in December 2019 in Wuhan, People's Republic of China, has developed into an unprecedented pandemic with enormous pressure on health-care providers around the world. A higher mortality rate has been described in older infected individuals. Patients with hip fracture are a particularly vulnerable population during this pandemic because older age is associated with a higher mortality rate. Our aim was to describe the early mortality rate and demographic variables in a hip fracture sample population in Spain during the coronavirus pandemic. &lt;br/&gt;METHOD(S): This is a multicenter, observational, retrospective, descriptive study. We collected data from 13 major hospitals in Spain from the beginning of the national state of alarm (declared on March 14, 2020, by the Spanish government) until the end of our study period on April 4, 2020. All patients who were &amp;gt;=65 years of age, presented to the Emergency Department of the participating hospitals during this period with a diagnosis of proximal femoral fracture, and had a minimum follow-up of 10 days were included in the cohort. In addition to mortality, demographic and other potential prognostic variables were also collected. &lt;br/&gt;RESULT(S): In this study, 136 patients with a hip fracture were included. Of these patients, 124 underwent a surgical procedure and 12 were managed nonoperatively. The total mortality rate was 9.6%. Sixty-two patients were tested for COVID-19, with 23 patients being positive. The mortality rate for these 23 patients was 30.4% (7 of 23 patients) at a mean follow-up of 14 days. The mortality rate was 10.3% (4 of 39) for patients who had been tested and had a negative result and 2.7% (2 of 74) for patients who had not been tested. Of the 12 patients who were managed nonoperatively, 8 (67%) died, whereas, of the 124 patients who were surgically treated, 5 (4%) died. Results differed among centers. &lt;br/&gt;CONCLUSION(S): There is a higher mortality rate in patients with a hip fracture and an associated positive test for COVID-19. LEVEL OF EVIDENCE: Prognostic Level IV. See Instructions for Authors for a complete description of levels of evidence.","container-title":"The Journal of bone and joint surgery. American volume","issue":"13","journalAbbreviation":"The Journal of bone and joint surgery. American volume","note":"publisher: NLM (Medline)","source":"EMBASE","title":"Mortality Rates of Patients with Proximal Femoral Fracture in a Worldwide Pandemic: Preliminary Results of the Spanish HIP-COVID Observational Study","volume":"102","author":[{"literal":"Munoz Vives J.M."},{"literal":"Esteban P.L."},{"literal":"Brunet L."},{"literal":"Delgado-Flores L."},{"literal":"Jornet-Gibert M."},{"literal":"Camacho-Carrasco P."},{"literal":"Torner P."},{"literal":"Camara-Cabrera J."},{"literal":"Marcano-Fernandez F."}],"issued":{"date-parts":[["2020",7]]}}}],"schema":"https://github.com/citation-style-language/schema/raw/master/csl-citation.json"} </w:instrTex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127DEF">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(46)</w:t>
            </w: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c>
          <w:tcPr>
            <w:tcW w:w="2268" w:type="dxa"/>
          </w:tcPr>
          <w:p w14:paraId="1F8E7768"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37878695"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701" w:type="dxa"/>
          </w:tcPr>
          <w:p w14:paraId="6542C5A3"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3" w:type="dxa"/>
          </w:tcPr>
          <w:p w14:paraId="4DA4F14E"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842" w:type="dxa"/>
          </w:tcPr>
          <w:p w14:paraId="4BCA172D"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22E7EB06"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362FF835"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59" w:type="dxa"/>
          </w:tcPr>
          <w:p w14:paraId="6951D77A"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993" w:type="dxa"/>
          </w:tcPr>
          <w:p w14:paraId="03C45571" w14:textId="77777777" w:rsidR="00A6613E" w:rsidRPr="00127DEF" w:rsidRDefault="00A6613E" w:rsidP="00B806F5">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DEF">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bl>
    <w:p w14:paraId="3F58C067" w14:textId="3B4236FB" w:rsidR="009F0DC9" w:rsidRDefault="009F0DC9"/>
    <w:sectPr w:rsidR="009F0DC9" w:rsidSect="009F0DC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234AAD"/>
    <w:multiLevelType w:val="hybridMultilevel"/>
    <w:tmpl w:val="D682C4A8"/>
    <w:lvl w:ilvl="0" w:tplc="7FF2CDA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DC9"/>
    <w:rsid w:val="000356E3"/>
    <w:rsid w:val="00044284"/>
    <w:rsid w:val="00045B8A"/>
    <w:rsid w:val="000576B0"/>
    <w:rsid w:val="00076CCE"/>
    <w:rsid w:val="000A791D"/>
    <w:rsid w:val="000D44FF"/>
    <w:rsid w:val="002407B4"/>
    <w:rsid w:val="003060B4"/>
    <w:rsid w:val="00371D5E"/>
    <w:rsid w:val="00422980"/>
    <w:rsid w:val="0042768F"/>
    <w:rsid w:val="00485FC0"/>
    <w:rsid w:val="00542A4C"/>
    <w:rsid w:val="005922E3"/>
    <w:rsid w:val="00596C8C"/>
    <w:rsid w:val="005F3EDB"/>
    <w:rsid w:val="0068476B"/>
    <w:rsid w:val="007E1667"/>
    <w:rsid w:val="008534D5"/>
    <w:rsid w:val="008974BD"/>
    <w:rsid w:val="00917140"/>
    <w:rsid w:val="009A0096"/>
    <w:rsid w:val="009F0DC9"/>
    <w:rsid w:val="00A07FB7"/>
    <w:rsid w:val="00A20EA4"/>
    <w:rsid w:val="00A6613E"/>
    <w:rsid w:val="00A71546"/>
    <w:rsid w:val="00AF493E"/>
    <w:rsid w:val="00B1359A"/>
    <w:rsid w:val="00B825FB"/>
    <w:rsid w:val="00BB212E"/>
    <w:rsid w:val="00C34631"/>
    <w:rsid w:val="00CD0EA7"/>
    <w:rsid w:val="00CF4B79"/>
    <w:rsid w:val="00D74CD2"/>
    <w:rsid w:val="00DA3ABC"/>
    <w:rsid w:val="00DC614C"/>
    <w:rsid w:val="00E479ED"/>
    <w:rsid w:val="00ED55F9"/>
    <w:rsid w:val="00EF70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6F961CF"/>
  <w15:chartTrackingRefBased/>
  <w15:docId w15:val="{783ECEBA-B454-ED40-8DAB-295F45C2A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0D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2A4C"/>
    <w:pPr>
      <w:ind w:left="720"/>
      <w:contextualSpacing/>
    </w:pPr>
  </w:style>
  <w:style w:type="paragraph" w:styleId="BalloonText">
    <w:name w:val="Balloon Text"/>
    <w:basedOn w:val="Normal"/>
    <w:link w:val="BalloonTextChar"/>
    <w:uiPriority w:val="99"/>
    <w:semiHidden/>
    <w:unhideWhenUsed/>
    <w:rsid w:val="00A6613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661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9707</Words>
  <Characters>55334</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Djamila Rojoa</dc:creator>
  <cp:keywords/>
  <dc:description/>
  <cp:lastModifiedBy>Djamila Rojoa</cp:lastModifiedBy>
  <cp:revision>7</cp:revision>
  <dcterms:created xsi:type="dcterms:W3CDTF">2021-01-21T11:24:00Z</dcterms:created>
  <dcterms:modified xsi:type="dcterms:W3CDTF">2021-04-07T17:41:00Z</dcterms:modified>
</cp:coreProperties>
</file>