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480" w:before="0" w:after="0"/>
        <w:jc w:val="center"/>
        <w:rPr>
          <w:color w:val="000000"/>
        </w:rPr>
      </w:pPr>
      <w:r>
        <w:rPr>
          <w:rFonts w:cs="Arial" w:ascii="FreeMono" w:hAnsi="FreeMono"/>
          <w:b/>
          <w:color w:val="000000"/>
          <w:spacing w:val="-15"/>
          <w:w w:val="109"/>
          <w:sz w:val="28"/>
          <w:szCs w:val="28"/>
          <w:u w:val="single"/>
        </w:rPr>
        <w:t>Supplementary Material</w:t>
      </w:r>
    </w:p>
    <w:p>
      <w:pPr>
        <w:pStyle w:val="Normal"/>
        <w:bidi w:val="0"/>
        <w:spacing w:lineRule="auto" w:line="480" w:before="0" w:after="0"/>
        <w:jc w:val="center"/>
        <w:rPr>
          <w:color w:val="000000"/>
        </w:rPr>
      </w:pPr>
      <w:r>
        <w:rPr>
          <w:rFonts w:cs="Arial" w:ascii="FreeMono" w:hAnsi="FreeMono"/>
          <w:b/>
          <w:color w:val="000000"/>
          <w:spacing w:val="-15"/>
          <w:w w:val="109"/>
          <w:sz w:val="24"/>
          <w:szCs w:val="28"/>
        </w:rPr>
        <w:t>Subsoil-potassium depletion accounts for the nutrient budget in high-potassium agricultural soils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center"/>
        <w:rPr>
          <w:color w:val="000000"/>
        </w:rPr>
      </w:pPr>
      <w:r>
        <w:rPr>
          <w:rFonts w:cs="Arial" w:ascii="FreeMono" w:hAnsi="FreeMono"/>
          <w:b/>
          <w:bCs/>
          <w:color w:val="000000"/>
          <w:sz w:val="16"/>
          <w:szCs w:val="24"/>
          <w:lang w:val="es-ES"/>
        </w:rPr>
        <w:t>Adrián A. Correndo</w:t>
      </w:r>
      <w:r>
        <w:rPr>
          <w:rFonts w:cs="Arial" w:ascii="FreeMono" w:hAnsi="FreeMono"/>
          <w:b/>
          <w:bCs/>
          <w:color w:val="000000"/>
          <w:sz w:val="16"/>
          <w:szCs w:val="24"/>
          <w:vertAlign w:val="superscript"/>
          <w:lang w:val="es-ES"/>
        </w:rPr>
        <w:t>1,*</w:t>
      </w:r>
      <w:r>
        <w:rPr>
          <w:rFonts w:cs="Arial" w:ascii="FreeMono" w:hAnsi="FreeMono"/>
          <w:b/>
          <w:bCs/>
          <w:color w:val="000000"/>
          <w:sz w:val="16"/>
          <w:szCs w:val="24"/>
          <w:lang w:val="es-ES"/>
        </w:rPr>
        <w:t>, Gerardo Rubio</w:t>
      </w:r>
      <w:r>
        <w:rPr>
          <w:rFonts w:cs="Arial" w:ascii="FreeMono" w:hAnsi="FreeMono"/>
          <w:b/>
          <w:bCs/>
          <w:color w:val="000000"/>
          <w:sz w:val="16"/>
          <w:szCs w:val="24"/>
          <w:vertAlign w:val="superscript"/>
          <w:lang w:val="es-ES"/>
        </w:rPr>
        <w:t>2</w:t>
      </w:r>
      <w:r>
        <w:rPr>
          <w:rFonts w:cs="Arial" w:ascii="FreeMono" w:hAnsi="FreeMono"/>
          <w:b/>
          <w:bCs/>
          <w:color w:val="000000"/>
          <w:sz w:val="16"/>
          <w:szCs w:val="24"/>
          <w:lang w:val="es-ES"/>
        </w:rPr>
        <w:t>, Fernando O. García</w:t>
      </w:r>
      <w:r>
        <w:rPr>
          <w:rFonts w:cs="Arial" w:ascii="FreeMono" w:hAnsi="FreeMono"/>
          <w:b/>
          <w:bCs/>
          <w:color w:val="000000"/>
          <w:sz w:val="16"/>
          <w:szCs w:val="24"/>
          <w:vertAlign w:val="superscript"/>
          <w:lang w:val="es-ES"/>
        </w:rPr>
        <w:t>3</w:t>
      </w:r>
      <w:r>
        <w:rPr>
          <w:rFonts w:cs="Arial" w:ascii="FreeMono" w:hAnsi="FreeMono"/>
          <w:b/>
          <w:bCs/>
          <w:color w:val="000000"/>
          <w:sz w:val="16"/>
          <w:szCs w:val="24"/>
          <w:lang w:val="es-ES"/>
        </w:rPr>
        <w:t xml:space="preserve"> and Ignacio A. Ciampitti</w:t>
      </w:r>
      <w:r>
        <w:rPr>
          <w:rFonts w:cs="Arial" w:ascii="FreeMono" w:hAnsi="FreeMono"/>
          <w:b/>
          <w:bCs/>
          <w:color w:val="000000"/>
          <w:sz w:val="16"/>
          <w:szCs w:val="24"/>
          <w:vertAlign w:val="superscript"/>
          <w:lang w:val="es-ES"/>
        </w:rPr>
        <w:t>1.*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center"/>
        <w:rPr>
          <w:color w:val="000000"/>
        </w:rPr>
      </w:pPr>
      <w:r>
        <w:rPr>
          <w:rFonts w:cs="Arial" w:ascii="FreeMono" w:hAnsi="FreeMono"/>
          <w:b/>
          <w:bCs/>
          <w:color w:val="000000"/>
          <w:sz w:val="20"/>
          <w:szCs w:val="24"/>
          <w:lang w:val="es-ES"/>
        </w:rPr>
        <w:t xml:space="preserve">Correnponding: </w:t>
      </w:r>
      <w:hyperlink r:id="rId2">
        <w:r>
          <w:rPr>
            <w:rStyle w:val="InternetLink"/>
            <w:rFonts w:cs="Arial" w:ascii="FreeMono" w:hAnsi="FreeMono"/>
            <w:b/>
            <w:bCs/>
            <w:color w:val="000000"/>
            <w:sz w:val="20"/>
            <w:szCs w:val="24"/>
            <w:lang w:val="es-ES"/>
          </w:rPr>
          <w:t>correndo@ksu.edu</w:t>
        </w:r>
      </w:hyperlink>
      <w:r>
        <w:rPr>
          <w:rFonts w:cs="Arial" w:ascii="FreeMono" w:hAnsi="FreeMono"/>
          <w:b/>
          <w:bCs/>
          <w:color w:val="000000"/>
          <w:sz w:val="20"/>
          <w:szCs w:val="24"/>
          <w:lang w:val="es-ES"/>
        </w:rPr>
        <w:t xml:space="preserve"> – </w:t>
      </w:r>
      <w:hyperlink r:id="rId3">
        <w:r>
          <w:rPr>
            <w:rStyle w:val="InternetLink"/>
            <w:rFonts w:cs="Arial" w:ascii="FreeMono" w:hAnsi="FreeMono"/>
            <w:b/>
            <w:bCs/>
            <w:color w:val="000000"/>
            <w:sz w:val="20"/>
            <w:szCs w:val="24"/>
            <w:lang w:val="es-ES"/>
          </w:rPr>
          <w:t>ciampitti@ksu.edu</w:t>
        </w:r>
      </w:hyperlink>
      <w:r>
        <w:rPr>
          <w:rFonts w:cs="Arial" w:ascii="FreeMono" w:hAnsi="FreeMono"/>
          <w:b/>
          <w:bCs/>
          <w:color w:val="000000"/>
          <w:sz w:val="20"/>
          <w:szCs w:val="24"/>
          <w:lang w:val="es-ES"/>
        </w:rPr>
        <w:t xml:space="preserve"> – </w:t>
      </w:r>
      <w:r>
        <w:rPr>
          <w:rStyle w:val="InternetLink"/>
          <w:rFonts w:cs="Arial" w:ascii="FreeMono" w:hAnsi="FreeMono"/>
          <w:b/>
          <w:bCs/>
          <w:color w:val="000000"/>
          <w:sz w:val="20"/>
          <w:szCs w:val="24"/>
          <w:lang w:val="es-ES"/>
        </w:rPr>
        <w:t>rubio@agro.uba.ar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rStyle w:val="InternetLink"/>
          <w:rFonts w:ascii="FreeMono" w:hAnsi="FreeMono"/>
        </w:rPr>
      </w:pPr>
      <w:r>
        <w:rPr>
          <w:rFonts w:ascii="FreeMono" w:hAnsi="FreeMono"/>
        </w:rPr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rFonts w:ascii="FreeMono" w:hAnsi="FreeMono"/>
        </w:rPr>
      </w:pPr>
      <w:r>
        <w:rPr>
          <w:rStyle w:val="InternetLink"/>
          <w:rFonts w:cs="Arial"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  <w:lang w:val="es-ES"/>
        </w:rPr>
        <w:t>Appendix A. ANOVAS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sz w:val="24"/>
          <w:szCs w:val="24"/>
        </w:rPr>
      </w:pP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A. 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 xml:space="preserve">Cumulative </w:t>
      </w: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K budget (CBK)(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Figure 1)……………………………………………………………………2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sz w:val="24"/>
          <w:szCs w:val="24"/>
        </w:rPr>
      </w:pP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B. Topsoil NH4OAc-K (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Figure 1)…………………………………………………………………………………………3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sz w:val="24"/>
          <w:szCs w:val="24"/>
        </w:rPr>
      </w:pP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C. NH4OAc-K stocks 0-100 cm (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Table</w:t>
      </w: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2)………………………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………………………………………………4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sz w:val="24"/>
          <w:szCs w:val="24"/>
        </w:rPr>
      </w:pP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D. NH4OAc-K stocks 0-20 vs 20-100 cm (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Table</w:t>
      </w: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2)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………………………………………………5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sz w:val="24"/>
          <w:szCs w:val="24"/>
        </w:rPr>
      </w:pP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E. NaBPh4-K stocks 0-100 cm (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Table</w:t>
      </w: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2)…………………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……………………………………………………6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sz w:val="24"/>
          <w:szCs w:val="24"/>
        </w:rPr>
      </w:pP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F. NaBPh4-K stocks 0-20 vs. 0-100 cm (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Table</w:t>
      </w: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2)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………………………………………………7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sz w:val="24"/>
          <w:szCs w:val="24"/>
        </w:rPr>
      </w:pP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G. NH4OAc-K vertical distribution(Figure 2)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………………………………………………………8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sz w:val="24"/>
          <w:szCs w:val="24"/>
        </w:rPr>
      </w:pP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H. NaBPh4-K 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vertical distribution</w:t>
      </w: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(Figure 3)</w:t>
      </w:r>
      <w:r>
        <w:rPr>
          <w:rFonts w:eastAsia="Noto Serif CJK SC" w:cs="Noto Sans Devanagari"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val="en-US" w:eastAsia="zh-CN" w:bidi="hi-IN"/>
        </w:rPr>
        <w:t>……………………………………………………9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rFonts w:ascii="FreeMono" w:hAnsi="FreeMono"/>
          <w:b/>
          <w:bCs/>
          <w:color w:val="000000"/>
          <w:sz w:val="24"/>
          <w:szCs w:val="20"/>
        </w:rPr>
        <w:t xml:space="preserve">A. </w:t>
      </w:r>
      <w:r>
        <w:rPr>
          <w:rFonts w:eastAsia="Noto Serif CJK SC" w:cs="Noto Sans Devanagari" w:ascii="FreeMono" w:hAnsi="FreeMono"/>
          <w:b/>
          <w:bCs/>
          <w:color w:val="000000"/>
          <w:kern w:val="2"/>
          <w:sz w:val="24"/>
          <w:szCs w:val="20"/>
          <w:lang w:val="en-US" w:eastAsia="zh-CN" w:bidi="hi-IN"/>
        </w:rPr>
        <w:t xml:space="preserve">Cumulative </w:t>
      </w:r>
      <w:r>
        <w:rPr>
          <w:rFonts w:ascii="FreeMono" w:hAnsi="FreeMono"/>
          <w:b/>
          <w:bCs/>
          <w:color w:val="000000"/>
          <w:sz w:val="24"/>
          <w:szCs w:val="20"/>
        </w:rPr>
        <w:t>K budget (CBK)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(</w:t>
      </w:r>
      <w:r>
        <w:rPr>
          <w:rFonts w:eastAsia="Noto Serif CJK SC" w:cs="Noto Sans Devanagari" w:ascii="FreeMono" w:hAnsi="FreeMono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0"/>
          <w:lang w:val="en-US" w:eastAsia="zh-CN" w:bidi="hi-IN"/>
        </w:rPr>
        <w:t>Figure 1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)</w:t>
      </w:r>
    </w:p>
    <w:p>
      <w:pPr>
        <w:pStyle w:val="PreformattedText"/>
        <w:bidi w:val="0"/>
        <w:jc w:val="start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[1] "Balducchi NH4 CBKsoil"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CBK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(Intercept)            0.00  1          1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0.00  1          1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as.factor(SEQ)       457.64  2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TREAT:as.factor(SEQ) 219.99  2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2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"San Alfredo NH4 CBKsoil"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CBK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(Intercept)             0.00  1          1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0.00  1          1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as.factor(SEQ)       6442.15  2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TREAT:as.factor(SEQ)  524.21  2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3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"La Blanca NH4 CBKsoil"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CBK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(Intercept)            0.00  1          1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0.00  1          1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as.factor(SEQ)       681.63  2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TREAT:as.factor(SEQ)  36.34  2  1.285e-08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4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"La Hansa NH4 CBKsoil"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CBK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(Intercept)             0.00  1          1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0.00  1          1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as.factor(SEQ)       3961.94  2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TREAT:as.factor(SEQ)  343.62  2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bidi w:val="0"/>
        <w:spacing w:lineRule="auto" w:line="300" w:before="0" w:after="0"/>
        <w:ind w:end="361" w:hanging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B. Topsoil NH4OAc-K (</w:t>
      </w:r>
      <w:r>
        <w:rPr>
          <w:rFonts w:eastAsia="Noto Serif CJK SC" w:cs="Noto Sans Devanagari" w:ascii="FreeMono" w:hAnsi="FreeMono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0"/>
          <w:lang w:val="en-US" w:eastAsia="zh-CN" w:bidi="hi-IN"/>
        </w:rPr>
        <w:t>Figure 1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)</w:t>
      </w:r>
    </w:p>
    <w:p>
      <w:pPr>
        <w:pStyle w:val="PreformattedText"/>
        <w:widowControl w:val="false"/>
        <w:bidi w:val="0"/>
        <w:spacing w:lineRule="auto" w:line="480" w:before="0" w:after="0"/>
        <w:ind w:end="361" w:hanging="0"/>
        <w:jc w:val="start"/>
        <w:rPr>
          <w:sz w:val="20"/>
          <w:szCs w:val="20"/>
        </w:rPr>
      </w:pPr>
      <w:r>
        <w:rPr>
          <w:rFonts w:ascii="FreeMono" w:hAnsi="FreeMono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[1] "Balducchi NH4 topsoil"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452.0887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0.0000  1   1.000000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as.factor(SEQ)        11.3843  2   0.003372 **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TREAT:as.factor(SEQ)   8.1215  2   0.017236 *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2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"San Alfredo NH4 topsoil"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487.7787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0.0000  1   1.000000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as.factor(SEQ)        10.2858  2   0.005841 **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TREAT:as.factor(SEQ)   2.4649  2   0.291575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3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"La Blanca NH4 topsoil"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720.8825  1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0.0000  1     1.0000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as.factor(SEQ)         1.5978  2     0.4498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TREAT:as.factor(SEQ)   1.0066  2     0.6045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4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"La Hansa NH4 topsoil"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1168.2835  1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0.0000  1     1.0000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as.factor(SEQ)        117.7458  2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TREAT:as.factor(SEQ)    0.7943  2     0.6722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rFonts w:ascii="FreeMono" w:hAnsi="FreeMono"/>
          <w:b/>
          <w:bCs/>
          <w:color w:val="000000"/>
          <w:sz w:val="24"/>
          <w:szCs w:val="20"/>
        </w:rPr>
        <w:t xml:space="preserve">C. NH4OAc-K stocks 0-100 cm 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(</w:t>
      </w:r>
      <w:r>
        <w:rPr>
          <w:rFonts w:eastAsia="Noto Serif CJK SC" w:cs="Noto Sans Devanagari" w:ascii="FreeMono" w:hAnsi="FreeMono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0"/>
          <w:lang w:val="en-US" w:eastAsia="zh-CN" w:bidi="hi-IN"/>
        </w:rPr>
        <w:t>Table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 xml:space="preserve"> 2)</w:t>
      </w:r>
    </w:p>
    <w:p>
      <w:pPr>
        <w:pStyle w:val="PreformattedText"/>
        <w:bidi w:val="0"/>
        <w:jc w:val="start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[1] "ANOVA Balducchi"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NH4OAc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56.401  1  5.909e-14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       111.568  2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2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San Alfredo"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NH4OAc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2230.01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        161.65  2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3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La Blanca"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NH4OAc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352.403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        32.842  2  7.386e-08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4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La Hansa"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NH4OAc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379.556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        82.993  2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  <w:r>
        <w:br w:type="page"/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D. NH4OAc-K stocks 0-20 vs 20-100 cm (</w:t>
      </w:r>
      <w:r>
        <w:rPr>
          <w:rFonts w:eastAsia="Noto Serif CJK SC" w:cs="Noto Sans Devanagari" w:ascii="FreeMono" w:hAnsi="FreeMono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0"/>
          <w:lang w:val="en-US" w:eastAsia="zh-CN" w:bidi="hi-IN"/>
        </w:rPr>
        <w:t>Table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 xml:space="preserve"> 2)</w:t>
      </w:r>
    </w:p>
    <w:p>
      <w:pPr>
        <w:pStyle w:val="PreformattedText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bidi w:val="0"/>
        <w:jc w:val="start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[1] "ANOVA Balducchi"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NH4OAc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122.5607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6.2049  2    0.04494 *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453.0962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TREAT:as.factor(DEPTH)  23.3782  2  8.385e-06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2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San Alfredo"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NH4OAc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265.0964  1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                   78.8217  2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876.2072  1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TREAT:as.factor(DEPTH)   3.2993  2     0.1921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3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La Blanca"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NH4OAc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 398.6729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 2.8963  2      0.235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1070.5360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TREAT:as.factor(DEPTH)   21.9442  2  1.717e-05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4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La Hansa"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NH4OAc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 33.3053  1  7.877e-09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5.7746  2    0.05573 .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577.3584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TREAT:as.factor(DEPTH)   3.1495  2    0.20706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  <w:r>
        <w:br w:type="page"/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rFonts w:ascii="FreeMono" w:hAnsi="FreeMono"/>
          <w:b/>
          <w:bCs/>
          <w:color w:val="000000"/>
          <w:sz w:val="24"/>
          <w:szCs w:val="20"/>
        </w:rPr>
        <w:t xml:space="preserve">E. 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NaBPh4</w:t>
      </w:r>
      <w:r>
        <w:rPr>
          <w:rFonts w:ascii="FreeMono" w:hAnsi="FreeMono"/>
          <w:b/>
          <w:bCs/>
          <w:color w:val="000000"/>
          <w:sz w:val="24"/>
          <w:szCs w:val="20"/>
        </w:rPr>
        <w:t xml:space="preserve">-K stocks 0-100 cm 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(</w:t>
      </w:r>
      <w:r>
        <w:rPr>
          <w:rFonts w:eastAsia="Noto Serif CJK SC" w:cs="Noto Sans Devanagari" w:ascii="FreeMono" w:hAnsi="FreeMono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0"/>
          <w:lang w:val="en-US" w:eastAsia="zh-CN" w:bidi="hi-IN"/>
        </w:rPr>
        <w:t>Table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 xml:space="preserve"> 2)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[1] "ANOVA Balducchi"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2798.15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        850.71  2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2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San Alfredo"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3689.1565  1    &lt; 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9.6218  2    0.00814 **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3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La Blanca"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292.6722  1     &lt;2e-16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8.8125  2     0.0122 *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4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La Hansa"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3284.97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        119.73  2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bidi w:val="0"/>
        <w:spacing w:lineRule="auto" w:line="300" w:before="0" w:after="0"/>
        <w:ind w:end="361" w:hanging="0"/>
        <w:jc w:val="start"/>
        <w:rPr>
          <w:rFonts w:ascii="FreeMono;monospace" w:hAnsi="FreeMono;monospace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;monospace" w:hAnsi="FreeMono;monospace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  <w:r>
        <w:br w:type="page"/>
      </w:r>
    </w:p>
    <w:p>
      <w:pPr>
        <w:pStyle w:val="Normal"/>
        <w:widowControl w:val="false"/>
        <w:bidi w:val="0"/>
        <w:spacing w:lineRule="auto" w:line="480" w:before="0" w:after="0"/>
        <w:ind w:end="361" w:hanging="0"/>
        <w:jc w:val="start"/>
        <w:rPr>
          <w:color w:val="000000"/>
        </w:rPr>
      </w:pPr>
      <w:r>
        <w:rPr>
          <w:rFonts w:ascii="FreeMono" w:hAnsi="FreeMono"/>
          <w:b/>
          <w:bCs/>
          <w:color w:val="000000"/>
          <w:sz w:val="24"/>
          <w:szCs w:val="20"/>
        </w:rPr>
        <w:t xml:space="preserve">F. 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NaBPh4</w:t>
      </w:r>
      <w:r>
        <w:rPr>
          <w:rFonts w:ascii="FreeMono" w:hAnsi="FreeMono"/>
          <w:b/>
          <w:bCs/>
          <w:color w:val="000000"/>
          <w:sz w:val="24"/>
          <w:szCs w:val="20"/>
        </w:rPr>
        <w:t xml:space="preserve">-K stocks 0-20 vs. 0-100 cm 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(</w:t>
      </w:r>
      <w:r>
        <w:rPr>
          <w:rFonts w:eastAsia="Noto Serif CJK SC" w:cs="Noto Sans Devanagari" w:ascii="FreeMono" w:hAnsi="FreeMono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0"/>
          <w:lang w:val="en-US" w:eastAsia="zh-CN" w:bidi="hi-IN"/>
        </w:rPr>
        <w:t>Table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 xml:space="preserve"> 2)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[1] "ANOVA Balducchi"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451.5350  1    &lt; 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7.5416  2    0.02303 *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380.0700  1    &lt; 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TREAT:as.factor(DEPTH) 551.3750  2    &lt; 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2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San Alfredo"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 397.5766  1    &lt; 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 0.5656  2    0.75367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1443.0417  1    &lt; 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TREAT:as.factor(DEPTH)    5.7321  2    0.05692 .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3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La Blanca"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 253.0164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 9.3436  2   0.009356 **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1158.9464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TREAT:as.factor(DEPTH)   46.6989  2  7.235e-11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4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] "ANOVA La Hansa"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spacing w:lineRule="auto" w:line="300" w:before="0" w:after="0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</w:t>
      </w: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 16.9654  1  3.807e-05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1.8517  2    0.39619  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100.2641  1  &lt; 2.2e-16 ***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TREAT:as.factor(DEPTH)   6.4561  2    0.03963 *  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spacing w:lineRule="auto" w:line="300" w:before="0" w:after="0"/>
        <w:rPr>
          <w:sz w:val="20"/>
          <w:szCs w:val="20"/>
        </w:rPr>
      </w:pPr>
      <w:r>
        <w:rPr>
          <w:rFonts w:ascii="FreeMono;monospace" w:hAnsi="FreeMono;monospace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Normal"/>
        <w:bidi w:val="0"/>
        <w:jc w:val="start"/>
        <w:rPr>
          <w:rFonts w:ascii="FreeMono" w:hAnsi="FreeMono"/>
          <w:b/>
          <w:b/>
          <w:bCs/>
          <w:color w:val="000000"/>
          <w:sz w:val="24"/>
          <w:szCs w:val="20"/>
        </w:rPr>
      </w:pPr>
      <w:r>
        <w:rPr>
          <w:rFonts w:ascii="FreeMono" w:hAnsi="FreeMono"/>
          <w:b/>
          <w:bCs/>
          <w:color w:val="000000"/>
          <w:sz w:val="24"/>
          <w:szCs w:val="20"/>
        </w:rPr>
      </w:r>
    </w:p>
    <w:p>
      <w:pPr>
        <w:pStyle w:val="Normal"/>
        <w:bidi w:val="0"/>
        <w:jc w:val="start"/>
        <w:rPr>
          <w:rFonts w:ascii="FreeMono" w:hAnsi="FreeMono"/>
          <w:b/>
          <w:b/>
          <w:bCs/>
          <w:color w:val="000000"/>
          <w:sz w:val="24"/>
          <w:szCs w:val="20"/>
        </w:rPr>
      </w:pPr>
      <w:r>
        <w:rPr>
          <w:rFonts w:ascii="FreeMono" w:hAnsi="FreeMono"/>
          <w:b/>
          <w:bCs/>
          <w:color w:val="000000"/>
          <w:sz w:val="24"/>
          <w:szCs w:val="20"/>
        </w:rPr>
      </w:r>
      <w:r>
        <w:br w:type="page"/>
      </w:r>
    </w:p>
    <w:p>
      <w:pPr>
        <w:pStyle w:val="Normal"/>
        <w:bidi w:val="0"/>
        <w:jc w:val="start"/>
        <w:rPr>
          <w:rFonts w:ascii="FreeMono" w:hAnsi="FreeMono"/>
          <w:b/>
          <w:b/>
          <w:bCs/>
          <w:color w:val="000000"/>
          <w:sz w:val="24"/>
          <w:szCs w:val="20"/>
        </w:rPr>
      </w:pPr>
      <w:r>
        <w:rPr>
          <w:rFonts w:ascii="FreeMono" w:hAnsi="FreeMono"/>
          <w:b/>
          <w:bCs/>
          <w:color w:val="000000"/>
          <w:sz w:val="24"/>
          <w:szCs w:val="20"/>
        </w:rPr>
        <w:t>G. NH4OAc-K vertical distribution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>(Figure 2)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[1] "ANOVA Balducchi"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Analysis of Deviance Table (Type III tests)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Response: NH4OAc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 xml:space="preserve">                         </w:t>
      </w:r>
      <w:r>
        <w:rPr>
          <w:rFonts w:ascii="FreeMono" w:hAnsi="FreeMono"/>
          <w:color w:val="000000"/>
          <w:sz w:val="20"/>
          <w:szCs w:val="20"/>
        </w:rPr>
        <w:t xml:space="preserve">Chisq Df Pr(&gt;Chisq)    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(Intercept)            102.395  1  &lt; 2.2e-16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TREAT                   39.994  2  2.067e-09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as.factor(DEPTH)        20.460  4  0.0004052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 xml:space="preserve">TREAT:as.factor(DEPTH)  21.827  8  0.0052473 ** 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---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Signif. codes:  0 ‘***’ 0.001 ‘**’ 0.01 ‘*’ 0.05 ‘.’ 0.1 ‘ ’ 1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[2] "ANOVA San Alfredo"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Analysis of Deviance Table (Type III tests)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Response: NH4OAc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 xml:space="preserve">                         </w:t>
      </w:r>
      <w:r>
        <w:rPr>
          <w:rFonts w:ascii="FreeMono" w:hAnsi="FreeMono"/>
          <w:color w:val="000000"/>
          <w:sz w:val="20"/>
          <w:szCs w:val="20"/>
        </w:rPr>
        <w:t xml:space="preserve">Chisq Df Pr(&gt;Chisq)    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(Intercept)            3521.78  1  &lt; 2.2e-16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TREAT                   315.45  2  &lt; 2.2e-16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as.factor(DEPTH)        368.66  4  &lt; 2.2e-16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TREAT:as.factor(DEPTH)  146.31  8  &lt; 2.2e-16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---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Signif. codes:  0 ‘***’ 0.001 ‘**’ 0.01 ‘*’ 0.05 ‘.’ 0.1 ‘ ’ 1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[3] "ANOVA La Blanca"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Analysis of Deviance Table (Type III tests)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Response: NH4OAc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 xml:space="preserve">                         </w:t>
      </w:r>
      <w:r>
        <w:rPr>
          <w:rFonts w:ascii="FreeMono" w:hAnsi="FreeMono"/>
          <w:color w:val="000000"/>
          <w:sz w:val="20"/>
          <w:szCs w:val="20"/>
        </w:rPr>
        <w:t xml:space="preserve">Chisq Df Pr(&gt;Chisq)    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(Intercept)            241.848  1  &lt; 2.2e-16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TREAT                   21.394  2  2.261e-05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 xml:space="preserve">as.factor(DEPTH)        14.594  4   0.005621 ** 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TREAT:as.factor(DEPTH)  52.957  8  1.099e-08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---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Signif. codes:  0 ‘***’ 0.001 ‘**’ 0.01 ‘*’ 0.05 ‘.’ 0.1 ‘ ’ 1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[4] "ANOVA La Hansa"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Analysis of Deviance Table (Type III tests)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Response: NH4OAc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 xml:space="preserve">                         </w:t>
      </w:r>
      <w:r>
        <w:rPr>
          <w:rFonts w:ascii="FreeMono" w:hAnsi="FreeMono"/>
          <w:color w:val="000000"/>
          <w:sz w:val="20"/>
          <w:szCs w:val="20"/>
        </w:rPr>
        <w:t xml:space="preserve">Chisq Df Pr(&gt;Chisq)    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(Intercept)            309.166  1  &lt; 2.2e-16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TREAT                   50.791  2  9.353e-12 ***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 xml:space="preserve">as.factor(DEPTH)        16.109  4   0.002876 ** 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 xml:space="preserve">TREAT:as.factor(DEPTH)  21.773  8   0.005355 ** 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---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bidi w:val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PreformattedText"/>
        <w:bidi w:val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  <w:r>
        <w:br w:type="page"/>
      </w:r>
    </w:p>
    <w:p>
      <w:pPr>
        <w:pStyle w:val="Normal"/>
        <w:bidi w:val="0"/>
        <w:jc w:val="start"/>
        <w:rPr>
          <w:rFonts w:ascii="FreeMono" w:hAnsi="FreeMono"/>
        </w:rPr>
      </w:pP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 xml:space="preserve">H. NaBPh4-K </w:t>
      </w:r>
      <w:r>
        <w:rPr>
          <w:rFonts w:eastAsia="Noto Serif CJK SC" w:cs="Noto Sans Devanagari" w:ascii="FreeMono" w:hAnsi="FreeMono"/>
          <w:b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0"/>
          <w:lang w:val="en-US" w:eastAsia="zh-CN" w:bidi="hi-IN"/>
        </w:rPr>
        <w:t>vertical distribution</w:t>
      </w:r>
      <w:r>
        <w:rPr>
          <w:rFonts w:ascii="FreeMono" w:hAnsi="FreeMono"/>
          <w:b/>
          <w:bCs/>
          <w:i w:val="false"/>
          <w:caps w:val="false"/>
          <w:smallCaps w:val="false"/>
          <w:color w:val="000000"/>
          <w:spacing w:val="0"/>
          <w:sz w:val="24"/>
          <w:szCs w:val="20"/>
        </w:rPr>
        <w:t xml:space="preserve"> (Figure 3)</w:t>
      </w:r>
    </w:p>
    <w:p>
      <w:pPr>
        <w:pStyle w:val="Normal"/>
        <w:bidi w:val="0"/>
        <w:jc w:val="start"/>
        <w:rPr>
          <w:rFonts w:ascii="FreeMono" w:hAnsi="FreeMono"/>
        </w:rPr>
      </w:pPr>
      <w:r>
        <w:rPr>
          <w:rFonts w:ascii="FreeMono" w:hAnsi="FreeMono"/>
        </w:rPr>
      </w:r>
    </w:p>
    <w:p>
      <w:pPr>
        <w:pStyle w:val="PreformattedText"/>
        <w:bidi w:val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[1] "ANOVA Balducchi"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NaBPh4-K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</w:t>
      </w: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473.9849  1  &lt; 2.2e-16 ***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8.8719  2  0.0118439 *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 23.0697  4  0.0001226 ***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TREAT:as.factor(DEPTH)  72.9667  8  1.258e-12 ***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[2] "ANOVA San Alfredo"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NaBPh4-K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</w:t>
      </w: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567.7383  1     &lt;2e-16 ***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0.5123  2     0.7740  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as.factor(DEPTH)         7.4895  4     0.1122  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TREAT:as.factor(DEPTH)   2.6759  8     0.9530  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[3] "ANOVA La Blanca"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NaBPh4-K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</w:t>
      </w: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284.8824  1  &lt; 2.2e-16 ***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10.9012  2  0.0042938 **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as.factor(DEPTH)         9.1911  4  0.0564972 .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TREAT:as.factor(DEPTH)  31.1049  8  0.0001346 ***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[4] "ANOVA La Hansa"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Analysis of Deviance Table (Type III tests)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color w:val="000000"/>
          <w:sz w:val="20"/>
          <w:szCs w:val="20"/>
        </w:rPr>
      </w:pPr>
      <w:r>
        <w:rPr>
          <w:rFonts w:ascii="FreeMono" w:hAnsi="FreeMono"/>
          <w:color w:val="000000"/>
          <w:sz w:val="20"/>
          <w:szCs w:val="20"/>
        </w:rPr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Response: NaBPh4-K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caps w:val="false"/>
          <w:smallCaps w:val="false"/>
          <w:color w:val="000000"/>
          <w:spacing w:val="0"/>
          <w:sz w:val="20"/>
          <w:szCs w:val="20"/>
        </w:rPr>
        <w:t xml:space="preserve">                          </w:t>
      </w: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Chisq Df Pr(&gt;Chisq)  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(Intercept)            502.8823  1  &lt; 2.2e-16 ***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                    5.9082  2    0.05213 .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as.factor(DEPTH)        34.0389  4  7.316e-07 ***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TREAT:as.factor(DEPTH)   7.2642  8    0.50841    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---</w:t>
      </w:r>
    </w:p>
    <w:p>
      <w:pPr>
        <w:pStyle w:val="PreformattedText"/>
        <w:widowControl/>
        <w:bidi w:val="0"/>
        <w:spacing w:lineRule="auto" w:line="300" w:before="0" w:after="0"/>
        <w:jc w:val="start"/>
        <w:rPr>
          <w:rFonts w:ascii="FreeMono" w:hAnsi="FreeMono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FreeMono" w:hAnsi="FreeMono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Signif. codes:  0 ‘***’ 0.001 ‘**’ 0.01 ‘*’ 0.05 ‘.’ 0.1 ‘ ’ 1</w:t>
      </w:r>
    </w:p>
    <w:p>
      <w:pPr>
        <w:pStyle w:val="Normal"/>
        <w:bidi w:val="0"/>
        <w:jc w:val="start"/>
        <w:rPr>
          <w:rFonts w:ascii="FreeMono" w:hAnsi="FreeMono"/>
          <w:color w:val="000000"/>
          <w:sz w:val="20"/>
          <w:szCs w:val="20"/>
        </w:rPr>
      </w:pPr>
      <w:r>
        <w:rPr/>
      </w:r>
    </w:p>
    <w:sectPr>
      <w:footerReference w:type="default" r:id="rId4"/>
      <w:type w:val="nextPage"/>
      <w:pgSz w:w="12240" w:h="15840"/>
      <w:pgMar w:left="1134" w:right="1134" w:header="0" w:top="1134" w:footer="1134" w:bottom="174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Liberation Mono">
    <w:altName w:val="Courier New"/>
    <w:charset w:val="01"/>
    <w:family w:val="swiss"/>
    <w:pitch w:val="default"/>
  </w:font>
  <w:font w:name="FreeMono">
    <w:charset w:val="01"/>
    <w:family w:val="swiss"/>
    <w:pitch w:val="default"/>
  </w:font>
  <w:font w:name="FreeMono">
    <w:altName w:val="monospace"/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uppressLineNumbers/>
      <w:bidi w:val="0"/>
      <w:jc w:val="start"/>
      <w:rPr/>
    </w:pPr>
    <w:r>
      <w:rPr/>
      <w:tab/>
    </w:r>
    <w:r>
      <w:rPr>
        <w:rFonts w:ascii="FreeMono" w:hAnsi="FreeMono"/>
      </w:rPr>
      <w:fldChar w:fldCharType="begin"/>
    </w:r>
    <w:r>
      <w:rPr>
        <w:rFonts w:ascii="FreeMono" w:hAnsi="FreeMono"/>
      </w:rPr>
      <w:instrText> PAGE </w:instrText>
    </w:r>
    <w:r>
      <w:rPr>
        <w:rFonts w:ascii="FreeMono" w:hAnsi="FreeMono"/>
      </w:rPr>
      <w:fldChar w:fldCharType="separate"/>
    </w:r>
    <w:r>
      <w:rPr>
        <w:rFonts w:ascii="FreeMono" w:hAnsi="FreeMono"/>
      </w:rPr>
      <w:t>10</w:t>
    </w:r>
    <w:r>
      <w:rPr>
        <w:rFonts w:ascii="FreeMono" w:hAnsi="FreeMono"/>
      </w:rPr>
      <w:fldChar w:fldCharType="end"/>
    </w:r>
  </w:p>
</w:ftr>
</file>

<file path=word/settings.xml><?xml version="1.0" encoding="utf-8"?>
<w:settings xmlns:w="http://schemas.openxmlformats.org/wordprocessingml/2006/main">
  <w:zoom w:percent="13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erif CJK SC" w:cs="Noto Sans Devanagari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Calibri" w:hAnsi="Calibri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Noto Sans Devanagar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rrendo@ksu.edu" TargetMode="External"/><Relationship Id="rId3" Type="http://schemas.openxmlformats.org/officeDocument/2006/relationships/hyperlink" Target="mailto:ciampitti@ksu.edu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LibreOffice/6.4.7.2$Linux_X86_64 LibreOffice_project/40$Build-2</Application>
  <Pages>10</Pages>
  <Words>1705</Words>
  <Characters>8731</Characters>
  <CharactersWithSpaces>12484</CharactersWithSpaces>
  <Paragraphs>326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2021-04-15T16:22:28Z</dcterms:created>
  <dc:creator/>
  <dc:description/>
  <dc:language>en-US</dc:language>
  <cp:lastModifiedBy/>
  <dcterms:modified xsi:type="dcterms:W3CDTF">2021-04-16T11:39:15Z</dcterms:modified>
  <cp:revision>8</cp:revision>
  <dc:subject/>
  <dc:title/>
</cp:coreProperties>
</file>