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5D52B" w14:textId="42C54957" w:rsidR="008B6770" w:rsidRPr="008B6770" w:rsidRDefault="008B6770" w:rsidP="008B6770">
      <w:pPr>
        <w:spacing w:line="480" w:lineRule="auto"/>
        <w:jc w:val="center"/>
        <w:rPr>
          <w:b/>
          <w:bCs/>
        </w:rPr>
      </w:pPr>
      <w:r w:rsidRPr="008B6770">
        <w:rPr>
          <w:b/>
          <w:bCs/>
        </w:rPr>
        <w:t>Supplementa</w:t>
      </w:r>
      <w:r w:rsidR="00171D62">
        <w:rPr>
          <w:b/>
          <w:bCs/>
        </w:rPr>
        <w:t xml:space="preserve">ry </w:t>
      </w:r>
      <w:r w:rsidR="007B3E8D">
        <w:rPr>
          <w:b/>
          <w:bCs/>
        </w:rPr>
        <w:t>information</w:t>
      </w:r>
      <w:r w:rsidR="00171D62">
        <w:rPr>
          <w:b/>
          <w:bCs/>
        </w:rPr>
        <w:t xml:space="preserve"> </w:t>
      </w:r>
      <w:r w:rsidRPr="008B6770">
        <w:rPr>
          <w:b/>
          <w:bCs/>
        </w:rPr>
        <w:t>for:</w:t>
      </w:r>
    </w:p>
    <w:p w14:paraId="65DF8658" w14:textId="36AFF2AA" w:rsidR="00EB073D" w:rsidRPr="008B6770" w:rsidRDefault="004C539F" w:rsidP="008B6770">
      <w:pPr>
        <w:spacing w:line="480" w:lineRule="auto"/>
        <w:jc w:val="center"/>
        <w:rPr>
          <w:b/>
          <w:bCs/>
        </w:rPr>
      </w:pPr>
      <w:r w:rsidRPr="008B6770">
        <w:rPr>
          <w:b/>
          <w:bCs/>
        </w:rPr>
        <w:t>Impact of a tropical forest blowdown on aboveground carbon balance</w:t>
      </w:r>
    </w:p>
    <w:p w14:paraId="16FD3D86" w14:textId="77777777" w:rsidR="008B6770" w:rsidRPr="00FD5DF7" w:rsidRDefault="008B6770" w:rsidP="00381290">
      <w:pPr>
        <w:spacing w:line="480" w:lineRule="auto"/>
      </w:pPr>
    </w:p>
    <w:p w14:paraId="04C6E67D" w14:textId="4D4DF64C" w:rsidR="004E3FDA" w:rsidRDefault="004E3FDA" w:rsidP="00381290">
      <w:pPr>
        <w:spacing w:line="480" w:lineRule="auto"/>
      </w:pPr>
      <w:r w:rsidRPr="00FD5DF7">
        <w:t>K. C. Cushman</w:t>
      </w:r>
      <w:r w:rsidRPr="00FD5DF7">
        <w:rPr>
          <w:vertAlign w:val="superscript"/>
        </w:rPr>
        <w:t>1,2,3</w:t>
      </w:r>
      <w:r w:rsidR="001705FA">
        <w:rPr>
          <w:vertAlign w:val="superscript"/>
        </w:rPr>
        <w:t>*</w:t>
      </w:r>
      <w:r w:rsidRPr="00FD5DF7">
        <w:t>, John T. Burley</w:t>
      </w:r>
      <w:r w:rsidRPr="00FD5DF7">
        <w:rPr>
          <w:vertAlign w:val="superscript"/>
        </w:rPr>
        <w:t>1,2</w:t>
      </w:r>
      <w:r w:rsidRPr="00FD5DF7">
        <w:t xml:space="preserve">, </w:t>
      </w:r>
      <w:proofErr w:type="spellStart"/>
      <w:r w:rsidRPr="00FD5DF7">
        <w:t>Benedikt</w:t>
      </w:r>
      <w:proofErr w:type="spellEnd"/>
      <w:r w:rsidRPr="00FD5DF7">
        <w:t xml:space="preserve"> Imbach</w:t>
      </w:r>
      <w:r w:rsidRPr="00FD5DF7">
        <w:rPr>
          <w:vertAlign w:val="superscript"/>
        </w:rPr>
        <w:t>4</w:t>
      </w:r>
      <w:r w:rsidRPr="00FD5DF7">
        <w:t>, Sassan S. Saatchi</w:t>
      </w:r>
      <w:r w:rsidRPr="00FD5DF7">
        <w:rPr>
          <w:vertAlign w:val="superscript"/>
        </w:rPr>
        <w:t>5</w:t>
      </w:r>
      <w:r w:rsidRPr="00FD5DF7">
        <w:t>, Carlos E. Silva</w:t>
      </w:r>
      <w:r w:rsidRPr="00FD5DF7">
        <w:rPr>
          <w:vertAlign w:val="superscript"/>
        </w:rPr>
        <w:t>6</w:t>
      </w:r>
      <w:r w:rsidRPr="00FD5DF7">
        <w:t>, Orlando Vargas</w:t>
      </w:r>
      <w:r w:rsidRPr="00FD5DF7">
        <w:rPr>
          <w:vertAlign w:val="superscript"/>
        </w:rPr>
        <w:t>7</w:t>
      </w:r>
      <w:r w:rsidRPr="00FD5DF7">
        <w:t>, Carlo Zgraggen</w:t>
      </w:r>
      <w:r w:rsidRPr="00FD5DF7">
        <w:rPr>
          <w:vertAlign w:val="superscript"/>
        </w:rPr>
        <w:t>4</w:t>
      </w:r>
      <w:r w:rsidRPr="00FD5DF7">
        <w:t>, and James R. Kellner</w:t>
      </w:r>
      <w:r w:rsidRPr="00FD5DF7">
        <w:rPr>
          <w:vertAlign w:val="superscript"/>
        </w:rPr>
        <w:t>1,2</w:t>
      </w:r>
      <w:r w:rsidRPr="00FD5DF7">
        <w:t xml:space="preserve"> </w:t>
      </w:r>
    </w:p>
    <w:p w14:paraId="224709F3" w14:textId="77777777" w:rsidR="008B6770" w:rsidRDefault="008B6770" w:rsidP="00381290">
      <w:pPr>
        <w:spacing w:line="480" w:lineRule="auto"/>
        <w:ind w:left="720" w:hanging="720"/>
        <w:contextualSpacing/>
        <w:rPr>
          <w:b/>
          <w:bCs/>
        </w:rPr>
      </w:pPr>
    </w:p>
    <w:p w14:paraId="5D85043A" w14:textId="6FDA3C45" w:rsidR="004E3FDA" w:rsidRPr="00FD5DF7" w:rsidRDefault="004E3FDA" w:rsidP="00381290">
      <w:pPr>
        <w:spacing w:line="480" w:lineRule="auto"/>
        <w:ind w:left="720" w:hanging="720"/>
        <w:contextualSpacing/>
      </w:pPr>
      <w:r w:rsidRPr="00FD5DF7">
        <w:rPr>
          <w:vertAlign w:val="superscript"/>
        </w:rPr>
        <w:t>1</w:t>
      </w:r>
      <w:r w:rsidRPr="00FD5DF7">
        <w:t>Institute at Brown for Environment and Society, Brown University, Providence, RI 02912</w:t>
      </w:r>
    </w:p>
    <w:p w14:paraId="53001576" w14:textId="07797D41" w:rsidR="004E3FDA" w:rsidRPr="00FD5DF7" w:rsidRDefault="004E3FDA" w:rsidP="00381290">
      <w:pPr>
        <w:spacing w:line="480" w:lineRule="auto"/>
        <w:ind w:left="720" w:hanging="720"/>
        <w:contextualSpacing/>
      </w:pPr>
      <w:r w:rsidRPr="00FD5DF7">
        <w:rPr>
          <w:vertAlign w:val="superscript"/>
        </w:rPr>
        <w:t>2</w:t>
      </w:r>
      <w:r w:rsidRPr="00FD5DF7">
        <w:t>Department of Ecology and Evolutionary Biology, Brown University, Providence RI, 02912</w:t>
      </w:r>
    </w:p>
    <w:p w14:paraId="3ABC7F84" w14:textId="5AC6DB36" w:rsidR="004E3FDA" w:rsidRPr="00FD5DF7" w:rsidRDefault="004E3FDA" w:rsidP="00381290">
      <w:pPr>
        <w:spacing w:line="480" w:lineRule="auto"/>
        <w:ind w:left="720" w:hanging="720"/>
        <w:contextualSpacing/>
      </w:pPr>
      <w:r w:rsidRPr="00FD5DF7">
        <w:rPr>
          <w:vertAlign w:val="superscript"/>
        </w:rPr>
        <w:t>3</w:t>
      </w:r>
      <w:r w:rsidRPr="00FD5DF7">
        <w:t xml:space="preserve">Present address: Smithsonian Tropical Research Institute, </w:t>
      </w:r>
      <w:proofErr w:type="spellStart"/>
      <w:r w:rsidRPr="00FD5DF7">
        <w:t>Apartado</w:t>
      </w:r>
      <w:proofErr w:type="spellEnd"/>
      <w:r w:rsidRPr="00FD5DF7">
        <w:t xml:space="preserve"> 0843-03092, Balboa, </w:t>
      </w:r>
      <w:proofErr w:type="spellStart"/>
      <w:r w:rsidRPr="00FD5DF7">
        <w:t>Ancón</w:t>
      </w:r>
      <w:proofErr w:type="spellEnd"/>
      <w:r w:rsidRPr="00FD5DF7">
        <w:t>, Republic of Panamá</w:t>
      </w:r>
    </w:p>
    <w:p w14:paraId="45443B64" w14:textId="19D49417" w:rsidR="004E3FDA" w:rsidRPr="00FD5DF7" w:rsidRDefault="004E3FDA" w:rsidP="00381290">
      <w:pPr>
        <w:spacing w:line="480" w:lineRule="auto"/>
        <w:ind w:left="720" w:hanging="720"/>
        <w:contextualSpacing/>
      </w:pPr>
      <w:r w:rsidRPr="00FD5DF7">
        <w:rPr>
          <w:vertAlign w:val="superscript"/>
        </w:rPr>
        <w:t>4</w:t>
      </w:r>
      <w:r w:rsidRPr="00FD5DF7">
        <w:t xml:space="preserve">Aeroscout GmbH, </w:t>
      </w:r>
      <w:proofErr w:type="spellStart"/>
      <w:r w:rsidRPr="00FD5DF7">
        <w:t>Hochdorf</w:t>
      </w:r>
      <w:proofErr w:type="spellEnd"/>
      <w:r w:rsidRPr="00FD5DF7">
        <w:t>, Switzerland</w:t>
      </w:r>
    </w:p>
    <w:p w14:paraId="65A737E7" w14:textId="0B41F84C" w:rsidR="004E3FDA" w:rsidRPr="00FD5DF7" w:rsidRDefault="004E3FDA" w:rsidP="00381290">
      <w:pPr>
        <w:spacing w:line="480" w:lineRule="auto"/>
        <w:ind w:left="720" w:hanging="720"/>
        <w:contextualSpacing/>
      </w:pPr>
      <w:r w:rsidRPr="00FD5DF7">
        <w:rPr>
          <w:vertAlign w:val="superscript"/>
        </w:rPr>
        <w:t>5</w:t>
      </w:r>
      <w:r w:rsidRPr="00FD5DF7">
        <w:t>NASA-Jet Propulsion Laboratory, California Institute of Technology, Pasadena, CA, 91109</w:t>
      </w:r>
    </w:p>
    <w:p w14:paraId="5B188B2F" w14:textId="7CDF2916" w:rsidR="004E3FDA" w:rsidRPr="00FD5DF7" w:rsidRDefault="004E3FDA" w:rsidP="00381290">
      <w:pPr>
        <w:spacing w:line="480" w:lineRule="auto"/>
        <w:ind w:left="720" w:hanging="720"/>
        <w:contextualSpacing/>
      </w:pPr>
      <w:r w:rsidRPr="00FD5DF7">
        <w:rPr>
          <w:vertAlign w:val="superscript"/>
        </w:rPr>
        <w:t>6</w:t>
      </w:r>
      <w:r w:rsidRPr="00FD5DF7">
        <w:t>Department of Geography, University of Maryland, College Park MD, 20742</w:t>
      </w:r>
    </w:p>
    <w:p w14:paraId="0E4F232D" w14:textId="42AF2F53" w:rsidR="008B6770" w:rsidRPr="008B6770" w:rsidRDefault="004E3FDA" w:rsidP="008B6770">
      <w:pPr>
        <w:spacing w:line="480" w:lineRule="auto"/>
        <w:ind w:left="720" w:hanging="720"/>
        <w:contextualSpacing/>
      </w:pPr>
      <w:r w:rsidRPr="00FD5DF7">
        <w:rPr>
          <w:vertAlign w:val="superscript"/>
        </w:rPr>
        <w:t>7</w:t>
      </w:r>
      <w:r w:rsidRPr="00FD5DF7">
        <w:t>Organization for Tropical Studies, La Selva Biological Station, San Pedro, Costa Rica</w:t>
      </w:r>
      <w:r w:rsidR="008B6770">
        <w:rPr>
          <w:b/>
          <w:color w:val="000000"/>
        </w:rPr>
        <w:br w:type="page"/>
      </w:r>
    </w:p>
    <w:p w14:paraId="21F92364" w14:textId="1A91E7D9" w:rsidR="0090336D" w:rsidRPr="00FD5DF7" w:rsidRDefault="00F85628" w:rsidP="00FC3594">
      <w:pPr>
        <w:keepNext/>
        <w:pBdr>
          <w:top w:val="nil"/>
          <w:left w:val="nil"/>
          <w:bottom w:val="nil"/>
          <w:right w:val="nil"/>
          <w:between w:val="nil"/>
        </w:pBdr>
        <w:spacing w:before="240" w:after="60" w:line="480" w:lineRule="auto"/>
        <w:contextualSpacing/>
      </w:pPr>
      <w:r>
        <w:rPr>
          <w:b/>
          <w:color w:val="000000"/>
        </w:rPr>
        <w:lastRenderedPageBreak/>
        <w:t>Supplementary</w:t>
      </w:r>
      <w:r w:rsidR="0090336D" w:rsidRPr="00FD5DF7">
        <w:rPr>
          <w:b/>
          <w:color w:val="000000"/>
        </w:rPr>
        <w:t xml:space="preserve"> Table 1. </w:t>
      </w:r>
      <w:r w:rsidR="0090336D" w:rsidRPr="00FD5DF7">
        <w:rPr>
          <w:b/>
          <w:bCs/>
        </w:rPr>
        <w:t>Canopy height and ACD before and after a moderate blowdown in a lowland tropical forest.</w:t>
      </w:r>
      <w:r w:rsidR="0090336D" w:rsidRPr="00FD5DF7">
        <w:t xml:space="preserve"> The study area includes 33.0 ha of old-growth forest and 70.5 ha of secondary forest at La Selva Biological Station, Costa Rica. Brackets denote 95% confidence intervals from Monte Carlo simulation of the height-to-ACD model.</w:t>
      </w:r>
    </w:p>
    <w:p w14:paraId="6DCF6621" w14:textId="77777777" w:rsidR="0090336D" w:rsidRPr="00FD5DF7" w:rsidRDefault="0090336D" w:rsidP="00FC3594">
      <w:pPr>
        <w:keepNext/>
        <w:pBdr>
          <w:top w:val="nil"/>
          <w:left w:val="nil"/>
          <w:bottom w:val="nil"/>
          <w:right w:val="nil"/>
          <w:between w:val="nil"/>
        </w:pBdr>
        <w:spacing w:before="240" w:after="60" w:line="480" w:lineRule="auto"/>
        <w:contextualSpacing/>
      </w:pPr>
    </w:p>
    <w:tbl>
      <w:tblPr>
        <w:tblW w:w="9830" w:type="dxa"/>
        <w:jc w:val="center"/>
        <w:tblLayout w:type="fixed"/>
        <w:tblLook w:val="04A0" w:firstRow="1" w:lastRow="0" w:firstColumn="1" w:lastColumn="0" w:noHBand="0" w:noVBand="1"/>
      </w:tblPr>
      <w:tblGrid>
        <w:gridCol w:w="1885"/>
        <w:gridCol w:w="1350"/>
        <w:gridCol w:w="1350"/>
        <w:gridCol w:w="1260"/>
        <w:gridCol w:w="1260"/>
        <w:gridCol w:w="1440"/>
        <w:gridCol w:w="8"/>
        <w:gridCol w:w="1277"/>
      </w:tblGrid>
      <w:tr w:rsidR="0090336D" w:rsidRPr="00FD5DF7" w14:paraId="7C62F672" w14:textId="77777777" w:rsidTr="00EC43C9">
        <w:trPr>
          <w:trHeight w:val="271"/>
          <w:jc w:val="center"/>
        </w:trPr>
        <w:tc>
          <w:tcPr>
            <w:tcW w:w="1885" w:type="dxa"/>
            <w:tcBorders>
              <w:top w:val="single" w:sz="4" w:space="0" w:color="auto"/>
              <w:left w:val="single" w:sz="4" w:space="0" w:color="auto"/>
              <w:bottom w:val="nil"/>
              <w:right w:val="single" w:sz="4" w:space="0" w:color="auto"/>
            </w:tcBorders>
            <w:shd w:val="clear" w:color="auto" w:fill="auto"/>
            <w:vAlign w:val="center"/>
            <w:hideMark/>
          </w:tcPr>
          <w:p w14:paraId="488DDFAC" w14:textId="77777777" w:rsidR="0090336D" w:rsidRPr="00FD5DF7" w:rsidRDefault="0090336D" w:rsidP="00FC3594">
            <w:pPr>
              <w:jc w:val="center"/>
              <w:rPr>
                <w:b/>
                <w:bCs/>
                <w:color w:val="000000"/>
              </w:rPr>
            </w:pPr>
            <w:r w:rsidRPr="00FD5DF7">
              <w:rPr>
                <w:b/>
                <w:bCs/>
                <w:color w:val="000000"/>
              </w:rPr>
              <w:t>Year</w:t>
            </w:r>
          </w:p>
        </w:tc>
        <w:tc>
          <w:tcPr>
            <w:tcW w:w="3960" w:type="dxa"/>
            <w:gridSpan w:val="3"/>
            <w:tcBorders>
              <w:top w:val="single" w:sz="4" w:space="0" w:color="auto"/>
              <w:left w:val="single" w:sz="4" w:space="0" w:color="auto"/>
              <w:bottom w:val="nil"/>
              <w:right w:val="single" w:sz="4" w:space="0" w:color="000000"/>
            </w:tcBorders>
            <w:shd w:val="clear" w:color="auto" w:fill="auto"/>
            <w:vAlign w:val="center"/>
            <w:hideMark/>
          </w:tcPr>
          <w:p w14:paraId="05CAA1AE" w14:textId="77777777" w:rsidR="0090336D" w:rsidRPr="00FD5DF7" w:rsidRDefault="0090336D" w:rsidP="00FC3594">
            <w:pPr>
              <w:jc w:val="center"/>
              <w:rPr>
                <w:b/>
                <w:bCs/>
                <w:color w:val="000000"/>
              </w:rPr>
            </w:pPr>
            <w:r w:rsidRPr="00FD5DF7">
              <w:rPr>
                <w:b/>
                <w:bCs/>
                <w:color w:val="000000"/>
              </w:rPr>
              <w:t>Before blowdown</w:t>
            </w:r>
          </w:p>
        </w:tc>
        <w:tc>
          <w:tcPr>
            <w:tcW w:w="3985" w:type="dxa"/>
            <w:gridSpan w:val="4"/>
            <w:tcBorders>
              <w:top w:val="single" w:sz="4" w:space="0" w:color="auto"/>
              <w:left w:val="nil"/>
              <w:bottom w:val="nil"/>
              <w:right w:val="single" w:sz="4" w:space="0" w:color="auto"/>
            </w:tcBorders>
            <w:shd w:val="clear" w:color="auto" w:fill="auto"/>
            <w:vAlign w:val="center"/>
            <w:hideMark/>
          </w:tcPr>
          <w:p w14:paraId="49A93BAB" w14:textId="77777777" w:rsidR="0090336D" w:rsidRPr="00FD5DF7" w:rsidRDefault="0090336D" w:rsidP="00FC3594">
            <w:pPr>
              <w:jc w:val="center"/>
              <w:rPr>
                <w:b/>
                <w:bCs/>
                <w:color w:val="000000"/>
              </w:rPr>
            </w:pPr>
            <w:r w:rsidRPr="00FD5DF7">
              <w:rPr>
                <w:b/>
                <w:bCs/>
                <w:color w:val="000000"/>
              </w:rPr>
              <w:t>After blowdown</w:t>
            </w:r>
          </w:p>
        </w:tc>
      </w:tr>
      <w:tr w:rsidR="0090336D" w:rsidRPr="00FD5DF7" w14:paraId="44362DF6" w14:textId="77777777" w:rsidTr="00EC43C9">
        <w:trPr>
          <w:trHeight w:val="518"/>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7B955FC2" w14:textId="77777777" w:rsidR="0090336D" w:rsidRPr="00FD5DF7" w:rsidRDefault="0090336D" w:rsidP="00FC3594">
            <w:pPr>
              <w:jc w:val="center"/>
              <w:rPr>
                <w:b/>
                <w:bCs/>
                <w:color w:val="000000"/>
              </w:rPr>
            </w:pPr>
            <w:r w:rsidRPr="00FD5DF7">
              <w:rPr>
                <w:b/>
                <w:bCs/>
                <w:color w:val="000000"/>
              </w:rPr>
              <w:t>Forest type</w:t>
            </w:r>
          </w:p>
        </w:tc>
        <w:tc>
          <w:tcPr>
            <w:tcW w:w="1350" w:type="dxa"/>
            <w:tcBorders>
              <w:top w:val="nil"/>
              <w:left w:val="single" w:sz="4" w:space="0" w:color="auto"/>
              <w:bottom w:val="single" w:sz="4" w:space="0" w:color="auto"/>
              <w:right w:val="nil"/>
            </w:tcBorders>
            <w:shd w:val="clear" w:color="auto" w:fill="auto"/>
            <w:vAlign w:val="center"/>
            <w:hideMark/>
          </w:tcPr>
          <w:p w14:paraId="2C87887E" w14:textId="77777777" w:rsidR="0090336D" w:rsidRPr="00FD5DF7" w:rsidRDefault="0090336D" w:rsidP="00FC3594">
            <w:pPr>
              <w:jc w:val="center"/>
              <w:rPr>
                <w:color w:val="000000"/>
              </w:rPr>
            </w:pPr>
            <w:r w:rsidRPr="00FD5DF7">
              <w:rPr>
                <w:color w:val="000000"/>
              </w:rPr>
              <w:t>All</w:t>
            </w:r>
          </w:p>
        </w:tc>
        <w:tc>
          <w:tcPr>
            <w:tcW w:w="1350" w:type="dxa"/>
            <w:tcBorders>
              <w:top w:val="nil"/>
              <w:left w:val="nil"/>
              <w:bottom w:val="single" w:sz="4" w:space="0" w:color="auto"/>
              <w:right w:val="nil"/>
            </w:tcBorders>
            <w:shd w:val="clear" w:color="auto" w:fill="auto"/>
            <w:vAlign w:val="center"/>
            <w:hideMark/>
          </w:tcPr>
          <w:p w14:paraId="668C1CB8" w14:textId="77777777" w:rsidR="0090336D" w:rsidRPr="00FD5DF7" w:rsidRDefault="0090336D" w:rsidP="00FC3594">
            <w:pPr>
              <w:jc w:val="center"/>
              <w:rPr>
                <w:color w:val="000000"/>
              </w:rPr>
            </w:pPr>
            <w:r w:rsidRPr="00FD5DF7">
              <w:rPr>
                <w:color w:val="000000"/>
              </w:rPr>
              <w:t>Old growth</w:t>
            </w:r>
          </w:p>
        </w:tc>
        <w:tc>
          <w:tcPr>
            <w:tcW w:w="1260" w:type="dxa"/>
            <w:tcBorders>
              <w:top w:val="nil"/>
              <w:left w:val="nil"/>
              <w:bottom w:val="single" w:sz="4" w:space="0" w:color="auto"/>
              <w:right w:val="single" w:sz="4" w:space="0" w:color="auto"/>
            </w:tcBorders>
            <w:shd w:val="clear" w:color="auto" w:fill="auto"/>
            <w:vAlign w:val="center"/>
            <w:hideMark/>
          </w:tcPr>
          <w:p w14:paraId="28369B9B" w14:textId="77777777" w:rsidR="0090336D" w:rsidRPr="00FD5DF7" w:rsidRDefault="0090336D" w:rsidP="00FC3594">
            <w:pPr>
              <w:jc w:val="center"/>
              <w:rPr>
                <w:color w:val="000000"/>
              </w:rPr>
            </w:pPr>
            <w:r w:rsidRPr="00FD5DF7">
              <w:rPr>
                <w:color w:val="000000"/>
              </w:rPr>
              <w:t>Secondary</w:t>
            </w:r>
          </w:p>
        </w:tc>
        <w:tc>
          <w:tcPr>
            <w:tcW w:w="1260" w:type="dxa"/>
            <w:tcBorders>
              <w:top w:val="nil"/>
              <w:left w:val="nil"/>
              <w:bottom w:val="single" w:sz="4" w:space="0" w:color="auto"/>
              <w:right w:val="nil"/>
            </w:tcBorders>
            <w:shd w:val="clear" w:color="auto" w:fill="auto"/>
            <w:vAlign w:val="center"/>
            <w:hideMark/>
          </w:tcPr>
          <w:p w14:paraId="51FC5E34" w14:textId="77777777" w:rsidR="0090336D" w:rsidRPr="00FD5DF7" w:rsidRDefault="0090336D" w:rsidP="00FC3594">
            <w:pPr>
              <w:jc w:val="center"/>
              <w:rPr>
                <w:color w:val="000000"/>
              </w:rPr>
            </w:pPr>
            <w:r w:rsidRPr="00FD5DF7">
              <w:rPr>
                <w:color w:val="000000"/>
              </w:rPr>
              <w:t>All</w:t>
            </w:r>
          </w:p>
        </w:tc>
        <w:tc>
          <w:tcPr>
            <w:tcW w:w="1440" w:type="dxa"/>
            <w:tcBorders>
              <w:top w:val="nil"/>
              <w:left w:val="nil"/>
              <w:bottom w:val="single" w:sz="4" w:space="0" w:color="auto"/>
              <w:right w:val="nil"/>
            </w:tcBorders>
            <w:shd w:val="clear" w:color="auto" w:fill="auto"/>
            <w:vAlign w:val="center"/>
            <w:hideMark/>
          </w:tcPr>
          <w:p w14:paraId="59B6C303" w14:textId="77777777" w:rsidR="0090336D" w:rsidRPr="00FD5DF7" w:rsidRDefault="0090336D" w:rsidP="00FC3594">
            <w:pPr>
              <w:jc w:val="center"/>
              <w:rPr>
                <w:color w:val="000000"/>
              </w:rPr>
            </w:pPr>
            <w:r w:rsidRPr="00FD5DF7">
              <w:rPr>
                <w:color w:val="000000"/>
              </w:rPr>
              <w:t>Old growth</w:t>
            </w:r>
          </w:p>
        </w:tc>
        <w:tc>
          <w:tcPr>
            <w:tcW w:w="1285" w:type="dxa"/>
            <w:gridSpan w:val="2"/>
            <w:tcBorders>
              <w:top w:val="nil"/>
              <w:left w:val="nil"/>
              <w:bottom w:val="single" w:sz="4" w:space="0" w:color="auto"/>
              <w:right w:val="single" w:sz="4" w:space="0" w:color="auto"/>
            </w:tcBorders>
            <w:shd w:val="clear" w:color="auto" w:fill="auto"/>
            <w:vAlign w:val="center"/>
            <w:hideMark/>
          </w:tcPr>
          <w:p w14:paraId="536426ED" w14:textId="77777777" w:rsidR="0090336D" w:rsidRPr="00FD5DF7" w:rsidRDefault="0090336D" w:rsidP="00FC3594">
            <w:pPr>
              <w:jc w:val="center"/>
              <w:rPr>
                <w:color w:val="000000"/>
              </w:rPr>
            </w:pPr>
            <w:r w:rsidRPr="00FD5DF7">
              <w:rPr>
                <w:color w:val="000000"/>
              </w:rPr>
              <w:t>Secondary</w:t>
            </w:r>
          </w:p>
        </w:tc>
      </w:tr>
      <w:tr w:rsidR="0090336D" w:rsidRPr="00FD5DF7" w14:paraId="780BFA45" w14:textId="77777777" w:rsidTr="00EC43C9">
        <w:trPr>
          <w:trHeight w:val="544"/>
          <w:jc w:val="center"/>
        </w:trPr>
        <w:tc>
          <w:tcPr>
            <w:tcW w:w="1885" w:type="dxa"/>
            <w:tcBorders>
              <w:top w:val="single" w:sz="4" w:space="0" w:color="auto"/>
              <w:left w:val="single" w:sz="8" w:space="0" w:color="auto"/>
              <w:bottom w:val="nil"/>
              <w:right w:val="single" w:sz="4" w:space="0" w:color="auto"/>
            </w:tcBorders>
            <w:shd w:val="clear" w:color="auto" w:fill="auto"/>
            <w:vAlign w:val="center"/>
            <w:hideMark/>
          </w:tcPr>
          <w:p w14:paraId="6D8E045D" w14:textId="77777777" w:rsidR="0090336D" w:rsidRPr="00FD5DF7" w:rsidRDefault="0090336D" w:rsidP="00FC3594">
            <w:pPr>
              <w:jc w:val="center"/>
              <w:rPr>
                <w:b/>
                <w:bCs/>
                <w:color w:val="000000"/>
              </w:rPr>
            </w:pPr>
            <w:r w:rsidRPr="00FD5DF7">
              <w:rPr>
                <w:b/>
                <w:bCs/>
                <w:color w:val="000000"/>
              </w:rPr>
              <w:t xml:space="preserve">Mean ACD             </w:t>
            </w:r>
            <w:proofErr w:type="gramStart"/>
            <w:r w:rsidRPr="00FD5DF7">
              <w:rPr>
                <w:b/>
                <w:bCs/>
                <w:color w:val="000000"/>
              </w:rPr>
              <w:t xml:space="preserve">   </w:t>
            </w:r>
            <w:r w:rsidRPr="00FD5DF7">
              <w:rPr>
                <w:color w:val="000000"/>
              </w:rPr>
              <w:t>(</w:t>
            </w:r>
            <w:proofErr w:type="gramEnd"/>
            <w:r w:rsidRPr="00FD5DF7">
              <w:rPr>
                <w:color w:val="000000"/>
              </w:rPr>
              <w:t>Mg C ha</w:t>
            </w:r>
            <w:r w:rsidRPr="00FD5DF7">
              <w:rPr>
                <w:color w:val="000000"/>
                <w:vertAlign w:val="superscript"/>
              </w:rPr>
              <w:t>-1</w:t>
            </w:r>
            <w:r w:rsidRPr="00FD5DF7">
              <w:rPr>
                <w:color w:val="000000"/>
              </w:rPr>
              <w:t>)</w:t>
            </w:r>
          </w:p>
        </w:tc>
        <w:tc>
          <w:tcPr>
            <w:tcW w:w="1350" w:type="dxa"/>
            <w:tcBorders>
              <w:top w:val="single" w:sz="4" w:space="0" w:color="auto"/>
              <w:left w:val="single" w:sz="4" w:space="0" w:color="auto"/>
              <w:bottom w:val="nil"/>
              <w:right w:val="nil"/>
            </w:tcBorders>
            <w:shd w:val="clear" w:color="auto" w:fill="auto"/>
            <w:vAlign w:val="center"/>
            <w:hideMark/>
          </w:tcPr>
          <w:p w14:paraId="7C4A675B" w14:textId="17C6E15D" w:rsidR="0090336D" w:rsidRPr="00B738A3" w:rsidRDefault="0090336D" w:rsidP="00FC3594">
            <w:pPr>
              <w:jc w:val="center"/>
              <w:rPr>
                <w:color w:val="000000"/>
                <w:sz w:val="20"/>
                <w:szCs w:val="20"/>
              </w:rPr>
            </w:pPr>
            <w:r w:rsidRPr="00B738A3">
              <w:rPr>
                <w:color w:val="000000"/>
                <w:sz w:val="20"/>
                <w:szCs w:val="20"/>
              </w:rPr>
              <w:t xml:space="preserve">98.8      </w:t>
            </w:r>
            <w:proofErr w:type="gramStart"/>
            <w:r w:rsidRPr="00B738A3">
              <w:rPr>
                <w:color w:val="000000"/>
                <w:sz w:val="20"/>
                <w:szCs w:val="20"/>
              </w:rPr>
              <w:t xml:space="preserve">   [</w:t>
            </w:r>
            <w:proofErr w:type="gramEnd"/>
            <w:r w:rsidRPr="00B738A3">
              <w:rPr>
                <w:color w:val="000000"/>
                <w:sz w:val="20"/>
                <w:szCs w:val="20"/>
              </w:rPr>
              <w:t>97.</w:t>
            </w:r>
            <w:r w:rsidR="0082658D">
              <w:rPr>
                <w:color w:val="000000"/>
                <w:sz w:val="20"/>
                <w:szCs w:val="20"/>
              </w:rPr>
              <w:t>5</w:t>
            </w:r>
            <w:r w:rsidRPr="00B738A3">
              <w:rPr>
                <w:color w:val="000000"/>
                <w:sz w:val="20"/>
                <w:szCs w:val="20"/>
              </w:rPr>
              <w:t xml:space="preserve">, </w:t>
            </w:r>
            <w:r w:rsidR="0082658D">
              <w:rPr>
                <w:color w:val="000000"/>
                <w:sz w:val="20"/>
                <w:szCs w:val="20"/>
              </w:rPr>
              <w:t>99.9</w:t>
            </w:r>
            <w:r w:rsidRPr="00B738A3">
              <w:rPr>
                <w:color w:val="000000"/>
                <w:sz w:val="20"/>
                <w:szCs w:val="20"/>
              </w:rPr>
              <w:t>]</w:t>
            </w:r>
          </w:p>
        </w:tc>
        <w:tc>
          <w:tcPr>
            <w:tcW w:w="1350" w:type="dxa"/>
            <w:tcBorders>
              <w:top w:val="single" w:sz="4" w:space="0" w:color="auto"/>
              <w:left w:val="nil"/>
              <w:bottom w:val="nil"/>
              <w:right w:val="nil"/>
            </w:tcBorders>
            <w:shd w:val="clear" w:color="auto" w:fill="auto"/>
            <w:vAlign w:val="center"/>
            <w:hideMark/>
          </w:tcPr>
          <w:p w14:paraId="4D6C0CC3" w14:textId="4347EFB9" w:rsidR="0090336D" w:rsidRPr="00B738A3" w:rsidRDefault="0090336D" w:rsidP="00FC3594">
            <w:pPr>
              <w:jc w:val="center"/>
              <w:rPr>
                <w:color w:val="000000"/>
                <w:sz w:val="20"/>
                <w:szCs w:val="20"/>
              </w:rPr>
            </w:pPr>
            <w:r w:rsidRPr="00B738A3">
              <w:rPr>
                <w:color w:val="000000"/>
                <w:sz w:val="20"/>
                <w:szCs w:val="20"/>
              </w:rPr>
              <w:t>103.</w:t>
            </w:r>
            <w:r w:rsidR="0082658D">
              <w:rPr>
                <w:color w:val="000000"/>
                <w:sz w:val="20"/>
                <w:szCs w:val="20"/>
              </w:rPr>
              <w:t>3</w:t>
            </w:r>
            <w:r w:rsidRPr="00B738A3">
              <w:rPr>
                <w:color w:val="000000"/>
                <w:sz w:val="20"/>
                <w:szCs w:val="20"/>
              </w:rPr>
              <w:t xml:space="preserve"> </w:t>
            </w:r>
            <w:proofErr w:type="gramStart"/>
            <w:r w:rsidRPr="00B738A3">
              <w:rPr>
                <w:color w:val="000000"/>
                <w:sz w:val="20"/>
                <w:szCs w:val="20"/>
              </w:rPr>
              <w:t xml:space="preserve">   [</w:t>
            </w:r>
            <w:proofErr w:type="gramEnd"/>
            <w:r w:rsidRPr="00B738A3">
              <w:rPr>
                <w:color w:val="000000"/>
                <w:sz w:val="20"/>
                <w:szCs w:val="20"/>
              </w:rPr>
              <w:t>101.</w:t>
            </w:r>
            <w:r w:rsidR="0082658D">
              <w:rPr>
                <w:color w:val="000000"/>
                <w:sz w:val="20"/>
                <w:szCs w:val="20"/>
              </w:rPr>
              <w:t>1</w:t>
            </w:r>
            <w:r w:rsidRPr="00B738A3">
              <w:rPr>
                <w:color w:val="000000"/>
                <w:sz w:val="20"/>
                <w:szCs w:val="20"/>
              </w:rPr>
              <w:t>, 105.7]</w:t>
            </w:r>
          </w:p>
        </w:tc>
        <w:tc>
          <w:tcPr>
            <w:tcW w:w="1260" w:type="dxa"/>
            <w:tcBorders>
              <w:top w:val="single" w:sz="4" w:space="0" w:color="auto"/>
              <w:left w:val="nil"/>
              <w:bottom w:val="nil"/>
              <w:right w:val="single" w:sz="4" w:space="0" w:color="auto"/>
            </w:tcBorders>
            <w:shd w:val="clear" w:color="auto" w:fill="auto"/>
            <w:vAlign w:val="center"/>
            <w:hideMark/>
          </w:tcPr>
          <w:p w14:paraId="453274AC" w14:textId="3466115D" w:rsidR="0090336D" w:rsidRPr="00B738A3" w:rsidRDefault="0090336D" w:rsidP="00FC3594">
            <w:pPr>
              <w:jc w:val="center"/>
              <w:rPr>
                <w:color w:val="000000"/>
                <w:sz w:val="20"/>
                <w:szCs w:val="20"/>
              </w:rPr>
            </w:pPr>
            <w:r w:rsidRPr="00B738A3">
              <w:rPr>
                <w:color w:val="000000"/>
                <w:sz w:val="20"/>
                <w:szCs w:val="20"/>
              </w:rPr>
              <w:t xml:space="preserve">96.6  </w:t>
            </w:r>
            <w:proofErr w:type="gramStart"/>
            <w:r w:rsidRPr="00B738A3">
              <w:rPr>
                <w:color w:val="000000"/>
                <w:sz w:val="20"/>
                <w:szCs w:val="20"/>
              </w:rPr>
              <w:t xml:space="preserve">   [</w:t>
            </w:r>
            <w:proofErr w:type="gramEnd"/>
            <w:r w:rsidRPr="00B738A3">
              <w:rPr>
                <w:color w:val="000000"/>
                <w:sz w:val="20"/>
                <w:szCs w:val="20"/>
              </w:rPr>
              <w:t>95.</w:t>
            </w:r>
            <w:r w:rsidR="0082658D">
              <w:rPr>
                <w:color w:val="000000"/>
                <w:sz w:val="20"/>
                <w:szCs w:val="20"/>
              </w:rPr>
              <w:t>0</w:t>
            </w:r>
            <w:r w:rsidRPr="00B738A3">
              <w:rPr>
                <w:color w:val="000000"/>
                <w:sz w:val="20"/>
                <w:szCs w:val="20"/>
              </w:rPr>
              <w:t>, 98.1]</w:t>
            </w:r>
          </w:p>
        </w:tc>
        <w:tc>
          <w:tcPr>
            <w:tcW w:w="1260" w:type="dxa"/>
            <w:tcBorders>
              <w:top w:val="single" w:sz="4" w:space="0" w:color="auto"/>
              <w:left w:val="nil"/>
              <w:bottom w:val="nil"/>
              <w:right w:val="nil"/>
            </w:tcBorders>
            <w:shd w:val="clear" w:color="auto" w:fill="auto"/>
            <w:vAlign w:val="center"/>
            <w:hideMark/>
          </w:tcPr>
          <w:p w14:paraId="3BB2D08A" w14:textId="4661FA33" w:rsidR="0090336D" w:rsidRPr="00B738A3" w:rsidRDefault="0090336D" w:rsidP="00FC3594">
            <w:pPr>
              <w:jc w:val="center"/>
              <w:rPr>
                <w:color w:val="000000"/>
                <w:sz w:val="20"/>
                <w:szCs w:val="20"/>
              </w:rPr>
            </w:pPr>
            <w:r w:rsidRPr="00B738A3">
              <w:rPr>
                <w:color w:val="000000"/>
                <w:sz w:val="20"/>
                <w:szCs w:val="20"/>
              </w:rPr>
              <w:t xml:space="preserve">81.4   </w:t>
            </w:r>
            <w:proofErr w:type="gramStart"/>
            <w:r w:rsidRPr="00B738A3">
              <w:rPr>
                <w:color w:val="000000"/>
                <w:sz w:val="20"/>
                <w:szCs w:val="20"/>
              </w:rPr>
              <w:t xml:space="preserve">   [</w:t>
            </w:r>
            <w:proofErr w:type="gramEnd"/>
            <w:r w:rsidRPr="00B738A3">
              <w:rPr>
                <w:color w:val="000000"/>
                <w:sz w:val="20"/>
                <w:szCs w:val="20"/>
              </w:rPr>
              <w:t>80.1, 82.</w:t>
            </w:r>
            <w:r w:rsidR="0082658D">
              <w:rPr>
                <w:color w:val="000000"/>
                <w:sz w:val="20"/>
                <w:szCs w:val="20"/>
              </w:rPr>
              <w:t>6</w:t>
            </w:r>
            <w:r w:rsidRPr="00B738A3">
              <w:rPr>
                <w:color w:val="000000"/>
                <w:sz w:val="20"/>
                <w:szCs w:val="20"/>
              </w:rPr>
              <w:t>]</w:t>
            </w:r>
          </w:p>
        </w:tc>
        <w:tc>
          <w:tcPr>
            <w:tcW w:w="1448" w:type="dxa"/>
            <w:gridSpan w:val="2"/>
            <w:tcBorders>
              <w:top w:val="single" w:sz="4" w:space="0" w:color="auto"/>
              <w:left w:val="nil"/>
              <w:bottom w:val="nil"/>
              <w:right w:val="nil"/>
            </w:tcBorders>
            <w:shd w:val="clear" w:color="auto" w:fill="auto"/>
            <w:vAlign w:val="center"/>
            <w:hideMark/>
          </w:tcPr>
          <w:p w14:paraId="55F700BE" w14:textId="401D787A" w:rsidR="0090336D" w:rsidRPr="00B738A3" w:rsidRDefault="0090336D" w:rsidP="00FC3594">
            <w:pPr>
              <w:jc w:val="center"/>
              <w:rPr>
                <w:color w:val="000000"/>
                <w:sz w:val="20"/>
                <w:szCs w:val="20"/>
              </w:rPr>
            </w:pPr>
            <w:r w:rsidRPr="00B738A3">
              <w:rPr>
                <w:color w:val="000000"/>
                <w:sz w:val="20"/>
                <w:szCs w:val="20"/>
              </w:rPr>
              <w:t xml:space="preserve">84.4      </w:t>
            </w:r>
            <w:proofErr w:type="gramStart"/>
            <w:r w:rsidRPr="00B738A3">
              <w:rPr>
                <w:color w:val="000000"/>
                <w:sz w:val="20"/>
                <w:szCs w:val="20"/>
              </w:rPr>
              <w:t xml:space="preserve">   [</w:t>
            </w:r>
            <w:proofErr w:type="gramEnd"/>
            <w:r w:rsidRPr="00B738A3">
              <w:rPr>
                <w:color w:val="000000"/>
                <w:sz w:val="20"/>
                <w:szCs w:val="20"/>
              </w:rPr>
              <w:t>82.</w:t>
            </w:r>
            <w:r w:rsidR="0082658D">
              <w:rPr>
                <w:color w:val="000000"/>
                <w:sz w:val="20"/>
                <w:szCs w:val="20"/>
              </w:rPr>
              <w:t>4</w:t>
            </w:r>
            <w:r w:rsidRPr="00B738A3">
              <w:rPr>
                <w:color w:val="000000"/>
                <w:sz w:val="20"/>
                <w:szCs w:val="20"/>
              </w:rPr>
              <w:t>, 86.</w:t>
            </w:r>
            <w:r w:rsidR="0082658D">
              <w:rPr>
                <w:color w:val="000000"/>
                <w:sz w:val="20"/>
                <w:szCs w:val="20"/>
              </w:rPr>
              <w:t>6</w:t>
            </w:r>
            <w:r w:rsidRPr="00B738A3">
              <w:rPr>
                <w:color w:val="000000"/>
                <w:sz w:val="20"/>
                <w:szCs w:val="20"/>
              </w:rPr>
              <w:t>]</w:t>
            </w:r>
          </w:p>
        </w:tc>
        <w:tc>
          <w:tcPr>
            <w:tcW w:w="1277" w:type="dxa"/>
            <w:tcBorders>
              <w:top w:val="single" w:sz="4" w:space="0" w:color="auto"/>
              <w:left w:val="nil"/>
              <w:bottom w:val="nil"/>
              <w:right w:val="single" w:sz="8" w:space="0" w:color="auto"/>
            </w:tcBorders>
            <w:shd w:val="clear" w:color="auto" w:fill="auto"/>
            <w:vAlign w:val="center"/>
            <w:hideMark/>
          </w:tcPr>
          <w:p w14:paraId="7FE46537" w14:textId="1EB9425F" w:rsidR="0090336D" w:rsidRPr="00B738A3" w:rsidRDefault="0082658D" w:rsidP="00FC3594">
            <w:pPr>
              <w:jc w:val="center"/>
              <w:rPr>
                <w:color w:val="000000"/>
                <w:sz w:val="20"/>
                <w:szCs w:val="20"/>
              </w:rPr>
            </w:pPr>
            <w:r>
              <w:rPr>
                <w:color w:val="000000"/>
                <w:sz w:val="20"/>
                <w:szCs w:val="20"/>
              </w:rPr>
              <w:t>80</w:t>
            </w:r>
            <w:r w:rsidR="0090336D" w:rsidRPr="00B738A3">
              <w:rPr>
                <w:color w:val="000000"/>
                <w:sz w:val="20"/>
                <w:szCs w:val="20"/>
              </w:rPr>
              <w:t>.</w:t>
            </w:r>
            <w:r>
              <w:rPr>
                <w:color w:val="000000"/>
                <w:sz w:val="20"/>
                <w:szCs w:val="20"/>
              </w:rPr>
              <w:t>0</w:t>
            </w:r>
            <w:r w:rsidR="0090336D" w:rsidRPr="00B738A3">
              <w:rPr>
                <w:color w:val="000000"/>
                <w:sz w:val="20"/>
                <w:szCs w:val="20"/>
              </w:rPr>
              <w:t xml:space="preserve">   </w:t>
            </w:r>
            <w:proofErr w:type="gramStart"/>
            <w:r w:rsidR="0090336D" w:rsidRPr="00B738A3">
              <w:rPr>
                <w:color w:val="000000"/>
                <w:sz w:val="20"/>
                <w:szCs w:val="20"/>
              </w:rPr>
              <w:t xml:space="preserve">   [</w:t>
            </w:r>
            <w:proofErr w:type="gramEnd"/>
            <w:r w:rsidR="0090336D" w:rsidRPr="00B738A3">
              <w:rPr>
                <w:color w:val="000000"/>
                <w:sz w:val="20"/>
                <w:szCs w:val="20"/>
              </w:rPr>
              <w:t>78.5, 81.</w:t>
            </w:r>
            <w:r>
              <w:rPr>
                <w:color w:val="000000"/>
                <w:sz w:val="20"/>
                <w:szCs w:val="20"/>
              </w:rPr>
              <w:t>5</w:t>
            </w:r>
            <w:r w:rsidR="0090336D" w:rsidRPr="00B738A3">
              <w:rPr>
                <w:color w:val="000000"/>
                <w:sz w:val="20"/>
                <w:szCs w:val="20"/>
              </w:rPr>
              <w:t>]</w:t>
            </w:r>
          </w:p>
        </w:tc>
      </w:tr>
      <w:tr w:rsidR="0090336D" w:rsidRPr="00FD5DF7" w14:paraId="3F45433E" w14:textId="77777777" w:rsidTr="00EC43C9">
        <w:trPr>
          <w:trHeight w:val="729"/>
          <w:jc w:val="center"/>
        </w:trPr>
        <w:tc>
          <w:tcPr>
            <w:tcW w:w="1885" w:type="dxa"/>
            <w:tcBorders>
              <w:top w:val="nil"/>
              <w:left w:val="single" w:sz="8" w:space="0" w:color="auto"/>
              <w:bottom w:val="nil"/>
              <w:right w:val="single" w:sz="4" w:space="0" w:color="auto"/>
            </w:tcBorders>
            <w:shd w:val="clear" w:color="auto" w:fill="auto"/>
            <w:vAlign w:val="center"/>
          </w:tcPr>
          <w:p w14:paraId="7E8D1CAD" w14:textId="77777777" w:rsidR="0090336D" w:rsidRPr="00FD5DF7" w:rsidRDefault="0090336D" w:rsidP="00FC3594">
            <w:pPr>
              <w:contextualSpacing/>
              <w:jc w:val="center"/>
              <w:rPr>
                <w:color w:val="000000"/>
                <w:lang w:val="es-ES"/>
              </w:rPr>
            </w:pPr>
            <w:r w:rsidRPr="00FD5DF7">
              <w:rPr>
                <w:b/>
                <w:bCs/>
                <w:color w:val="000000"/>
              </w:rPr>
              <w:t xml:space="preserve">Std. dev. ACD             </w:t>
            </w:r>
            <w:proofErr w:type="gramStart"/>
            <w:r w:rsidRPr="00FD5DF7">
              <w:rPr>
                <w:b/>
                <w:bCs/>
                <w:color w:val="000000"/>
              </w:rPr>
              <w:t xml:space="preserve">   </w:t>
            </w:r>
            <w:r w:rsidRPr="00FD5DF7">
              <w:rPr>
                <w:color w:val="000000"/>
              </w:rPr>
              <w:t>(</w:t>
            </w:r>
            <w:proofErr w:type="gramEnd"/>
            <w:r w:rsidRPr="00FD5DF7">
              <w:rPr>
                <w:color w:val="000000"/>
              </w:rPr>
              <w:t>Mg C ha</w:t>
            </w:r>
            <w:r w:rsidRPr="00FD5DF7">
              <w:rPr>
                <w:color w:val="000000"/>
                <w:vertAlign w:val="superscript"/>
              </w:rPr>
              <w:t>-1</w:t>
            </w:r>
            <w:r w:rsidRPr="00FD5DF7">
              <w:rPr>
                <w:color w:val="000000"/>
              </w:rPr>
              <w:t>)</w:t>
            </w:r>
          </w:p>
        </w:tc>
        <w:tc>
          <w:tcPr>
            <w:tcW w:w="1350" w:type="dxa"/>
            <w:tcBorders>
              <w:top w:val="nil"/>
              <w:left w:val="single" w:sz="4" w:space="0" w:color="auto"/>
              <w:bottom w:val="nil"/>
              <w:right w:val="nil"/>
            </w:tcBorders>
            <w:shd w:val="clear" w:color="auto" w:fill="auto"/>
            <w:vAlign w:val="center"/>
          </w:tcPr>
          <w:p w14:paraId="0692238B" w14:textId="77777777" w:rsidR="0090336D" w:rsidRPr="00B738A3" w:rsidRDefault="0090336D" w:rsidP="00FC3594">
            <w:pPr>
              <w:contextualSpacing/>
              <w:jc w:val="center"/>
              <w:rPr>
                <w:color w:val="000000"/>
                <w:sz w:val="20"/>
                <w:szCs w:val="20"/>
              </w:rPr>
            </w:pPr>
            <w:r w:rsidRPr="00B738A3">
              <w:rPr>
                <w:color w:val="000000"/>
                <w:sz w:val="20"/>
                <w:szCs w:val="20"/>
              </w:rPr>
              <w:t>15.1</w:t>
            </w:r>
          </w:p>
          <w:p w14:paraId="2F6A475D" w14:textId="77777777" w:rsidR="0090336D" w:rsidRPr="00B738A3" w:rsidRDefault="0090336D" w:rsidP="00FC3594">
            <w:pPr>
              <w:contextualSpacing/>
              <w:jc w:val="center"/>
              <w:rPr>
                <w:b/>
                <w:bCs/>
                <w:color w:val="000000"/>
                <w:sz w:val="20"/>
                <w:szCs w:val="20"/>
              </w:rPr>
            </w:pPr>
            <w:r w:rsidRPr="00B738A3">
              <w:rPr>
                <w:color w:val="000000"/>
                <w:sz w:val="20"/>
                <w:szCs w:val="20"/>
              </w:rPr>
              <w:t>[14.0, 16.2]</w:t>
            </w:r>
          </w:p>
        </w:tc>
        <w:tc>
          <w:tcPr>
            <w:tcW w:w="1350" w:type="dxa"/>
            <w:tcBorders>
              <w:top w:val="nil"/>
              <w:left w:val="nil"/>
              <w:bottom w:val="nil"/>
              <w:right w:val="nil"/>
            </w:tcBorders>
            <w:shd w:val="clear" w:color="auto" w:fill="auto"/>
            <w:vAlign w:val="center"/>
          </w:tcPr>
          <w:p w14:paraId="1B4099A6" w14:textId="5476DBA0" w:rsidR="0090336D" w:rsidRPr="00B738A3" w:rsidRDefault="0090336D" w:rsidP="00FC3594">
            <w:pPr>
              <w:contextualSpacing/>
              <w:jc w:val="center"/>
              <w:rPr>
                <w:color w:val="000000"/>
                <w:sz w:val="20"/>
                <w:szCs w:val="20"/>
              </w:rPr>
            </w:pPr>
            <w:r w:rsidRPr="00B738A3">
              <w:rPr>
                <w:color w:val="000000"/>
                <w:sz w:val="20"/>
                <w:szCs w:val="20"/>
              </w:rPr>
              <w:t>15.</w:t>
            </w:r>
            <w:r w:rsidR="0082658D">
              <w:rPr>
                <w:color w:val="000000"/>
                <w:sz w:val="20"/>
                <w:szCs w:val="20"/>
              </w:rPr>
              <w:t>2</w:t>
            </w:r>
          </w:p>
          <w:p w14:paraId="18532722" w14:textId="6433376B" w:rsidR="0090336D" w:rsidRPr="00B738A3" w:rsidRDefault="0090336D" w:rsidP="00FC3594">
            <w:pPr>
              <w:contextualSpacing/>
              <w:jc w:val="center"/>
              <w:rPr>
                <w:color w:val="000000"/>
                <w:sz w:val="20"/>
                <w:szCs w:val="20"/>
              </w:rPr>
            </w:pPr>
            <w:r w:rsidRPr="00B738A3">
              <w:rPr>
                <w:color w:val="000000"/>
                <w:sz w:val="20"/>
                <w:szCs w:val="20"/>
              </w:rPr>
              <w:t>[13.2, 17.</w:t>
            </w:r>
            <w:r w:rsidR="0082658D">
              <w:rPr>
                <w:color w:val="000000"/>
                <w:sz w:val="20"/>
                <w:szCs w:val="20"/>
              </w:rPr>
              <w:t>2</w:t>
            </w:r>
            <w:r w:rsidRPr="00B738A3">
              <w:rPr>
                <w:color w:val="000000"/>
                <w:sz w:val="20"/>
                <w:szCs w:val="20"/>
              </w:rPr>
              <w:t>]</w:t>
            </w:r>
          </w:p>
        </w:tc>
        <w:tc>
          <w:tcPr>
            <w:tcW w:w="1260" w:type="dxa"/>
            <w:tcBorders>
              <w:top w:val="nil"/>
              <w:left w:val="nil"/>
              <w:bottom w:val="nil"/>
              <w:right w:val="single" w:sz="4" w:space="0" w:color="auto"/>
            </w:tcBorders>
            <w:shd w:val="clear" w:color="auto" w:fill="auto"/>
            <w:vAlign w:val="center"/>
          </w:tcPr>
          <w:p w14:paraId="4911152C" w14:textId="77777777" w:rsidR="0090336D" w:rsidRPr="00B738A3" w:rsidRDefault="0090336D" w:rsidP="00FC3594">
            <w:pPr>
              <w:contextualSpacing/>
              <w:jc w:val="center"/>
              <w:rPr>
                <w:color w:val="000000"/>
                <w:sz w:val="20"/>
                <w:szCs w:val="20"/>
              </w:rPr>
            </w:pPr>
            <w:r w:rsidRPr="00B738A3">
              <w:rPr>
                <w:color w:val="000000"/>
                <w:sz w:val="20"/>
                <w:szCs w:val="20"/>
              </w:rPr>
              <w:t>14.6</w:t>
            </w:r>
          </w:p>
          <w:p w14:paraId="2F662050" w14:textId="440374C9" w:rsidR="0090336D" w:rsidRPr="00B738A3" w:rsidRDefault="0090336D" w:rsidP="00FC3594">
            <w:pPr>
              <w:contextualSpacing/>
              <w:jc w:val="center"/>
              <w:rPr>
                <w:color w:val="000000"/>
                <w:sz w:val="20"/>
                <w:szCs w:val="20"/>
              </w:rPr>
            </w:pPr>
            <w:r w:rsidRPr="00B738A3">
              <w:rPr>
                <w:color w:val="000000"/>
                <w:sz w:val="20"/>
                <w:szCs w:val="20"/>
              </w:rPr>
              <w:t>[13.</w:t>
            </w:r>
            <w:r w:rsidR="0082658D">
              <w:rPr>
                <w:color w:val="000000"/>
                <w:sz w:val="20"/>
                <w:szCs w:val="20"/>
              </w:rPr>
              <w:t>2</w:t>
            </w:r>
            <w:r w:rsidRPr="00B738A3">
              <w:rPr>
                <w:color w:val="000000"/>
                <w:sz w:val="20"/>
                <w:szCs w:val="20"/>
              </w:rPr>
              <w:t>, 1</w:t>
            </w:r>
            <w:r w:rsidR="0082658D">
              <w:rPr>
                <w:color w:val="000000"/>
                <w:sz w:val="20"/>
                <w:szCs w:val="20"/>
              </w:rPr>
              <w:t>6</w:t>
            </w:r>
            <w:r w:rsidRPr="00B738A3">
              <w:rPr>
                <w:color w:val="000000"/>
                <w:sz w:val="20"/>
                <w:szCs w:val="20"/>
              </w:rPr>
              <w:t>.</w:t>
            </w:r>
            <w:r w:rsidR="0082658D">
              <w:rPr>
                <w:color w:val="000000"/>
                <w:sz w:val="20"/>
                <w:szCs w:val="20"/>
              </w:rPr>
              <w:t>0</w:t>
            </w:r>
            <w:r w:rsidRPr="00B738A3">
              <w:rPr>
                <w:color w:val="000000"/>
                <w:sz w:val="20"/>
                <w:szCs w:val="20"/>
              </w:rPr>
              <w:t>]</w:t>
            </w:r>
          </w:p>
        </w:tc>
        <w:tc>
          <w:tcPr>
            <w:tcW w:w="1260" w:type="dxa"/>
            <w:tcBorders>
              <w:top w:val="nil"/>
              <w:left w:val="nil"/>
              <w:bottom w:val="nil"/>
              <w:right w:val="nil"/>
            </w:tcBorders>
            <w:shd w:val="clear" w:color="auto" w:fill="auto"/>
            <w:vAlign w:val="center"/>
          </w:tcPr>
          <w:p w14:paraId="7BF2630B" w14:textId="77777777" w:rsidR="0090336D" w:rsidRPr="00B738A3" w:rsidRDefault="0090336D" w:rsidP="00FC3594">
            <w:pPr>
              <w:contextualSpacing/>
              <w:jc w:val="center"/>
              <w:rPr>
                <w:color w:val="000000"/>
                <w:sz w:val="20"/>
                <w:szCs w:val="20"/>
              </w:rPr>
            </w:pPr>
            <w:r w:rsidRPr="00B738A3">
              <w:rPr>
                <w:color w:val="000000"/>
                <w:sz w:val="20"/>
                <w:szCs w:val="20"/>
              </w:rPr>
              <w:t>17.8</w:t>
            </w:r>
          </w:p>
          <w:p w14:paraId="1CCE8FDD" w14:textId="04E4F17B" w:rsidR="0090336D" w:rsidRPr="00B738A3" w:rsidRDefault="0090336D" w:rsidP="00FC3594">
            <w:pPr>
              <w:contextualSpacing/>
              <w:jc w:val="center"/>
              <w:rPr>
                <w:color w:val="000000"/>
                <w:sz w:val="20"/>
                <w:szCs w:val="20"/>
              </w:rPr>
            </w:pPr>
            <w:r w:rsidRPr="00B738A3">
              <w:rPr>
                <w:color w:val="000000"/>
                <w:sz w:val="20"/>
                <w:szCs w:val="20"/>
              </w:rPr>
              <w:t>[16.</w:t>
            </w:r>
            <w:r w:rsidR="0082658D">
              <w:rPr>
                <w:color w:val="000000"/>
                <w:sz w:val="20"/>
                <w:szCs w:val="20"/>
              </w:rPr>
              <w:t>7</w:t>
            </w:r>
            <w:r w:rsidRPr="00B738A3">
              <w:rPr>
                <w:color w:val="000000"/>
                <w:sz w:val="20"/>
                <w:szCs w:val="20"/>
              </w:rPr>
              <w:t xml:space="preserve"> 18.9]</w:t>
            </w:r>
          </w:p>
        </w:tc>
        <w:tc>
          <w:tcPr>
            <w:tcW w:w="1440" w:type="dxa"/>
            <w:tcBorders>
              <w:top w:val="nil"/>
              <w:left w:val="nil"/>
              <w:bottom w:val="nil"/>
              <w:right w:val="nil"/>
            </w:tcBorders>
            <w:shd w:val="clear" w:color="auto" w:fill="auto"/>
            <w:vAlign w:val="center"/>
          </w:tcPr>
          <w:p w14:paraId="3B71D64B" w14:textId="77777777" w:rsidR="0090336D" w:rsidRPr="00B738A3" w:rsidRDefault="0090336D" w:rsidP="00FC3594">
            <w:pPr>
              <w:contextualSpacing/>
              <w:jc w:val="center"/>
              <w:rPr>
                <w:color w:val="000000"/>
                <w:sz w:val="20"/>
                <w:szCs w:val="20"/>
              </w:rPr>
            </w:pPr>
            <w:r w:rsidRPr="00B738A3">
              <w:rPr>
                <w:color w:val="000000"/>
                <w:sz w:val="20"/>
                <w:szCs w:val="20"/>
              </w:rPr>
              <w:t>16.2</w:t>
            </w:r>
          </w:p>
          <w:p w14:paraId="1936E041" w14:textId="62C6C379" w:rsidR="0090336D" w:rsidRPr="00B738A3" w:rsidRDefault="0090336D" w:rsidP="00FC3594">
            <w:pPr>
              <w:contextualSpacing/>
              <w:jc w:val="center"/>
              <w:rPr>
                <w:color w:val="000000"/>
                <w:sz w:val="20"/>
                <w:szCs w:val="20"/>
              </w:rPr>
            </w:pPr>
            <w:r w:rsidRPr="00B738A3">
              <w:rPr>
                <w:color w:val="000000"/>
                <w:sz w:val="20"/>
                <w:szCs w:val="20"/>
              </w:rPr>
              <w:t>[14.</w:t>
            </w:r>
            <w:r w:rsidR="0082658D">
              <w:rPr>
                <w:color w:val="000000"/>
                <w:sz w:val="20"/>
                <w:szCs w:val="20"/>
              </w:rPr>
              <w:t>1</w:t>
            </w:r>
            <w:r w:rsidRPr="00B738A3">
              <w:rPr>
                <w:color w:val="000000"/>
                <w:sz w:val="20"/>
                <w:szCs w:val="20"/>
              </w:rPr>
              <w:t>, 18.</w:t>
            </w:r>
            <w:r w:rsidR="0082658D">
              <w:rPr>
                <w:color w:val="000000"/>
                <w:sz w:val="20"/>
                <w:szCs w:val="20"/>
              </w:rPr>
              <w:t>1</w:t>
            </w:r>
            <w:r w:rsidRPr="00B738A3">
              <w:rPr>
                <w:color w:val="000000"/>
                <w:sz w:val="20"/>
                <w:szCs w:val="20"/>
              </w:rPr>
              <w:t>]</w:t>
            </w:r>
          </w:p>
        </w:tc>
        <w:tc>
          <w:tcPr>
            <w:tcW w:w="1285" w:type="dxa"/>
            <w:gridSpan w:val="2"/>
            <w:tcBorders>
              <w:top w:val="nil"/>
              <w:left w:val="nil"/>
              <w:bottom w:val="nil"/>
              <w:right w:val="single" w:sz="8" w:space="0" w:color="auto"/>
            </w:tcBorders>
            <w:shd w:val="clear" w:color="auto" w:fill="auto"/>
            <w:vAlign w:val="center"/>
          </w:tcPr>
          <w:p w14:paraId="6945CB64" w14:textId="5969FBCD" w:rsidR="0090336D" w:rsidRPr="00B738A3" w:rsidRDefault="0090336D" w:rsidP="00FC3594">
            <w:pPr>
              <w:contextualSpacing/>
              <w:jc w:val="center"/>
              <w:rPr>
                <w:color w:val="000000"/>
                <w:sz w:val="20"/>
                <w:szCs w:val="20"/>
              </w:rPr>
            </w:pPr>
            <w:r w:rsidRPr="00B738A3">
              <w:rPr>
                <w:color w:val="000000"/>
                <w:sz w:val="20"/>
                <w:szCs w:val="20"/>
              </w:rPr>
              <w:t>18.</w:t>
            </w:r>
            <w:r w:rsidR="0082658D">
              <w:rPr>
                <w:color w:val="000000"/>
                <w:sz w:val="20"/>
                <w:szCs w:val="20"/>
              </w:rPr>
              <w:t>4</w:t>
            </w:r>
          </w:p>
          <w:p w14:paraId="3598BADB" w14:textId="37D7B12B" w:rsidR="0090336D" w:rsidRPr="00B738A3" w:rsidRDefault="0090336D" w:rsidP="00FC3594">
            <w:pPr>
              <w:contextualSpacing/>
              <w:jc w:val="center"/>
              <w:rPr>
                <w:color w:val="000000"/>
                <w:sz w:val="20"/>
                <w:szCs w:val="20"/>
              </w:rPr>
            </w:pPr>
            <w:r w:rsidRPr="00B738A3">
              <w:rPr>
                <w:color w:val="000000"/>
                <w:sz w:val="20"/>
                <w:szCs w:val="20"/>
              </w:rPr>
              <w:t>[16.</w:t>
            </w:r>
            <w:r w:rsidR="0082658D">
              <w:rPr>
                <w:color w:val="000000"/>
                <w:sz w:val="20"/>
                <w:szCs w:val="20"/>
              </w:rPr>
              <w:t>9</w:t>
            </w:r>
            <w:r w:rsidRPr="00B738A3">
              <w:rPr>
                <w:color w:val="000000"/>
                <w:sz w:val="20"/>
                <w:szCs w:val="20"/>
              </w:rPr>
              <w:t>, 19.</w:t>
            </w:r>
            <w:r w:rsidR="0082658D">
              <w:rPr>
                <w:color w:val="000000"/>
                <w:sz w:val="20"/>
                <w:szCs w:val="20"/>
              </w:rPr>
              <w:t>8</w:t>
            </w:r>
            <w:r w:rsidRPr="00B738A3">
              <w:rPr>
                <w:color w:val="000000"/>
                <w:sz w:val="20"/>
                <w:szCs w:val="20"/>
              </w:rPr>
              <w:t>]</w:t>
            </w:r>
          </w:p>
        </w:tc>
      </w:tr>
      <w:tr w:rsidR="0090336D" w:rsidRPr="00FD5DF7" w14:paraId="432B55AD" w14:textId="77777777" w:rsidTr="00EC43C9">
        <w:trPr>
          <w:trHeight w:val="567"/>
          <w:jc w:val="center"/>
        </w:trPr>
        <w:tc>
          <w:tcPr>
            <w:tcW w:w="1885" w:type="dxa"/>
            <w:tcBorders>
              <w:top w:val="nil"/>
              <w:left w:val="single" w:sz="8" w:space="0" w:color="auto"/>
              <w:bottom w:val="single" w:sz="8" w:space="0" w:color="auto"/>
              <w:right w:val="single" w:sz="4" w:space="0" w:color="auto"/>
            </w:tcBorders>
            <w:shd w:val="clear" w:color="auto" w:fill="auto"/>
            <w:vAlign w:val="center"/>
            <w:hideMark/>
          </w:tcPr>
          <w:p w14:paraId="5F3179A3" w14:textId="77777777" w:rsidR="0090336D" w:rsidRPr="00FD5DF7" w:rsidRDefault="0090336D" w:rsidP="00FC3594">
            <w:pPr>
              <w:jc w:val="center"/>
              <w:rPr>
                <w:b/>
                <w:bCs/>
                <w:color w:val="000000"/>
              </w:rPr>
            </w:pPr>
            <w:r w:rsidRPr="00FD5DF7">
              <w:rPr>
                <w:b/>
                <w:bCs/>
                <w:color w:val="000000"/>
              </w:rPr>
              <w:t xml:space="preserve">Mean canopy height </w:t>
            </w:r>
            <w:r w:rsidRPr="00FD5DF7">
              <w:rPr>
                <w:color w:val="000000"/>
              </w:rPr>
              <w:t>(m)</w:t>
            </w:r>
          </w:p>
        </w:tc>
        <w:tc>
          <w:tcPr>
            <w:tcW w:w="1350" w:type="dxa"/>
            <w:tcBorders>
              <w:top w:val="nil"/>
              <w:left w:val="single" w:sz="4" w:space="0" w:color="auto"/>
              <w:bottom w:val="single" w:sz="8" w:space="0" w:color="auto"/>
              <w:right w:val="nil"/>
            </w:tcBorders>
            <w:shd w:val="clear" w:color="auto" w:fill="auto"/>
            <w:noWrap/>
            <w:vAlign w:val="center"/>
            <w:hideMark/>
          </w:tcPr>
          <w:p w14:paraId="0814536F" w14:textId="77777777" w:rsidR="0090336D" w:rsidRPr="00B738A3" w:rsidRDefault="0090336D" w:rsidP="00FC3594">
            <w:pPr>
              <w:jc w:val="center"/>
              <w:rPr>
                <w:color w:val="000000"/>
                <w:sz w:val="20"/>
                <w:szCs w:val="20"/>
              </w:rPr>
            </w:pPr>
            <w:r w:rsidRPr="00B738A3">
              <w:rPr>
                <w:color w:val="000000"/>
                <w:sz w:val="20"/>
                <w:szCs w:val="20"/>
              </w:rPr>
              <w:t>22.2</w:t>
            </w:r>
          </w:p>
        </w:tc>
        <w:tc>
          <w:tcPr>
            <w:tcW w:w="1350" w:type="dxa"/>
            <w:tcBorders>
              <w:top w:val="nil"/>
              <w:left w:val="nil"/>
              <w:bottom w:val="single" w:sz="8" w:space="0" w:color="auto"/>
              <w:right w:val="nil"/>
            </w:tcBorders>
            <w:shd w:val="clear" w:color="auto" w:fill="auto"/>
            <w:noWrap/>
            <w:vAlign w:val="center"/>
            <w:hideMark/>
          </w:tcPr>
          <w:p w14:paraId="0ED18E69" w14:textId="77777777" w:rsidR="0090336D" w:rsidRPr="00B738A3" w:rsidRDefault="0090336D" w:rsidP="00FC3594">
            <w:pPr>
              <w:jc w:val="center"/>
              <w:rPr>
                <w:color w:val="000000"/>
                <w:sz w:val="20"/>
                <w:szCs w:val="20"/>
              </w:rPr>
            </w:pPr>
            <w:r w:rsidRPr="00B738A3">
              <w:rPr>
                <w:color w:val="000000"/>
                <w:sz w:val="20"/>
                <w:szCs w:val="20"/>
              </w:rPr>
              <w:t>23.2</w:t>
            </w:r>
          </w:p>
        </w:tc>
        <w:tc>
          <w:tcPr>
            <w:tcW w:w="1260" w:type="dxa"/>
            <w:tcBorders>
              <w:top w:val="nil"/>
              <w:left w:val="nil"/>
              <w:bottom w:val="single" w:sz="8" w:space="0" w:color="auto"/>
              <w:right w:val="single" w:sz="4" w:space="0" w:color="auto"/>
            </w:tcBorders>
            <w:shd w:val="clear" w:color="auto" w:fill="auto"/>
            <w:noWrap/>
            <w:vAlign w:val="center"/>
            <w:hideMark/>
          </w:tcPr>
          <w:p w14:paraId="185117C1" w14:textId="6EB67CDB" w:rsidR="0090336D" w:rsidRPr="00B738A3" w:rsidRDefault="00A530C5" w:rsidP="00FC3594">
            <w:pPr>
              <w:jc w:val="center"/>
              <w:rPr>
                <w:color w:val="000000"/>
                <w:sz w:val="20"/>
                <w:szCs w:val="20"/>
              </w:rPr>
            </w:pPr>
            <w:r>
              <w:rPr>
                <w:color w:val="000000"/>
                <w:sz w:val="20"/>
                <w:szCs w:val="20"/>
              </w:rPr>
              <w:t>21</w:t>
            </w:r>
            <w:r w:rsidR="0090336D" w:rsidRPr="00B738A3">
              <w:rPr>
                <w:color w:val="000000"/>
                <w:sz w:val="20"/>
                <w:szCs w:val="20"/>
              </w:rPr>
              <w:t>.</w:t>
            </w:r>
            <w:r>
              <w:rPr>
                <w:color w:val="000000"/>
                <w:sz w:val="20"/>
                <w:szCs w:val="20"/>
              </w:rPr>
              <w:t>6</w:t>
            </w:r>
          </w:p>
        </w:tc>
        <w:tc>
          <w:tcPr>
            <w:tcW w:w="1260" w:type="dxa"/>
            <w:tcBorders>
              <w:top w:val="nil"/>
              <w:left w:val="nil"/>
              <w:bottom w:val="single" w:sz="8" w:space="0" w:color="auto"/>
              <w:right w:val="nil"/>
            </w:tcBorders>
            <w:shd w:val="clear" w:color="auto" w:fill="auto"/>
            <w:noWrap/>
            <w:vAlign w:val="center"/>
            <w:hideMark/>
          </w:tcPr>
          <w:p w14:paraId="7A091722" w14:textId="67308DD6" w:rsidR="0090336D" w:rsidRPr="00B738A3" w:rsidRDefault="0090336D" w:rsidP="00FC3594">
            <w:pPr>
              <w:jc w:val="center"/>
              <w:rPr>
                <w:color w:val="000000"/>
                <w:sz w:val="20"/>
                <w:szCs w:val="20"/>
              </w:rPr>
            </w:pPr>
            <w:r w:rsidRPr="00B738A3">
              <w:rPr>
                <w:color w:val="000000"/>
                <w:sz w:val="20"/>
                <w:szCs w:val="20"/>
              </w:rPr>
              <w:t>1</w:t>
            </w:r>
            <w:r w:rsidR="00A530C5">
              <w:rPr>
                <w:color w:val="000000"/>
                <w:sz w:val="20"/>
                <w:szCs w:val="20"/>
              </w:rPr>
              <w:t>8</w:t>
            </w:r>
            <w:r w:rsidRPr="00B738A3">
              <w:rPr>
                <w:color w:val="000000"/>
                <w:sz w:val="20"/>
                <w:szCs w:val="20"/>
              </w:rPr>
              <w:t>.</w:t>
            </w:r>
            <w:r w:rsidR="00A530C5">
              <w:rPr>
                <w:color w:val="000000"/>
                <w:sz w:val="20"/>
                <w:szCs w:val="20"/>
              </w:rPr>
              <w:t>4</w:t>
            </w:r>
          </w:p>
        </w:tc>
        <w:tc>
          <w:tcPr>
            <w:tcW w:w="1440" w:type="dxa"/>
            <w:tcBorders>
              <w:top w:val="nil"/>
              <w:left w:val="nil"/>
              <w:bottom w:val="single" w:sz="8" w:space="0" w:color="auto"/>
              <w:right w:val="nil"/>
            </w:tcBorders>
            <w:shd w:val="clear" w:color="auto" w:fill="auto"/>
            <w:noWrap/>
            <w:vAlign w:val="center"/>
            <w:hideMark/>
          </w:tcPr>
          <w:p w14:paraId="49C97341" w14:textId="3CBC4AA0" w:rsidR="0090336D" w:rsidRPr="00B738A3" w:rsidRDefault="00A530C5" w:rsidP="00FC3594">
            <w:pPr>
              <w:jc w:val="center"/>
              <w:rPr>
                <w:color w:val="000000"/>
                <w:sz w:val="20"/>
                <w:szCs w:val="20"/>
              </w:rPr>
            </w:pPr>
            <w:r>
              <w:rPr>
                <w:color w:val="000000"/>
                <w:sz w:val="20"/>
                <w:szCs w:val="20"/>
              </w:rPr>
              <w:t>19</w:t>
            </w:r>
            <w:r w:rsidR="0090336D" w:rsidRPr="00B738A3">
              <w:rPr>
                <w:color w:val="000000"/>
                <w:sz w:val="20"/>
                <w:szCs w:val="20"/>
              </w:rPr>
              <w:t>.</w:t>
            </w:r>
            <w:r>
              <w:rPr>
                <w:color w:val="000000"/>
                <w:sz w:val="20"/>
                <w:szCs w:val="20"/>
              </w:rPr>
              <w:t>0</w:t>
            </w:r>
          </w:p>
        </w:tc>
        <w:tc>
          <w:tcPr>
            <w:tcW w:w="1285" w:type="dxa"/>
            <w:gridSpan w:val="2"/>
            <w:tcBorders>
              <w:top w:val="nil"/>
              <w:left w:val="nil"/>
              <w:bottom w:val="single" w:sz="8" w:space="0" w:color="auto"/>
              <w:right w:val="single" w:sz="8" w:space="0" w:color="auto"/>
            </w:tcBorders>
            <w:shd w:val="clear" w:color="auto" w:fill="auto"/>
            <w:noWrap/>
            <w:vAlign w:val="center"/>
            <w:hideMark/>
          </w:tcPr>
          <w:p w14:paraId="505760D9" w14:textId="77777777" w:rsidR="0090336D" w:rsidRPr="00B738A3" w:rsidRDefault="0090336D" w:rsidP="00FC3594">
            <w:pPr>
              <w:jc w:val="center"/>
              <w:rPr>
                <w:color w:val="000000"/>
                <w:sz w:val="20"/>
                <w:szCs w:val="20"/>
              </w:rPr>
            </w:pPr>
            <w:r w:rsidRPr="00B738A3">
              <w:rPr>
                <w:color w:val="000000"/>
                <w:sz w:val="20"/>
                <w:szCs w:val="20"/>
              </w:rPr>
              <w:t>18.1</w:t>
            </w:r>
          </w:p>
        </w:tc>
      </w:tr>
    </w:tbl>
    <w:p w14:paraId="706ADC7F" w14:textId="77777777" w:rsidR="00B738A3" w:rsidRDefault="00B738A3">
      <w:pPr>
        <w:spacing w:after="200"/>
        <w:rPr>
          <w:b/>
          <w:bCs/>
        </w:rPr>
      </w:pPr>
      <w:r>
        <w:rPr>
          <w:b/>
          <w:bCs/>
        </w:rPr>
        <w:br w:type="page"/>
      </w:r>
    </w:p>
    <w:p w14:paraId="521A5BB8" w14:textId="1CFDEA3D" w:rsidR="000D6E1A" w:rsidRPr="00FD5DF7" w:rsidRDefault="00F85628" w:rsidP="00FC3594">
      <w:pPr>
        <w:spacing w:line="480" w:lineRule="auto"/>
        <w:rPr>
          <w:b/>
          <w:bCs/>
          <w:kern w:val="32"/>
        </w:rPr>
      </w:pPr>
      <w:r>
        <w:rPr>
          <w:b/>
          <w:bCs/>
        </w:rPr>
        <w:lastRenderedPageBreak/>
        <w:t>Supplementary</w:t>
      </w:r>
      <w:r w:rsidR="000D6E1A" w:rsidRPr="00FD5DF7">
        <w:rPr>
          <w:b/>
          <w:bCs/>
        </w:rPr>
        <w:t xml:space="preserve"> Table 2. Characteristics of lidar data from La Selva Biological Station, Costa Rica, used in this study</w:t>
      </w:r>
      <w:r w:rsidR="000D6E1A" w:rsidRPr="00FD5DF7">
        <w:t>. Lidar data from 2006 were used to create a digital terrain model, and lidar data from 2009 and 2019 were used to compare aboveground biomass density (AGBD) before and after a blowdown event.</w:t>
      </w:r>
    </w:p>
    <w:p w14:paraId="583D7876" w14:textId="77777777" w:rsidR="000D6E1A" w:rsidRPr="00FD5DF7" w:rsidRDefault="000D6E1A" w:rsidP="00FC3594">
      <w:pPr>
        <w:pStyle w:val="SMcaption"/>
        <w:spacing w:line="480" w:lineRule="auto"/>
        <w:rPr>
          <w:szCs w:val="24"/>
        </w:rPr>
      </w:pPr>
    </w:p>
    <w:tbl>
      <w:tblPr>
        <w:tblW w:w="9175" w:type="dxa"/>
        <w:tblLook w:val="04A0" w:firstRow="1" w:lastRow="0" w:firstColumn="1" w:lastColumn="0" w:noHBand="0" w:noVBand="1"/>
      </w:tblPr>
      <w:tblGrid>
        <w:gridCol w:w="2065"/>
        <w:gridCol w:w="1890"/>
        <w:gridCol w:w="2700"/>
        <w:gridCol w:w="2520"/>
      </w:tblGrid>
      <w:tr w:rsidR="000D6E1A" w:rsidRPr="00FD5DF7" w14:paraId="0BE0BD0B" w14:textId="77777777" w:rsidTr="000D6E1A">
        <w:trPr>
          <w:trHeight w:val="315"/>
        </w:trPr>
        <w:tc>
          <w:tcPr>
            <w:tcW w:w="2065" w:type="dxa"/>
            <w:tcBorders>
              <w:top w:val="single" w:sz="4" w:space="0" w:color="auto"/>
              <w:left w:val="single" w:sz="4" w:space="0" w:color="auto"/>
              <w:bottom w:val="single" w:sz="4" w:space="0" w:color="auto"/>
              <w:right w:val="nil"/>
            </w:tcBorders>
            <w:shd w:val="clear" w:color="auto" w:fill="auto"/>
            <w:noWrap/>
            <w:vAlign w:val="bottom"/>
            <w:hideMark/>
          </w:tcPr>
          <w:p w14:paraId="49431FCF" w14:textId="77777777" w:rsidR="000D6E1A" w:rsidRPr="00FD5DF7" w:rsidRDefault="000D6E1A" w:rsidP="00FC3594">
            <w:pPr>
              <w:spacing w:line="480" w:lineRule="auto"/>
              <w:rPr>
                <w:b/>
                <w:bCs/>
                <w:color w:val="000000"/>
              </w:rPr>
            </w:pPr>
            <w:r w:rsidRPr="00FD5DF7">
              <w:rPr>
                <w:b/>
                <w:bCs/>
                <w:color w:val="000000"/>
              </w:rPr>
              <w:t>Collection date</w:t>
            </w:r>
          </w:p>
        </w:tc>
        <w:tc>
          <w:tcPr>
            <w:tcW w:w="1890" w:type="dxa"/>
            <w:tcBorders>
              <w:top w:val="single" w:sz="4" w:space="0" w:color="auto"/>
              <w:left w:val="nil"/>
              <w:bottom w:val="single" w:sz="4" w:space="0" w:color="auto"/>
              <w:right w:val="nil"/>
            </w:tcBorders>
            <w:shd w:val="clear" w:color="auto" w:fill="auto"/>
            <w:noWrap/>
            <w:vAlign w:val="bottom"/>
            <w:hideMark/>
          </w:tcPr>
          <w:p w14:paraId="2F2812FB" w14:textId="77777777" w:rsidR="000D6E1A" w:rsidRPr="00FD5DF7" w:rsidRDefault="000D6E1A" w:rsidP="00FC3594">
            <w:pPr>
              <w:spacing w:line="480" w:lineRule="auto"/>
              <w:rPr>
                <w:b/>
                <w:bCs/>
                <w:color w:val="000000"/>
              </w:rPr>
            </w:pPr>
            <w:r w:rsidRPr="00FD5DF7">
              <w:rPr>
                <w:b/>
                <w:bCs/>
                <w:color w:val="000000"/>
              </w:rPr>
              <w:t>Sensor</w:t>
            </w:r>
          </w:p>
        </w:tc>
        <w:tc>
          <w:tcPr>
            <w:tcW w:w="2700" w:type="dxa"/>
            <w:tcBorders>
              <w:top w:val="single" w:sz="4" w:space="0" w:color="auto"/>
              <w:left w:val="nil"/>
              <w:bottom w:val="single" w:sz="4" w:space="0" w:color="auto"/>
              <w:right w:val="nil"/>
            </w:tcBorders>
          </w:tcPr>
          <w:p w14:paraId="2F6CE54D" w14:textId="77777777" w:rsidR="000D6E1A" w:rsidRPr="00FD5DF7" w:rsidRDefault="000D6E1A" w:rsidP="00FC3594">
            <w:pPr>
              <w:spacing w:line="480" w:lineRule="auto"/>
              <w:rPr>
                <w:b/>
                <w:bCs/>
                <w:color w:val="000000"/>
              </w:rPr>
            </w:pPr>
            <w:r w:rsidRPr="00FD5DF7">
              <w:rPr>
                <w:b/>
                <w:bCs/>
                <w:color w:val="000000"/>
              </w:rPr>
              <w:t>Height adjustment (m)</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14:paraId="7FA584B3" w14:textId="77777777" w:rsidR="000D6E1A" w:rsidRPr="00FD5DF7" w:rsidRDefault="000D6E1A" w:rsidP="00FC3594">
            <w:pPr>
              <w:spacing w:line="480" w:lineRule="auto"/>
              <w:rPr>
                <w:b/>
                <w:bCs/>
                <w:color w:val="000000"/>
              </w:rPr>
            </w:pPr>
            <w:r w:rsidRPr="00FD5DF7">
              <w:rPr>
                <w:b/>
                <w:bCs/>
                <w:color w:val="000000"/>
              </w:rPr>
              <w:t>Reference</w:t>
            </w:r>
          </w:p>
        </w:tc>
      </w:tr>
      <w:tr w:rsidR="000D6E1A" w:rsidRPr="00FD5DF7" w14:paraId="642B06B8" w14:textId="77777777" w:rsidTr="000D6E1A">
        <w:trPr>
          <w:trHeight w:val="315"/>
        </w:trPr>
        <w:tc>
          <w:tcPr>
            <w:tcW w:w="2065" w:type="dxa"/>
            <w:tcBorders>
              <w:top w:val="nil"/>
              <w:left w:val="single" w:sz="4" w:space="0" w:color="auto"/>
              <w:bottom w:val="nil"/>
              <w:right w:val="nil"/>
            </w:tcBorders>
            <w:shd w:val="clear" w:color="auto" w:fill="auto"/>
            <w:noWrap/>
            <w:vAlign w:val="bottom"/>
            <w:hideMark/>
          </w:tcPr>
          <w:p w14:paraId="47C105C5" w14:textId="77777777" w:rsidR="000D6E1A" w:rsidRPr="00FD5DF7" w:rsidRDefault="000D6E1A" w:rsidP="00FC3594">
            <w:pPr>
              <w:spacing w:line="480" w:lineRule="auto"/>
              <w:rPr>
                <w:color w:val="000000"/>
              </w:rPr>
            </w:pPr>
            <w:r w:rsidRPr="00FD5DF7">
              <w:rPr>
                <w:color w:val="000000"/>
              </w:rPr>
              <w:t>Mar., 2006</w:t>
            </w:r>
          </w:p>
        </w:tc>
        <w:tc>
          <w:tcPr>
            <w:tcW w:w="1890" w:type="dxa"/>
            <w:tcBorders>
              <w:top w:val="nil"/>
              <w:left w:val="nil"/>
              <w:bottom w:val="nil"/>
              <w:right w:val="nil"/>
            </w:tcBorders>
            <w:shd w:val="clear" w:color="auto" w:fill="auto"/>
            <w:noWrap/>
            <w:vAlign w:val="bottom"/>
            <w:hideMark/>
          </w:tcPr>
          <w:p w14:paraId="530727F0" w14:textId="77777777" w:rsidR="000D6E1A" w:rsidRPr="00FD5DF7" w:rsidRDefault="000D6E1A" w:rsidP="00FC3594">
            <w:pPr>
              <w:spacing w:line="480" w:lineRule="auto"/>
              <w:rPr>
                <w:color w:val="000000"/>
              </w:rPr>
            </w:pPr>
            <w:r w:rsidRPr="00FD5DF7">
              <w:rPr>
                <w:color w:val="000000"/>
              </w:rPr>
              <w:t>Leica ALS50</w:t>
            </w:r>
          </w:p>
        </w:tc>
        <w:tc>
          <w:tcPr>
            <w:tcW w:w="2700" w:type="dxa"/>
            <w:tcBorders>
              <w:top w:val="nil"/>
              <w:left w:val="nil"/>
              <w:bottom w:val="nil"/>
              <w:right w:val="nil"/>
            </w:tcBorders>
          </w:tcPr>
          <w:p w14:paraId="54940611" w14:textId="77777777" w:rsidR="000D6E1A" w:rsidRPr="00FD5DF7" w:rsidRDefault="000D6E1A" w:rsidP="00FC3594">
            <w:pPr>
              <w:spacing w:line="480" w:lineRule="auto"/>
              <w:jc w:val="center"/>
              <w:rPr>
                <w:color w:val="000000"/>
              </w:rPr>
            </w:pPr>
            <w:r w:rsidRPr="00FD5DF7">
              <w:rPr>
                <w:color w:val="000000"/>
              </w:rPr>
              <w:t>-  0.5</w:t>
            </w:r>
          </w:p>
        </w:tc>
        <w:tc>
          <w:tcPr>
            <w:tcW w:w="2520" w:type="dxa"/>
            <w:tcBorders>
              <w:top w:val="nil"/>
              <w:left w:val="nil"/>
              <w:bottom w:val="nil"/>
              <w:right w:val="single" w:sz="4" w:space="0" w:color="auto"/>
            </w:tcBorders>
            <w:shd w:val="clear" w:color="auto" w:fill="auto"/>
            <w:noWrap/>
            <w:vAlign w:val="bottom"/>
            <w:hideMark/>
          </w:tcPr>
          <w:p w14:paraId="4DB998E2" w14:textId="77777777" w:rsidR="000D6E1A" w:rsidRPr="00FD5DF7" w:rsidRDefault="000D6E1A" w:rsidP="00FC3594">
            <w:pPr>
              <w:spacing w:line="480" w:lineRule="auto"/>
              <w:jc w:val="center"/>
              <w:rPr>
                <w:color w:val="000000"/>
              </w:rPr>
            </w:pPr>
            <w:r w:rsidRPr="00FD5DF7">
              <w:rPr>
                <w:color w:val="000000"/>
              </w:rPr>
              <w:fldChar w:fldCharType="begin" w:fldLock="1"/>
            </w:r>
            <w:r w:rsidRPr="00FD5DF7">
              <w:rPr>
                <w:color w:val="000000"/>
              </w:rPr>
              <w:instrText>ADDIN CSL_CITATION {"citationItems":[{"id":"ITEM-1","itemData":{"DOI":"10.1111/j.1461-0248.2008.01274.x","ISBN":"1461-023X","ISSN":"1461023X","PMID":"19143827","abstract":"A fundamental property of all forest landscapes is the size frequency distribution of canopy gap disturbances. But characterizing forest structure and changes at large spatial scales has been challenging and most of our understanding is from permanent inventory plots. Here we report the first application of light detection and ranging remote sensing to measurements of canopy disturbance and regeneration in an old-growth tropical rain forest landscape. Pervasive local height changes figure prominently in the dynamics of this forest. Although most canopy gaps recruited to higher positions during 8.5 years, size frequency distributions were similar at two points in time and well-predicted by power-laws. At larger spatial scales (hundreds of ha), height increases and decreases occurred with similar frequency and changes to canopy height that were analysed using a height transition matrix suggest that the distribution of canopy height at the beginning of the study was close to the projected steady-state equilibrium under the recent disturbance regime. Taken together, these findings show how widespread local height changes can produce short-term stability in a tropical rain forest landscape.","author":[{"dropping-particle":"","family":"Kellner","given":"James R.","non-dropping-particle":"","parse-names":false,"suffix":""},{"dropping-particle":"","family":"Clark","given":"David B.","non-dropping-particle":"","parse-names":false,"suffix":""},{"dropping-particle":"","family":"Hubbell","given":"Stephen P.","non-dropping-particle":"","parse-names":false,"suffix":""}],"container-title":"Ecology Letters","id":"ITEM-1","issue":"2","issued":{"date-parts":[["2009"]]},"page":"155-164","title":"Pervasive canopy dynamics produce short-term stability in a tropical rain forest landscape","type":"article-journal","volume":"12"},"uris":["http://www.mendeley.com/documents/?uuid=dc8ed0d9-fb77-481e-a4de-b8d46da5116f"]}],"mendeley":{"formattedCitation":"(1)","plainTextFormattedCitation":"(1)","previouslyFormattedCitation":"(Kellner &lt;i&gt;et al.&lt;/i&gt; 2009)"},"properties":{"noteIndex":0},"schema":"https://github.com/citation-style-language/schema/raw/master/csl-citation.json"}</w:instrText>
            </w:r>
            <w:r w:rsidRPr="00FD5DF7">
              <w:rPr>
                <w:color w:val="000000"/>
              </w:rPr>
              <w:fldChar w:fldCharType="separate"/>
            </w:r>
            <w:r w:rsidRPr="00FD5DF7">
              <w:rPr>
                <w:noProof/>
                <w:color w:val="000000"/>
              </w:rPr>
              <w:t>(1)</w:t>
            </w:r>
            <w:r w:rsidRPr="00FD5DF7">
              <w:rPr>
                <w:color w:val="000000"/>
              </w:rPr>
              <w:fldChar w:fldCharType="end"/>
            </w:r>
          </w:p>
        </w:tc>
      </w:tr>
      <w:tr w:rsidR="000D6E1A" w:rsidRPr="00FD5DF7" w14:paraId="618E86AD" w14:textId="77777777" w:rsidTr="000D6E1A">
        <w:trPr>
          <w:trHeight w:val="315"/>
        </w:trPr>
        <w:tc>
          <w:tcPr>
            <w:tcW w:w="2065" w:type="dxa"/>
            <w:tcBorders>
              <w:top w:val="nil"/>
              <w:left w:val="single" w:sz="4" w:space="0" w:color="auto"/>
              <w:bottom w:val="nil"/>
              <w:right w:val="nil"/>
            </w:tcBorders>
            <w:shd w:val="clear" w:color="auto" w:fill="auto"/>
            <w:noWrap/>
            <w:vAlign w:val="bottom"/>
            <w:hideMark/>
          </w:tcPr>
          <w:p w14:paraId="61AD9AE8" w14:textId="77777777" w:rsidR="000D6E1A" w:rsidRPr="00FD5DF7" w:rsidRDefault="000D6E1A" w:rsidP="00FC3594">
            <w:pPr>
              <w:spacing w:line="480" w:lineRule="auto"/>
              <w:rPr>
                <w:color w:val="000000"/>
              </w:rPr>
            </w:pPr>
            <w:r w:rsidRPr="00FD5DF7">
              <w:rPr>
                <w:color w:val="000000"/>
              </w:rPr>
              <w:t>Sep.-Oct., 2009</w:t>
            </w:r>
          </w:p>
        </w:tc>
        <w:tc>
          <w:tcPr>
            <w:tcW w:w="1890" w:type="dxa"/>
            <w:tcBorders>
              <w:top w:val="nil"/>
              <w:left w:val="nil"/>
              <w:bottom w:val="nil"/>
              <w:right w:val="nil"/>
            </w:tcBorders>
            <w:shd w:val="clear" w:color="auto" w:fill="auto"/>
            <w:noWrap/>
            <w:vAlign w:val="bottom"/>
            <w:hideMark/>
          </w:tcPr>
          <w:p w14:paraId="5C1C9CDB" w14:textId="77777777" w:rsidR="000D6E1A" w:rsidRPr="00FD5DF7" w:rsidRDefault="000D6E1A" w:rsidP="00FC3594">
            <w:pPr>
              <w:spacing w:line="480" w:lineRule="auto"/>
              <w:rPr>
                <w:color w:val="000000"/>
              </w:rPr>
            </w:pPr>
            <w:proofErr w:type="spellStart"/>
            <w:r w:rsidRPr="00FD5DF7">
              <w:rPr>
                <w:color w:val="000000"/>
              </w:rPr>
              <w:t>Optech</w:t>
            </w:r>
            <w:proofErr w:type="spellEnd"/>
            <w:r w:rsidRPr="00FD5DF7">
              <w:rPr>
                <w:color w:val="000000"/>
              </w:rPr>
              <w:t xml:space="preserve"> 3100 EA</w:t>
            </w:r>
          </w:p>
        </w:tc>
        <w:tc>
          <w:tcPr>
            <w:tcW w:w="2700" w:type="dxa"/>
            <w:tcBorders>
              <w:top w:val="nil"/>
              <w:left w:val="nil"/>
              <w:bottom w:val="nil"/>
              <w:right w:val="nil"/>
            </w:tcBorders>
          </w:tcPr>
          <w:p w14:paraId="50BA70F3" w14:textId="77777777" w:rsidR="000D6E1A" w:rsidRPr="00FD5DF7" w:rsidRDefault="000D6E1A" w:rsidP="00FC3594">
            <w:pPr>
              <w:spacing w:line="480" w:lineRule="auto"/>
              <w:jc w:val="center"/>
              <w:rPr>
                <w:color w:val="000000"/>
              </w:rPr>
            </w:pPr>
            <w:r w:rsidRPr="00FD5DF7">
              <w:rPr>
                <w:color w:val="000000"/>
              </w:rPr>
              <w:t>+ 0.7</w:t>
            </w:r>
          </w:p>
        </w:tc>
        <w:tc>
          <w:tcPr>
            <w:tcW w:w="2520" w:type="dxa"/>
            <w:tcBorders>
              <w:top w:val="nil"/>
              <w:left w:val="nil"/>
              <w:bottom w:val="nil"/>
              <w:right w:val="single" w:sz="4" w:space="0" w:color="auto"/>
            </w:tcBorders>
            <w:shd w:val="clear" w:color="auto" w:fill="auto"/>
            <w:noWrap/>
            <w:vAlign w:val="bottom"/>
            <w:hideMark/>
          </w:tcPr>
          <w:p w14:paraId="1B8BE9A1" w14:textId="77777777" w:rsidR="000D6E1A" w:rsidRPr="00FD5DF7" w:rsidRDefault="000D6E1A" w:rsidP="00FC3594">
            <w:pPr>
              <w:spacing w:line="480" w:lineRule="auto"/>
              <w:jc w:val="center"/>
              <w:rPr>
                <w:color w:val="000000"/>
              </w:rPr>
            </w:pPr>
            <w:r w:rsidRPr="00FD5DF7">
              <w:rPr>
                <w:color w:val="000000"/>
              </w:rPr>
              <w:fldChar w:fldCharType="begin" w:fldLock="1"/>
            </w:r>
            <w:r w:rsidRPr="00FD5DF7">
              <w:rPr>
                <w:color w:val="000000"/>
              </w:rPr>
              <w:instrText>ADDIN CSL_CITATION {"citationItems":[{"id":"ITEM-1","itemData":{"abstract":"This paper analyzes the spatial and temporal dynamics of forest structure in tropical wet forest at the La Selva Biological Station, Costa Rica. Three small-footprint lidar datasets from 1997, 2006, and 2009 are used over old-growth and secondary forests at 1-meter spatial resolution. The results quantify the spatial variability, the vertical forest structure profiles and the temporal variability, demonstrating the determination of the forest succession stages from remote sensing data.","author":[{"dropping-particle":"","family":"Neumann","given":"M","non-dropping-particle":"","parse-names":false,"suffix":""},{"dropping-particle":"","family":"Saatchi","given":"S S","non-dropping-particle":"","parse-names":false,"suffix":""},{"dropping-particle":"","family":"Clark","given":"D B","non-dropping-particle":"","parse-names":false,"suffix":""}],"container-title":"Geoscience and Remote Sensing Symposium (IGARSS)","id":"ITEM-1","issued":{"date-parts":[["2012"]]},"page":"1664-1667","title":"Quantifying spatial and temporal dynamics of tropical forest structure using high resolution airborne lidar","type":"paper-conference"},"uris":["http://www.mendeley.com/documents/?uuid=0618fd3a-edeb-4f7f-ace0-cb11df810ce0"]}],"mendeley":{"formattedCitation":"(2)","plainTextFormattedCitation":"(2)","previouslyFormattedCitation":"(Neumann &lt;i&gt;et al.&lt;/i&gt; 2012)"},"properties":{"noteIndex":0},"schema":"https://github.com/citation-style-language/schema/raw/master/csl-citation.json"}</w:instrText>
            </w:r>
            <w:r w:rsidRPr="00FD5DF7">
              <w:rPr>
                <w:color w:val="000000"/>
              </w:rPr>
              <w:fldChar w:fldCharType="separate"/>
            </w:r>
            <w:r w:rsidRPr="00FD5DF7">
              <w:rPr>
                <w:noProof/>
                <w:color w:val="000000"/>
              </w:rPr>
              <w:t>(2)</w:t>
            </w:r>
            <w:r w:rsidRPr="00FD5DF7">
              <w:rPr>
                <w:color w:val="000000"/>
              </w:rPr>
              <w:fldChar w:fldCharType="end"/>
            </w:r>
          </w:p>
        </w:tc>
      </w:tr>
      <w:tr w:rsidR="000D6E1A" w:rsidRPr="00FD5DF7" w14:paraId="7F13298C" w14:textId="77777777" w:rsidTr="000D6E1A">
        <w:trPr>
          <w:trHeight w:val="315"/>
        </w:trPr>
        <w:tc>
          <w:tcPr>
            <w:tcW w:w="2065" w:type="dxa"/>
            <w:tcBorders>
              <w:top w:val="nil"/>
              <w:left w:val="single" w:sz="4" w:space="0" w:color="auto"/>
              <w:bottom w:val="single" w:sz="4" w:space="0" w:color="auto"/>
              <w:right w:val="nil"/>
            </w:tcBorders>
            <w:shd w:val="clear" w:color="auto" w:fill="auto"/>
            <w:noWrap/>
            <w:vAlign w:val="bottom"/>
            <w:hideMark/>
          </w:tcPr>
          <w:p w14:paraId="33D175BD" w14:textId="77777777" w:rsidR="000D6E1A" w:rsidRPr="00FD5DF7" w:rsidRDefault="000D6E1A" w:rsidP="00FC3594">
            <w:pPr>
              <w:spacing w:line="480" w:lineRule="auto"/>
              <w:rPr>
                <w:color w:val="000000"/>
              </w:rPr>
            </w:pPr>
            <w:r w:rsidRPr="00FD5DF7">
              <w:rPr>
                <w:color w:val="000000"/>
              </w:rPr>
              <w:t>May, 2019</w:t>
            </w:r>
          </w:p>
        </w:tc>
        <w:tc>
          <w:tcPr>
            <w:tcW w:w="1890" w:type="dxa"/>
            <w:tcBorders>
              <w:top w:val="nil"/>
              <w:left w:val="nil"/>
              <w:bottom w:val="single" w:sz="4" w:space="0" w:color="auto"/>
              <w:right w:val="nil"/>
            </w:tcBorders>
            <w:shd w:val="clear" w:color="auto" w:fill="auto"/>
            <w:noWrap/>
            <w:vAlign w:val="bottom"/>
            <w:hideMark/>
          </w:tcPr>
          <w:p w14:paraId="059E93CD" w14:textId="77777777" w:rsidR="000D6E1A" w:rsidRPr="00FD5DF7" w:rsidRDefault="000D6E1A" w:rsidP="00FC3594">
            <w:pPr>
              <w:spacing w:line="480" w:lineRule="auto"/>
              <w:rPr>
                <w:color w:val="000000"/>
              </w:rPr>
            </w:pPr>
            <w:proofErr w:type="spellStart"/>
            <w:r w:rsidRPr="00FD5DF7">
              <w:rPr>
                <w:color w:val="000000"/>
              </w:rPr>
              <w:t>Riegl</w:t>
            </w:r>
            <w:proofErr w:type="spellEnd"/>
            <w:r w:rsidRPr="00FD5DF7">
              <w:rPr>
                <w:color w:val="000000"/>
              </w:rPr>
              <w:t xml:space="preserve"> VUX-1</w:t>
            </w:r>
          </w:p>
        </w:tc>
        <w:tc>
          <w:tcPr>
            <w:tcW w:w="2700" w:type="dxa"/>
            <w:tcBorders>
              <w:top w:val="nil"/>
              <w:left w:val="nil"/>
              <w:bottom w:val="single" w:sz="4" w:space="0" w:color="auto"/>
              <w:right w:val="nil"/>
            </w:tcBorders>
          </w:tcPr>
          <w:p w14:paraId="2F98E588" w14:textId="77777777" w:rsidR="000D6E1A" w:rsidRPr="00FD5DF7" w:rsidRDefault="000D6E1A" w:rsidP="00FC3594">
            <w:pPr>
              <w:spacing w:line="480" w:lineRule="auto"/>
              <w:jc w:val="center"/>
              <w:rPr>
                <w:color w:val="000000"/>
              </w:rPr>
            </w:pPr>
            <w:r w:rsidRPr="00FD5DF7">
              <w:rPr>
                <w:color w:val="000000"/>
              </w:rPr>
              <w:t>+ 0.0</w:t>
            </w:r>
          </w:p>
        </w:tc>
        <w:tc>
          <w:tcPr>
            <w:tcW w:w="2520" w:type="dxa"/>
            <w:tcBorders>
              <w:top w:val="nil"/>
              <w:left w:val="nil"/>
              <w:bottom w:val="single" w:sz="4" w:space="0" w:color="auto"/>
              <w:right w:val="single" w:sz="4" w:space="0" w:color="auto"/>
            </w:tcBorders>
            <w:shd w:val="clear" w:color="auto" w:fill="auto"/>
            <w:noWrap/>
            <w:vAlign w:val="bottom"/>
            <w:hideMark/>
          </w:tcPr>
          <w:p w14:paraId="17AA65E1" w14:textId="77777777" w:rsidR="000D6E1A" w:rsidRPr="00FD5DF7" w:rsidRDefault="000D6E1A" w:rsidP="00FC3594">
            <w:pPr>
              <w:spacing w:line="480" w:lineRule="auto"/>
              <w:jc w:val="center"/>
              <w:rPr>
                <w:color w:val="000000"/>
              </w:rPr>
            </w:pPr>
            <w:r w:rsidRPr="00FD5DF7">
              <w:rPr>
                <w:color w:val="000000"/>
              </w:rPr>
              <w:fldChar w:fldCharType="begin" w:fldLock="1"/>
            </w:r>
            <w:r w:rsidRPr="00FD5DF7">
              <w:rPr>
                <w:color w:val="000000"/>
              </w:rPr>
              <w:instrText>ADDIN CSL_CITATION {"citationItems":[{"id":"ITEM-1","itemData":{"author":[{"dropping-particle":"","family":"Kellner","given":"James R.","non-dropping-particle":"","parse-names":false,"suffix":""},{"dropping-particle":"","family":"Armston","given":"John D.","non-dropping-particle":"","parse-names":false,"suffix":""},{"dropping-particle":"","family":"Birrer","given":"Markus","non-dropping-particle":"","parse-names":false,"suffix":""},{"dropping-particle":"","family":"Cushman","given":"K. C.","non-dropping-particle":"","parse-names":false,"suffix":""},{"dropping-particle":"","family":"Duncanson","given":"Laura I.","non-dropping-particle":"","parse-names":false,"suffix":""},{"dropping-particle":"","family":"Eck","given":"Christoph","non-dropping-particle":"","parse-names":false,"suffix":""},{"dropping-particle":"","family":"Falleger","given":"Christoph","non-dropping-particle":"","parse-names":false,"suffix":""},{"dropping-particle":"","family":"Imbach","given":"Benedikt","non-dropping-particle":"","parse-names":false,"suffix":""},{"dropping-particle":"","family":"Kral","given":"Kamil","non-dropping-particle":"","parse-names":false,"suffix":""},{"dropping-particle":"","family":"Krucek","given":"Martin","non-dropping-particle":"","parse-names":false,"suffix":""},{"dropping-particle":"","family":"Trochta","given":"Jan","non-dropping-particle":"","parse-names":false,"suffix":""},{"dropping-particle":"","family":"Vrska","given":"Tomás","non-dropping-particle":"","parse-names":false,"suffix":""},{"dropping-particle":"","family":"Zgraggen","given":"Carlo","non-dropping-particle":"","parse-names":false,"suffix":""}],"container-title":"Surveys in Geophysics","id":"ITEM-1","issued":{"date-parts":[["2019"]]},"page":"1-19","title":"New opportunities for forest remote sensing through ultra-high-density drone lidar","type":"article-journal"},"uris":["http://www.mendeley.com/documents/?uuid=194c28f3-d5b4-4021-a100-6055faf35be9"]}],"mendeley":{"formattedCitation":"(3)","plainTextFormattedCitation":"(3)","previouslyFormattedCitation":"(Kellner &lt;i&gt;et al.&lt;/i&gt; 2019)"},"properties":{"noteIndex":0},"schema":"https://github.com/citation-style-language/schema/raw/master/csl-citation.json"}</w:instrText>
            </w:r>
            <w:r w:rsidRPr="00FD5DF7">
              <w:rPr>
                <w:color w:val="000000"/>
              </w:rPr>
              <w:fldChar w:fldCharType="separate"/>
            </w:r>
            <w:r w:rsidRPr="00FD5DF7">
              <w:rPr>
                <w:noProof/>
                <w:color w:val="000000"/>
              </w:rPr>
              <w:t>(3)</w:t>
            </w:r>
            <w:r w:rsidRPr="00FD5DF7">
              <w:rPr>
                <w:color w:val="000000"/>
              </w:rPr>
              <w:fldChar w:fldCharType="end"/>
            </w:r>
          </w:p>
        </w:tc>
      </w:tr>
    </w:tbl>
    <w:p w14:paraId="149EC0C6" w14:textId="2296ED9F" w:rsidR="000D6E1A" w:rsidRPr="00FD5DF7" w:rsidRDefault="000D6E1A" w:rsidP="00FC3594">
      <w:pPr>
        <w:spacing w:line="480" w:lineRule="auto"/>
        <w:rPr>
          <w:b/>
        </w:rPr>
      </w:pPr>
      <w:r w:rsidRPr="00FD5DF7">
        <w:rPr>
          <w:b/>
        </w:rPr>
        <w:br w:type="page"/>
      </w:r>
    </w:p>
    <w:p w14:paraId="7965AE92" w14:textId="77777777" w:rsidR="00320B42" w:rsidRPr="00FD5DF7" w:rsidRDefault="00320B42" w:rsidP="00FC3594">
      <w:pPr>
        <w:keepNext/>
        <w:pBdr>
          <w:top w:val="nil"/>
          <w:left w:val="nil"/>
          <w:bottom w:val="nil"/>
          <w:right w:val="nil"/>
          <w:between w:val="nil"/>
        </w:pBdr>
        <w:spacing w:before="240" w:after="60" w:line="480" w:lineRule="auto"/>
        <w:contextualSpacing/>
        <w:rPr>
          <w:b/>
          <w:color w:val="000000"/>
        </w:rPr>
      </w:pPr>
      <w:r w:rsidRPr="00FD5DF7">
        <w:rPr>
          <w:b/>
          <w:noProof/>
          <w:color w:val="000000"/>
        </w:rPr>
        <w:lastRenderedPageBreak/>
        <w:drawing>
          <wp:inline distT="0" distB="0" distL="0" distR="0" wp14:anchorId="5796214D" wp14:editId="358878B7">
            <wp:extent cx="5486400" cy="2743200"/>
            <wp:effectExtent l="0" t="0" r="0" b="0"/>
            <wp:docPr id="10" name="Picture 1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inline>
        </w:drawing>
      </w:r>
    </w:p>
    <w:p w14:paraId="3A2E7844" w14:textId="7F2E531B" w:rsidR="00996BF7" w:rsidRDefault="00F85628" w:rsidP="00BE4E07">
      <w:pPr>
        <w:widowControl w:val="0"/>
        <w:autoSpaceDE w:val="0"/>
        <w:autoSpaceDN w:val="0"/>
        <w:adjustRightInd w:val="0"/>
        <w:spacing w:line="480" w:lineRule="auto"/>
      </w:pPr>
      <w:r>
        <w:rPr>
          <w:b/>
          <w:color w:val="000000"/>
        </w:rPr>
        <w:t>Supplementary</w:t>
      </w:r>
      <w:r w:rsidR="00320B42" w:rsidRPr="00FD5DF7">
        <w:rPr>
          <w:b/>
          <w:color w:val="000000"/>
        </w:rPr>
        <w:t xml:space="preserve"> Figure 1</w:t>
      </w:r>
      <w:r w:rsidR="00320B42" w:rsidRPr="00FD5DF7">
        <w:rPr>
          <w:bCs/>
          <w:color w:val="000000"/>
        </w:rPr>
        <w:t>.</w:t>
      </w:r>
      <w:r w:rsidR="00320B42" w:rsidRPr="00FD5DF7">
        <w:rPr>
          <w:b/>
          <w:color w:val="000000"/>
        </w:rPr>
        <w:t xml:space="preserve"> </w:t>
      </w:r>
      <w:r w:rsidR="00320B42" w:rsidRPr="00FD5DF7">
        <w:t>Study area at La Selva Biological Station (A), and the magnitude of May 2018 blowdown as seen from lidar estimates of aboveground carbon density (ACD) loss (B) and Planet Labs imagery on May 11 (C, before blowdown) and May 26 (D, after blowdown). A ground survey of all trails (white lines) conducted immediately following the blowdown identified trees that fell across regularly maintained trails during the blowdown (D</w:t>
      </w:r>
      <w:r w:rsidR="00B54938">
        <w:t>)</w:t>
      </w:r>
      <w:r w:rsidR="00320B42" w:rsidRPr="00FD5DF7">
        <w:t>.</w:t>
      </w:r>
      <w:r w:rsidR="001209C1">
        <w:t xml:space="preserve"> Non-trail areas were not included in the post-disturbance ground survey. </w:t>
      </w:r>
      <w:r w:rsidR="00320B42" w:rsidRPr="00FD5DF7">
        <w:t>A region where blowdown damage is apparent in Planet imagery is denoted with a dashed line in B-D.</w:t>
      </w:r>
    </w:p>
    <w:p w14:paraId="6186B1E2" w14:textId="5AA5148D" w:rsidR="00996BF7" w:rsidRDefault="00996BF7" w:rsidP="00BE4E07">
      <w:pPr>
        <w:widowControl w:val="0"/>
        <w:autoSpaceDE w:val="0"/>
        <w:autoSpaceDN w:val="0"/>
        <w:adjustRightInd w:val="0"/>
        <w:spacing w:line="480" w:lineRule="auto"/>
      </w:pPr>
    </w:p>
    <w:p w14:paraId="0A123B65" w14:textId="7B3D0627" w:rsidR="007720A6" w:rsidRDefault="00406F80" w:rsidP="00BE4E07">
      <w:pPr>
        <w:widowControl w:val="0"/>
        <w:autoSpaceDE w:val="0"/>
        <w:autoSpaceDN w:val="0"/>
        <w:adjustRightInd w:val="0"/>
        <w:spacing w:line="480" w:lineRule="auto"/>
      </w:pPr>
      <w:r>
        <w:rPr>
          <w:noProof/>
        </w:rPr>
        <w:lastRenderedPageBreak/>
        <w:drawing>
          <wp:inline distT="0" distB="0" distL="0" distR="0" wp14:anchorId="6F220099" wp14:editId="26F896B3">
            <wp:extent cx="4013200" cy="4864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4013200" cy="4864100"/>
                    </a:xfrm>
                    <a:prstGeom prst="rect">
                      <a:avLst/>
                    </a:prstGeom>
                  </pic:spPr>
                </pic:pic>
              </a:graphicData>
            </a:graphic>
          </wp:inline>
        </w:drawing>
      </w:r>
    </w:p>
    <w:p w14:paraId="4334669C" w14:textId="75A6B513" w:rsidR="00320B42" w:rsidRDefault="00F85628" w:rsidP="00BE4E07">
      <w:pPr>
        <w:widowControl w:val="0"/>
        <w:autoSpaceDE w:val="0"/>
        <w:autoSpaceDN w:val="0"/>
        <w:adjustRightInd w:val="0"/>
        <w:spacing w:line="480" w:lineRule="auto"/>
      </w:pPr>
      <w:r>
        <w:rPr>
          <w:b/>
          <w:bCs/>
        </w:rPr>
        <w:t>Supplementary</w:t>
      </w:r>
      <w:r w:rsidR="00996BF7" w:rsidRPr="00996BF7">
        <w:rPr>
          <w:b/>
          <w:bCs/>
        </w:rPr>
        <w:t xml:space="preserve"> Figure 2</w:t>
      </w:r>
      <w:r w:rsidR="00996BF7">
        <w:t xml:space="preserve">. </w:t>
      </w:r>
      <w:r w:rsidR="007720A6">
        <w:t xml:space="preserve">Forest classification (A) of study area, and </w:t>
      </w:r>
      <w:r w:rsidR="00406F80">
        <w:t>year of abandonment for</w:t>
      </w:r>
      <w:r w:rsidR="007720A6">
        <w:t xml:space="preserve"> secondary forest types (B).</w:t>
      </w:r>
    </w:p>
    <w:p w14:paraId="2A7F777C" w14:textId="77777777" w:rsidR="00491473" w:rsidRDefault="00491473" w:rsidP="00491473">
      <w:pPr>
        <w:spacing w:line="480" w:lineRule="auto"/>
      </w:pPr>
      <w:r>
        <w:rPr>
          <w:noProof/>
        </w:rPr>
        <w:lastRenderedPageBreak/>
        <w:drawing>
          <wp:inline distT="0" distB="0" distL="0" distR="0" wp14:anchorId="6773E4E7" wp14:editId="642167A1">
            <wp:extent cx="4572000" cy="3657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0">
                      <a:extLst>
                        <a:ext uri="{28A0092B-C50C-407E-A947-70E740481C1C}">
                          <a14:useLocalDpi xmlns:a14="http://schemas.microsoft.com/office/drawing/2010/main" val="0"/>
                        </a:ext>
                      </a:extLst>
                    </a:blip>
                    <a:stretch>
                      <a:fillRect/>
                    </a:stretch>
                  </pic:blipFill>
                  <pic:spPr>
                    <a:xfrm>
                      <a:off x="0" y="0"/>
                      <a:ext cx="4572000" cy="3657600"/>
                    </a:xfrm>
                    <a:prstGeom prst="rect">
                      <a:avLst/>
                    </a:prstGeom>
                  </pic:spPr>
                </pic:pic>
              </a:graphicData>
            </a:graphic>
          </wp:inline>
        </w:drawing>
      </w:r>
    </w:p>
    <w:p w14:paraId="7717AA7B" w14:textId="2A498A57" w:rsidR="00491473" w:rsidRDefault="00F85628" w:rsidP="00491473">
      <w:pPr>
        <w:spacing w:line="480" w:lineRule="auto"/>
      </w:pPr>
      <w:r>
        <w:rPr>
          <w:b/>
          <w:bCs/>
        </w:rPr>
        <w:t>Supplementary</w:t>
      </w:r>
      <w:r w:rsidR="00491473" w:rsidRPr="006D07CD">
        <w:rPr>
          <w:b/>
          <w:bCs/>
        </w:rPr>
        <w:t xml:space="preserve"> Figure </w:t>
      </w:r>
      <w:r w:rsidR="00491473">
        <w:rPr>
          <w:b/>
          <w:bCs/>
        </w:rPr>
        <w:t>3</w:t>
      </w:r>
      <w:r w:rsidR="00491473" w:rsidRPr="006D07CD">
        <w:t xml:space="preserve">. </w:t>
      </w:r>
      <w:r w:rsidR="00491473">
        <w:t>Comparison of ACD change in pixels with trails versus pixels without trails. Mean ACD change values for each category are denoted with vertical red lines. The distribution of ACD change values were not significantly different for pixels with and without trails, either with a t-test (</w:t>
      </w:r>
      <w:r w:rsidR="00491473" w:rsidRPr="00A06C33">
        <w:rPr>
          <w:i/>
          <w:iCs/>
        </w:rPr>
        <w:t>t</w:t>
      </w:r>
      <w:r w:rsidR="00491473">
        <w:t xml:space="preserve"> = -1.07, </w:t>
      </w:r>
      <w:r w:rsidR="00491473" w:rsidRPr="00A06C33">
        <w:rPr>
          <w:i/>
          <w:iCs/>
        </w:rPr>
        <w:t>DF</w:t>
      </w:r>
      <w:r w:rsidR="00491473">
        <w:t xml:space="preserve"> = 231.4, </w:t>
      </w:r>
      <w:r w:rsidR="00491473" w:rsidRPr="00A06C33">
        <w:rPr>
          <w:i/>
          <w:iCs/>
        </w:rPr>
        <w:t>P</w:t>
      </w:r>
      <w:r w:rsidR="00491473">
        <w:t xml:space="preserve"> = 0.2</w:t>
      </w:r>
      <w:r w:rsidR="009E4A72">
        <w:t>9</w:t>
      </w:r>
      <w:r w:rsidR="00491473">
        <w:t>) or a Kolmogorov-Smirnov test (</w:t>
      </w:r>
      <w:r w:rsidR="00491473" w:rsidRPr="00A06C33">
        <w:rPr>
          <w:i/>
          <w:iCs/>
        </w:rPr>
        <w:t>D</w:t>
      </w:r>
      <w:r w:rsidR="00491473">
        <w:t xml:space="preserve"> = 0.169, </w:t>
      </w:r>
      <w:r w:rsidR="00491473" w:rsidRPr="00A06C33">
        <w:rPr>
          <w:i/>
          <w:iCs/>
        </w:rPr>
        <w:t>P</w:t>
      </w:r>
      <w:r w:rsidR="00491473">
        <w:t xml:space="preserve"> = 0.08).</w:t>
      </w:r>
    </w:p>
    <w:p w14:paraId="61F43A1A" w14:textId="77777777" w:rsidR="00491473" w:rsidRDefault="00491473" w:rsidP="00491473">
      <w:pPr>
        <w:spacing w:after="200"/>
      </w:pPr>
      <w:r>
        <w:br w:type="page"/>
      </w:r>
    </w:p>
    <w:p w14:paraId="7165D660" w14:textId="77777777" w:rsidR="00491473" w:rsidRDefault="00491473" w:rsidP="00491473">
      <w:pPr>
        <w:spacing w:line="480" w:lineRule="auto"/>
        <w:jc w:val="center"/>
      </w:pPr>
      <w:r>
        <w:rPr>
          <w:noProof/>
        </w:rPr>
        <w:lastRenderedPageBreak/>
        <w:drawing>
          <wp:inline distT="0" distB="0" distL="0" distR="0" wp14:anchorId="70917309" wp14:editId="16F72186">
            <wp:extent cx="4038600" cy="56540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1">
                      <a:extLst>
                        <a:ext uri="{28A0092B-C50C-407E-A947-70E740481C1C}">
                          <a14:useLocalDpi xmlns:a14="http://schemas.microsoft.com/office/drawing/2010/main" val="0"/>
                        </a:ext>
                      </a:extLst>
                    </a:blip>
                    <a:stretch>
                      <a:fillRect/>
                    </a:stretch>
                  </pic:blipFill>
                  <pic:spPr>
                    <a:xfrm>
                      <a:off x="0" y="0"/>
                      <a:ext cx="4038600" cy="5654040"/>
                    </a:xfrm>
                    <a:prstGeom prst="rect">
                      <a:avLst/>
                    </a:prstGeom>
                  </pic:spPr>
                </pic:pic>
              </a:graphicData>
            </a:graphic>
          </wp:inline>
        </w:drawing>
      </w:r>
    </w:p>
    <w:p w14:paraId="6ADE2665" w14:textId="2053FDC0" w:rsidR="00491473" w:rsidRDefault="00F85628" w:rsidP="00491473">
      <w:pPr>
        <w:spacing w:line="480" w:lineRule="auto"/>
      </w:pPr>
      <w:r>
        <w:rPr>
          <w:b/>
          <w:bCs/>
        </w:rPr>
        <w:t>Supplementary</w:t>
      </w:r>
      <w:r w:rsidR="00491473">
        <w:rPr>
          <w:b/>
          <w:bCs/>
        </w:rPr>
        <w:t xml:space="preserve"> Figure 4. </w:t>
      </w:r>
      <w:r w:rsidR="00491473">
        <w:t>Relationship between ACD loss during the blowdown and pre-blowdown ACD. Results are shown for absolute (A) and proportional (B) ACD loss; both lin</w:t>
      </w:r>
      <w:r w:rsidR="009E4A72">
        <w:t>e</w:t>
      </w:r>
      <w:r w:rsidR="00491473">
        <w:t xml:space="preserve">ar relationships are significantly negative (panel A: </w:t>
      </w:r>
      <w:r w:rsidR="00491473" w:rsidRPr="007720A6">
        <w:rPr>
          <w:i/>
          <w:iCs/>
        </w:rPr>
        <w:t>DF</w:t>
      </w:r>
      <w:r w:rsidR="00491473">
        <w:t xml:space="preserve"> = 24</w:t>
      </w:r>
      <w:r w:rsidR="00B14A53">
        <w:t>1</w:t>
      </w:r>
      <w:r w:rsidR="00491473">
        <w:t xml:space="preserve">, </w:t>
      </w:r>
      <w:r w:rsidR="00491473" w:rsidRPr="007720A6">
        <w:rPr>
          <w:i/>
          <w:iCs/>
        </w:rPr>
        <w:t>R</w:t>
      </w:r>
      <w:r w:rsidR="00491473" w:rsidRPr="007720A6">
        <w:rPr>
          <w:i/>
          <w:iCs/>
          <w:vertAlign w:val="superscript"/>
        </w:rPr>
        <w:t>2</w:t>
      </w:r>
      <w:r w:rsidR="00491473">
        <w:t xml:space="preserve"> = 0.10, </w:t>
      </w:r>
      <w:r w:rsidR="00491473" w:rsidRPr="007720A6">
        <w:rPr>
          <w:i/>
          <w:iCs/>
        </w:rPr>
        <w:t>P</w:t>
      </w:r>
      <w:r w:rsidR="00491473">
        <w:t xml:space="preserve"> &lt; 0.001; panel B: </w:t>
      </w:r>
      <w:r w:rsidR="00491473" w:rsidRPr="007720A6">
        <w:rPr>
          <w:i/>
          <w:iCs/>
        </w:rPr>
        <w:t>DF</w:t>
      </w:r>
      <w:r w:rsidR="00491473">
        <w:t xml:space="preserve"> = 24</w:t>
      </w:r>
      <w:r w:rsidR="00B14A53">
        <w:t>1</w:t>
      </w:r>
      <w:r w:rsidR="00491473">
        <w:t xml:space="preserve">, </w:t>
      </w:r>
      <w:r w:rsidR="00491473" w:rsidRPr="007720A6">
        <w:rPr>
          <w:i/>
          <w:iCs/>
        </w:rPr>
        <w:t>R</w:t>
      </w:r>
      <w:r w:rsidR="00491473" w:rsidRPr="007720A6">
        <w:rPr>
          <w:i/>
          <w:iCs/>
          <w:vertAlign w:val="superscript"/>
        </w:rPr>
        <w:t>2</w:t>
      </w:r>
      <w:r w:rsidR="00491473">
        <w:t xml:space="preserve"> = 0.02, </w:t>
      </w:r>
      <w:r w:rsidR="00491473" w:rsidRPr="007720A6">
        <w:rPr>
          <w:i/>
          <w:iCs/>
        </w:rPr>
        <w:t>P</w:t>
      </w:r>
      <w:r w:rsidR="00491473">
        <w:t xml:space="preserve"> = 0.02).</w:t>
      </w:r>
    </w:p>
    <w:p w14:paraId="59F86D21" w14:textId="77777777" w:rsidR="00491473" w:rsidRPr="00FD5DF7" w:rsidRDefault="00491473" w:rsidP="00BE4E07">
      <w:pPr>
        <w:widowControl w:val="0"/>
        <w:autoSpaceDE w:val="0"/>
        <w:autoSpaceDN w:val="0"/>
        <w:adjustRightInd w:val="0"/>
        <w:spacing w:line="480" w:lineRule="auto"/>
      </w:pPr>
    </w:p>
    <w:p w14:paraId="07C232B9" w14:textId="637740F4" w:rsidR="00320B42" w:rsidRPr="00FD5DF7" w:rsidRDefault="00320B42" w:rsidP="00BE4E07">
      <w:pPr>
        <w:spacing w:line="480" w:lineRule="auto"/>
      </w:pPr>
      <w:r w:rsidRPr="00FD5DF7">
        <w:br w:type="page"/>
      </w:r>
    </w:p>
    <w:p w14:paraId="0D4442D4" w14:textId="77777777" w:rsidR="00320B42" w:rsidRPr="00FD5DF7" w:rsidRDefault="00320B42" w:rsidP="00FC3594">
      <w:pPr>
        <w:spacing w:line="480" w:lineRule="auto"/>
      </w:pPr>
      <w:r w:rsidRPr="00FD5DF7">
        <w:lastRenderedPageBreak/>
        <w:fldChar w:fldCharType="begin"/>
      </w:r>
      <w:r w:rsidRPr="00FD5DF7">
        <w:instrText xml:space="preserve"> INCLUDEPICTURE "/var/folders/gd/78v9x25j4yd53g5nnpdlzgr00000gn/T/com.microsoft.Word/WebArchiveCopyPasteTempFiles/plot_zoom_png?width=570&amp;height=522" \* MERGEFORMATINET </w:instrText>
      </w:r>
      <w:r w:rsidRPr="00FD5DF7">
        <w:fldChar w:fldCharType="separate"/>
      </w:r>
      <w:r w:rsidRPr="00FD5DF7">
        <w:rPr>
          <w:noProof/>
        </w:rPr>
        <w:drawing>
          <wp:inline distT="0" distB="0" distL="0" distR="0" wp14:anchorId="23014B15" wp14:editId="03AA3448">
            <wp:extent cx="5486400" cy="4816549"/>
            <wp:effectExtent l="0" t="0" r="0" b="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5496" cy="4850872"/>
                    </a:xfrm>
                    <a:prstGeom prst="rect">
                      <a:avLst/>
                    </a:prstGeom>
                    <a:noFill/>
                    <a:ln>
                      <a:noFill/>
                    </a:ln>
                  </pic:spPr>
                </pic:pic>
              </a:graphicData>
            </a:graphic>
          </wp:inline>
        </w:drawing>
      </w:r>
      <w:r w:rsidRPr="00FD5DF7">
        <w:fldChar w:fldCharType="end"/>
      </w:r>
    </w:p>
    <w:p w14:paraId="29782CD6" w14:textId="61D29B02" w:rsidR="007720A6" w:rsidRDefault="00F85628" w:rsidP="00BE4E07">
      <w:pPr>
        <w:widowControl w:val="0"/>
        <w:autoSpaceDE w:val="0"/>
        <w:autoSpaceDN w:val="0"/>
        <w:adjustRightInd w:val="0"/>
        <w:spacing w:line="480" w:lineRule="auto"/>
      </w:pPr>
      <w:r>
        <w:rPr>
          <w:b/>
          <w:bCs/>
        </w:rPr>
        <w:t>Supplementary</w:t>
      </w:r>
      <w:r w:rsidR="00320B42" w:rsidRPr="00FD5DF7">
        <w:rPr>
          <w:b/>
          <w:bCs/>
        </w:rPr>
        <w:t xml:space="preserve"> Figure </w:t>
      </w:r>
      <w:r w:rsidR="00491473">
        <w:rPr>
          <w:b/>
          <w:bCs/>
        </w:rPr>
        <w:t>5</w:t>
      </w:r>
      <w:r w:rsidR="00320B42" w:rsidRPr="00FD5DF7">
        <w:t>. Gap size-frequencies in La Selva Biological Station, quantified using airborne lidar before (2009) and after (2019) the May 19, 2018 blowdown at La Selva Biological Station, Costa Rica. Data are shown for 4 gap height thresholds (2, 6, 10, and 20 m; maximum vegetation height in gaps).</w:t>
      </w:r>
      <w:r w:rsidR="002E78A9">
        <w:t xml:space="preserve"> Results are shown for all forest (A, B), and separately for only old-growth forest (C, D) or only secondary forest (E, F).</w:t>
      </w:r>
    </w:p>
    <w:p w14:paraId="025CC56B" w14:textId="77777777" w:rsidR="007720A6" w:rsidRPr="00FD5DF7" w:rsidRDefault="007720A6" w:rsidP="007720A6">
      <w:pPr>
        <w:spacing w:line="480" w:lineRule="auto"/>
        <w:jc w:val="center"/>
      </w:pPr>
      <w:r w:rsidRPr="00FD5DF7">
        <w:lastRenderedPageBreak/>
        <w:fldChar w:fldCharType="begin"/>
      </w:r>
      <w:r w:rsidRPr="00FD5DF7">
        <w:instrText xml:space="preserve"> INCLUDEPICTURE "/var/folders/gd/78v9x25j4yd53g5nnpdlzgr00000gn/T/com.microsoft.Word/WebArchiveCopyPasteTempFiles/plot_zoom_png?width=607&amp;height=511" \* MERGEFORMATINET </w:instrText>
      </w:r>
      <w:r w:rsidRPr="00FD5DF7">
        <w:fldChar w:fldCharType="separate"/>
      </w:r>
      <w:r w:rsidRPr="00FD5DF7">
        <w:rPr>
          <w:noProof/>
        </w:rPr>
        <w:drawing>
          <wp:inline distT="0" distB="0" distL="0" distR="0" wp14:anchorId="72CA640D" wp14:editId="596D2A60">
            <wp:extent cx="4731489" cy="4113530"/>
            <wp:effectExtent l="0" t="0" r="5715" b="127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37535" cy="4118786"/>
                    </a:xfrm>
                    <a:prstGeom prst="rect">
                      <a:avLst/>
                    </a:prstGeom>
                    <a:noFill/>
                    <a:ln>
                      <a:noFill/>
                    </a:ln>
                  </pic:spPr>
                </pic:pic>
              </a:graphicData>
            </a:graphic>
          </wp:inline>
        </w:drawing>
      </w:r>
      <w:r w:rsidRPr="00FD5DF7">
        <w:fldChar w:fldCharType="end"/>
      </w:r>
    </w:p>
    <w:p w14:paraId="3C0E4BC6" w14:textId="77777777" w:rsidR="007720A6" w:rsidRPr="00FD5DF7" w:rsidRDefault="007720A6" w:rsidP="007720A6">
      <w:pPr>
        <w:spacing w:line="480" w:lineRule="auto"/>
        <w:rPr>
          <w:b/>
          <w:bCs/>
        </w:rPr>
      </w:pPr>
    </w:p>
    <w:p w14:paraId="0B7DC3BA" w14:textId="5098A0EA" w:rsidR="007720A6" w:rsidRPr="00FD5DF7" w:rsidRDefault="00F85628" w:rsidP="007720A6">
      <w:pPr>
        <w:widowControl w:val="0"/>
        <w:autoSpaceDE w:val="0"/>
        <w:autoSpaceDN w:val="0"/>
        <w:adjustRightInd w:val="0"/>
        <w:spacing w:line="480" w:lineRule="auto"/>
      </w:pPr>
      <w:r>
        <w:rPr>
          <w:b/>
          <w:bCs/>
        </w:rPr>
        <w:t>Supplementary</w:t>
      </w:r>
      <w:r w:rsidR="007720A6" w:rsidRPr="00FD5DF7">
        <w:rPr>
          <w:b/>
          <w:bCs/>
        </w:rPr>
        <w:t xml:space="preserve"> Figure </w:t>
      </w:r>
      <w:r w:rsidR="00491473">
        <w:rPr>
          <w:b/>
          <w:bCs/>
        </w:rPr>
        <w:t>6</w:t>
      </w:r>
      <w:r w:rsidR="007720A6" w:rsidRPr="00FD5DF7">
        <w:t xml:space="preserve">. Total gap area (A, C) and the gap size-frequency distribution scaling exponent, </w:t>
      </w:r>
      <m:oMath>
        <m:r>
          <m:rPr>
            <m:sty m:val="p"/>
          </m:rPr>
          <w:rPr>
            <w:rFonts w:ascii="Cambria Math" w:hAnsi="Cambria Math"/>
          </w:rPr>
          <m:t>λ</m:t>
        </m:r>
      </m:oMath>
      <w:r w:rsidR="007720A6" w:rsidRPr="00FD5DF7">
        <w:t>, (B, D) before and after the May 19, 2018 blowdown at La Selva Biological Station, Costa Rica. Results are shown separately for old-growth (A, B) and secondary forests (C, D). Gap statistics were calculated using a range of gap height thresholds (maximum vegetation height in gaps) from 2 to 20 m in height, in 2 m intervals. Gap area (</w:t>
      </w:r>
      <w:proofErr w:type="gramStart"/>
      <w:r w:rsidR="007720A6" w:rsidRPr="00FD5DF7">
        <w:t>A</w:t>
      </w:r>
      <w:r w:rsidR="00173F0E">
        <w:t>,C</w:t>
      </w:r>
      <w:proofErr w:type="gramEnd"/>
      <w:r w:rsidR="007720A6" w:rsidRPr="00FD5DF7">
        <w:t>) is shown as a percentage of the total ha study area.</w:t>
      </w:r>
    </w:p>
    <w:p w14:paraId="5A9753F0" w14:textId="77777777" w:rsidR="00406F80" w:rsidRDefault="00320B42" w:rsidP="007720A6">
      <w:pPr>
        <w:spacing w:line="480" w:lineRule="auto"/>
      </w:pPr>
      <w:r w:rsidRPr="00FD5DF7">
        <w:br w:type="page"/>
      </w:r>
    </w:p>
    <w:p w14:paraId="5D6AEE2C" w14:textId="2F327DF2" w:rsidR="007720A6" w:rsidRPr="007720A6" w:rsidRDefault="007720A6" w:rsidP="00A06C33">
      <w:pPr>
        <w:spacing w:line="480" w:lineRule="auto"/>
        <w:jc w:val="center"/>
      </w:pPr>
      <w:r w:rsidRPr="00FD5DF7">
        <w:rPr>
          <w:noProof/>
        </w:rPr>
        <w:lastRenderedPageBreak/>
        <w:drawing>
          <wp:inline distT="0" distB="0" distL="0" distR="0" wp14:anchorId="347BCF7C" wp14:editId="348EBEDD">
            <wp:extent cx="4135755" cy="3094074"/>
            <wp:effectExtent l="0" t="0" r="0" b="5080"/>
            <wp:docPr id="9" name="Picture 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2A.jpeg"/>
                    <pic:cNvPicPr/>
                  </pic:nvPicPr>
                  <pic:blipFill rotWithShape="1">
                    <a:blip r:embed="rId14" cstate="print">
                      <a:extLst>
                        <a:ext uri="{28A0092B-C50C-407E-A947-70E740481C1C}">
                          <a14:useLocalDpi xmlns:a14="http://schemas.microsoft.com/office/drawing/2010/main" val="0"/>
                        </a:ext>
                      </a:extLst>
                    </a:blip>
                    <a:srcRect r="-2509" b="5183"/>
                    <a:stretch/>
                  </pic:blipFill>
                  <pic:spPr bwMode="auto">
                    <a:xfrm>
                      <a:off x="0" y="0"/>
                      <a:ext cx="4179612" cy="3126885"/>
                    </a:xfrm>
                    <a:prstGeom prst="rect">
                      <a:avLst/>
                    </a:prstGeom>
                    <a:ln>
                      <a:noFill/>
                    </a:ln>
                    <a:extLst>
                      <a:ext uri="{53640926-AAD7-44D8-BBD7-CCE9431645EC}">
                        <a14:shadowObscured xmlns:a14="http://schemas.microsoft.com/office/drawing/2010/main"/>
                      </a:ext>
                    </a:extLst>
                  </pic:spPr>
                </pic:pic>
              </a:graphicData>
            </a:graphic>
          </wp:inline>
        </w:drawing>
      </w:r>
      <w:r w:rsidRPr="00FD5DF7">
        <w:rPr>
          <w:noProof/>
        </w:rPr>
        <w:drawing>
          <wp:inline distT="0" distB="0" distL="0" distR="0" wp14:anchorId="2B80CF76" wp14:editId="07A3A90E">
            <wp:extent cx="4029087" cy="3078067"/>
            <wp:effectExtent l="0" t="0" r="0" b="0"/>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2B.jpeg"/>
                    <pic:cNvPicPr/>
                  </pic:nvPicPr>
                  <pic:blipFill rotWithShape="1">
                    <a:blip r:embed="rId15" cstate="print">
                      <a:extLst>
                        <a:ext uri="{28A0092B-C50C-407E-A947-70E740481C1C}">
                          <a14:useLocalDpi xmlns:a14="http://schemas.microsoft.com/office/drawing/2010/main" val="0"/>
                        </a:ext>
                      </a:extLst>
                    </a:blip>
                    <a:srcRect t="5546"/>
                    <a:stretch/>
                  </pic:blipFill>
                  <pic:spPr bwMode="auto">
                    <a:xfrm>
                      <a:off x="0" y="0"/>
                      <a:ext cx="4105170" cy="3136192"/>
                    </a:xfrm>
                    <a:prstGeom prst="rect">
                      <a:avLst/>
                    </a:prstGeom>
                    <a:ln>
                      <a:noFill/>
                    </a:ln>
                    <a:extLst>
                      <a:ext uri="{53640926-AAD7-44D8-BBD7-CCE9431645EC}">
                        <a14:shadowObscured xmlns:a14="http://schemas.microsoft.com/office/drawing/2010/main"/>
                      </a:ext>
                    </a:extLst>
                  </pic:spPr>
                </pic:pic>
              </a:graphicData>
            </a:graphic>
          </wp:inline>
        </w:drawing>
      </w:r>
    </w:p>
    <w:p w14:paraId="6A400139" w14:textId="55B1986D" w:rsidR="007720A6" w:rsidRDefault="00F85628" w:rsidP="007720A6">
      <w:pPr>
        <w:spacing w:line="480" w:lineRule="auto"/>
      </w:pPr>
      <w:r>
        <w:rPr>
          <w:b/>
          <w:bCs/>
        </w:rPr>
        <w:t>Supplementary</w:t>
      </w:r>
      <w:r w:rsidR="007720A6" w:rsidRPr="00FD5DF7">
        <w:rPr>
          <w:b/>
          <w:bCs/>
        </w:rPr>
        <w:t xml:space="preserve"> Figure </w:t>
      </w:r>
      <w:r w:rsidR="00491473">
        <w:rPr>
          <w:b/>
          <w:bCs/>
        </w:rPr>
        <w:t>7</w:t>
      </w:r>
      <w:r w:rsidR="007720A6" w:rsidRPr="00FD5DF7">
        <w:t>. Distributions of canopy heights (lines) measured by lidar before (2009) and after (2019) the May 19, 2018 blowdown at La Selva Biological Station, Costa Rica. Separate analyses are shown for old-growth (A) and secondary (B) forests.  Projected steady state canopy height distributions, from canopy height dynamics between 2009 and 2019, are shown in a shaded line.</w:t>
      </w:r>
    </w:p>
    <w:p w14:paraId="7AB25DFB" w14:textId="77777777" w:rsidR="00491473" w:rsidRPr="00FD5DF7" w:rsidRDefault="00491473" w:rsidP="00491473">
      <w:pPr>
        <w:spacing w:line="480" w:lineRule="auto"/>
        <w:jc w:val="center"/>
      </w:pPr>
      <w:r w:rsidRPr="00FD5DF7">
        <w:rPr>
          <w:noProof/>
        </w:rPr>
        <w:lastRenderedPageBreak/>
        <w:drawing>
          <wp:inline distT="0" distB="0" distL="0" distR="0" wp14:anchorId="6669E254" wp14:editId="071CA7F5">
            <wp:extent cx="3975100" cy="3467100"/>
            <wp:effectExtent l="0" t="0" r="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S6.jpeg"/>
                    <pic:cNvPicPr/>
                  </pic:nvPicPr>
                  <pic:blipFill>
                    <a:blip r:embed="rId16">
                      <a:extLst>
                        <a:ext uri="{28A0092B-C50C-407E-A947-70E740481C1C}">
                          <a14:useLocalDpi xmlns:a14="http://schemas.microsoft.com/office/drawing/2010/main" val="0"/>
                        </a:ext>
                      </a:extLst>
                    </a:blip>
                    <a:stretch>
                      <a:fillRect/>
                    </a:stretch>
                  </pic:blipFill>
                  <pic:spPr>
                    <a:xfrm>
                      <a:off x="0" y="0"/>
                      <a:ext cx="3975100" cy="3467100"/>
                    </a:xfrm>
                    <a:prstGeom prst="rect">
                      <a:avLst/>
                    </a:prstGeom>
                  </pic:spPr>
                </pic:pic>
              </a:graphicData>
            </a:graphic>
          </wp:inline>
        </w:drawing>
      </w:r>
    </w:p>
    <w:p w14:paraId="35F7B39D" w14:textId="1AB85E90" w:rsidR="00491473" w:rsidRPr="00FD5DF7" w:rsidRDefault="00F85628" w:rsidP="00491473">
      <w:pPr>
        <w:spacing w:line="480" w:lineRule="auto"/>
      </w:pPr>
      <w:r>
        <w:rPr>
          <w:b/>
          <w:bCs/>
        </w:rPr>
        <w:t>Supplementary</w:t>
      </w:r>
      <w:r w:rsidR="00491473" w:rsidRPr="00FD5DF7">
        <w:rPr>
          <w:b/>
          <w:bCs/>
        </w:rPr>
        <w:t xml:space="preserve"> Figure </w:t>
      </w:r>
      <w:r w:rsidR="00491473">
        <w:rPr>
          <w:b/>
          <w:bCs/>
        </w:rPr>
        <w:t>8</w:t>
      </w:r>
      <w:r w:rsidR="00491473" w:rsidRPr="00FD5DF7">
        <w:rPr>
          <w:b/>
          <w:bCs/>
        </w:rPr>
        <w:t>.</w:t>
      </w:r>
      <w:r w:rsidR="00491473" w:rsidRPr="00FD5DF7">
        <w:t xml:space="preserve"> Average AGBD recovery across following the four disturbance events that caused annual AGBD loss &gt; 11.5 Mg ha</w:t>
      </w:r>
      <w:r w:rsidR="00491473" w:rsidRPr="00FD5DF7">
        <w:rPr>
          <w:vertAlign w:val="superscript"/>
        </w:rPr>
        <w:t>-1</w:t>
      </w:r>
      <w:r w:rsidR="00491473" w:rsidRPr="00FD5DF7">
        <w:t xml:space="preserve"> in the CARBONO record. The long-term annual average AGBD gain from 1997-2016 in the CARBONO record is denoted with a dashed red line. The five years following disturbance were used to estimate recovery time following the 2018 La Selva blowdown.</w:t>
      </w:r>
    </w:p>
    <w:p w14:paraId="32B17890" w14:textId="77777777" w:rsidR="007720A6" w:rsidRPr="007720A6" w:rsidRDefault="007720A6" w:rsidP="007720A6">
      <w:pPr>
        <w:spacing w:line="480" w:lineRule="auto"/>
        <w:rPr>
          <w:b/>
          <w:bCs/>
        </w:rPr>
      </w:pPr>
    </w:p>
    <w:p w14:paraId="41ED21C6" w14:textId="77777777" w:rsidR="00320B42" w:rsidRPr="00FD5DF7" w:rsidRDefault="00320B42" w:rsidP="00FC3594">
      <w:pPr>
        <w:keepNext/>
        <w:pBdr>
          <w:top w:val="nil"/>
          <w:left w:val="nil"/>
          <w:bottom w:val="nil"/>
          <w:right w:val="nil"/>
          <w:between w:val="nil"/>
        </w:pBdr>
        <w:spacing w:before="240" w:after="60" w:line="480" w:lineRule="auto"/>
        <w:contextualSpacing/>
        <w:jc w:val="center"/>
        <w:rPr>
          <w:b/>
          <w:color w:val="000000"/>
        </w:rPr>
      </w:pPr>
      <w:r w:rsidRPr="00FD5DF7">
        <w:rPr>
          <w:b/>
          <w:noProof/>
          <w:color w:val="000000"/>
        </w:rPr>
        <w:lastRenderedPageBreak/>
        <w:drawing>
          <wp:inline distT="0" distB="0" distL="0" distR="0" wp14:anchorId="3CE0D17F" wp14:editId="17D1D6C5">
            <wp:extent cx="4242391" cy="5416719"/>
            <wp:effectExtent l="0" t="0" r="0" b="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S5.jpeg"/>
                    <pic:cNvPicPr/>
                  </pic:nvPicPr>
                  <pic:blipFill>
                    <a:blip r:embed="rId17">
                      <a:extLst>
                        <a:ext uri="{28A0092B-C50C-407E-A947-70E740481C1C}">
                          <a14:useLocalDpi xmlns:a14="http://schemas.microsoft.com/office/drawing/2010/main" val="0"/>
                        </a:ext>
                      </a:extLst>
                    </a:blip>
                    <a:stretch>
                      <a:fillRect/>
                    </a:stretch>
                  </pic:blipFill>
                  <pic:spPr>
                    <a:xfrm>
                      <a:off x="0" y="0"/>
                      <a:ext cx="4254780" cy="5432537"/>
                    </a:xfrm>
                    <a:prstGeom prst="rect">
                      <a:avLst/>
                    </a:prstGeom>
                  </pic:spPr>
                </pic:pic>
              </a:graphicData>
            </a:graphic>
          </wp:inline>
        </w:drawing>
      </w:r>
    </w:p>
    <w:p w14:paraId="03C2CE2B" w14:textId="4BB1BD9E" w:rsidR="000D6E1A" w:rsidRPr="00FD5DF7" w:rsidRDefault="00F85628" w:rsidP="00FC3594">
      <w:pPr>
        <w:widowControl w:val="0"/>
        <w:autoSpaceDE w:val="0"/>
        <w:autoSpaceDN w:val="0"/>
        <w:adjustRightInd w:val="0"/>
        <w:spacing w:line="480" w:lineRule="auto"/>
      </w:pPr>
      <w:r>
        <w:rPr>
          <w:b/>
          <w:color w:val="000000"/>
        </w:rPr>
        <w:t>Supplementary</w:t>
      </w:r>
      <w:r w:rsidR="00320B42" w:rsidRPr="00FD5DF7">
        <w:rPr>
          <w:b/>
          <w:color w:val="000000"/>
        </w:rPr>
        <w:t xml:space="preserve"> Figure </w:t>
      </w:r>
      <w:r w:rsidR="007720A6">
        <w:rPr>
          <w:b/>
          <w:color w:val="000000"/>
        </w:rPr>
        <w:t>9</w:t>
      </w:r>
      <w:r w:rsidR="00320B42" w:rsidRPr="00FD5DF7">
        <w:rPr>
          <w:b/>
          <w:color w:val="000000"/>
        </w:rPr>
        <w:t xml:space="preserve">. </w:t>
      </w:r>
      <w:r w:rsidR="00320B42" w:rsidRPr="00FD5DF7">
        <w:t>Distribution of the change in proportion of non-photosynthetic vegetation (NPV) in Landsat data compared to the percentage of aboveground carbon density (ACD) change (A) and absolute biomass change (B) after the 2018 blowdown at La Selva Biological Station, Costa Rica. Landsat data come from the nearest cloud-free images before (November 2017) and after (December 2018) the blowdown event (May 2018), and ACD change is from 2009-2019. Landsat data (30 m resolution) were sampled to the resolution of AGBD data (0.5 ha) using a bilinear interpolation.</w:t>
      </w:r>
    </w:p>
    <w:p w14:paraId="70BCA399" w14:textId="77777777" w:rsidR="000D6E1A" w:rsidRPr="00FD5DF7" w:rsidRDefault="000D6E1A" w:rsidP="00FC3594">
      <w:pPr>
        <w:spacing w:line="480" w:lineRule="auto"/>
        <w:rPr>
          <w:b/>
          <w:bCs/>
        </w:rPr>
      </w:pPr>
      <w:r w:rsidRPr="00FD5DF7">
        <w:rPr>
          <w:b/>
          <w:noProof/>
        </w:rPr>
        <w:lastRenderedPageBreak/>
        <w:drawing>
          <wp:inline distT="0" distB="0" distL="0" distR="0" wp14:anchorId="2DBFD40C" wp14:editId="33369957">
            <wp:extent cx="4876800" cy="2908300"/>
            <wp:effectExtent l="0" t="0" r="0" b="0"/>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 S5.jpeg"/>
                    <pic:cNvPicPr/>
                  </pic:nvPicPr>
                  <pic:blipFill>
                    <a:blip r:embed="rId18">
                      <a:extLst>
                        <a:ext uri="{28A0092B-C50C-407E-A947-70E740481C1C}">
                          <a14:useLocalDpi xmlns:a14="http://schemas.microsoft.com/office/drawing/2010/main" val="0"/>
                        </a:ext>
                      </a:extLst>
                    </a:blip>
                    <a:stretch>
                      <a:fillRect/>
                    </a:stretch>
                  </pic:blipFill>
                  <pic:spPr>
                    <a:xfrm>
                      <a:off x="0" y="0"/>
                      <a:ext cx="4876800" cy="2908300"/>
                    </a:xfrm>
                    <a:prstGeom prst="rect">
                      <a:avLst/>
                    </a:prstGeom>
                  </pic:spPr>
                </pic:pic>
              </a:graphicData>
            </a:graphic>
          </wp:inline>
        </w:drawing>
      </w:r>
    </w:p>
    <w:p w14:paraId="6ED65F69" w14:textId="0E055FA1" w:rsidR="00E9112E" w:rsidRPr="00BE4E07" w:rsidRDefault="00F85628" w:rsidP="00BE4E07">
      <w:pPr>
        <w:widowControl w:val="0"/>
        <w:autoSpaceDE w:val="0"/>
        <w:autoSpaceDN w:val="0"/>
        <w:adjustRightInd w:val="0"/>
        <w:spacing w:line="480" w:lineRule="auto"/>
        <w:rPr>
          <w:rFonts w:eastAsiaTheme="minorEastAsia"/>
        </w:rPr>
      </w:pPr>
      <w:r>
        <w:rPr>
          <w:b/>
          <w:bCs/>
        </w:rPr>
        <w:t>Supplementary</w:t>
      </w:r>
      <w:r w:rsidR="000D6E1A" w:rsidRPr="00FD5DF7">
        <w:rPr>
          <w:b/>
          <w:bCs/>
        </w:rPr>
        <w:t xml:space="preserve"> Figure </w:t>
      </w:r>
      <w:r w:rsidR="00991F57">
        <w:rPr>
          <w:b/>
          <w:bCs/>
        </w:rPr>
        <w:t>10</w:t>
      </w:r>
      <w:r w:rsidR="000D6E1A" w:rsidRPr="00FD5DF7">
        <w:rPr>
          <w:b/>
          <w:bCs/>
        </w:rPr>
        <w:t>.</w:t>
      </w:r>
      <w:r w:rsidR="000D6E1A" w:rsidRPr="00FD5DF7">
        <w:t xml:space="preserve"> Relationship between lidar top-of-canopy height (TCH) and AGBD (A), and the relationship between predicted AGBD and model residuals (B). TCH and AGBD were related using a power relationship (</w:t>
      </w:r>
      <m:oMath>
        <m:r>
          <w:rPr>
            <w:rFonts w:ascii="Cambria Math" w:hAnsi="Cambria Math"/>
          </w:rPr>
          <m:t>AGBD=a</m:t>
        </m:r>
        <m:sSup>
          <m:sSupPr>
            <m:ctrlPr>
              <w:rPr>
                <w:rFonts w:ascii="Cambria Math" w:hAnsi="Cambria Math"/>
                <w:i/>
              </w:rPr>
            </m:ctrlPr>
          </m:sSupPr>
          <m:e>
            <m:r>
              <w:rPr>
                <w:rFonts w:ascii="Cambria Math" w:hAnsi="Cambria Math"/>
              </w:rPr>
              <m:t>TCH</m:t>
            </m:r>
          </m:e>
          <m:sup>
            <m:r>
              <w:rPr>
                <w:rFonts w:ascii="Cambria Math" w:hAnsi="Cambria Math"/>
              </w:rPr>
              <m:t>b</m:t>
            </m:r>
          </m:sup>
        </m:sSup>
      </m:oMath>
      <w:r w:rsidR="000D6E1A" w:rsidRPr="00FD5DF7">
        <w:rPr>
          <w:rFonts w:eastAsiaTheme="minorEastAsia"/>
        </w:rPr>
        <w:t xml:space="preserve">), where </w:t>
      </w:r>
      <w:r w:rsidR="000D6E1A" w:rsidRPr="00FD5DF7">
        <w:rPr>
          <w:rFonts w:eastAsiaTheme="minorEastAsia"/>
          <w:i/>
        </w:rPr>
        <w:t>a</w:t>
      </w:r>
      <w:r w:rsidR="000D6E1A" w:rsidRPr="00FD5DF7">
        <w:rPr>
          <w:rFonts w:eastAsiaTheme="minorEastAsia"/>
        </w:rPr>
        <w:t xml:space="preserve"> = 8.881 and </w:t>
      </w:r>
      <w:r w:rsidR="000D6E1A" w:rsidRPr="00FD5DF7">
        <w:rPr>
          <w:rFonts w:eastAsiaTheme="minorEastAsia"/>
          <w:i/>
        </w:rPr>
        <w:t>b</w:t>
      </w:r>
      <w:r w:rsidR="000D6E1A" w:rsidRPr="00FD5DF7">
        <w:rPr>
          <w:rFonts w:eastAsiaTheme="minorEastAsia"/>
        </w:rPr>
        <w:t xml:space="preserve"> = 1.021, that explained 74% of the variation among plots with 9.2% RMSE. There was no significant linear relationship between predicted AGBD and residual values (</w:t>
      </w:r>
      <w:r w:rsidR="000D6E1A" w:rsidRPr="00FD5DF7">
        <w:rPr>
          <w:rFonts w:eastAsiaTheme="minorEastAsia"/>
          <w:i/>
        </w:rPr>
        <w:t>DF</w:t>
      </w:r>
      <w:r w:rsidR="000D6E1A" w:rsidRPr="00FD5DF7">
        <w:rPr>
          <w:rFonts w:eastAsiaTheme="minorEastAsia"/>
        </w:rPr>
        <w:t xml:space="preserve"> = 16, </w:t>
      </w:r>
      <w:r w:rsidR="000D6E1A" w:rsidRPr="00FD5DF7">
        <w:rPr>
          <w:rFonts w:eastAsiaTheme="minorEastAsia"/>
          <w:i/>
        </w:rPr>
        <w:t>F</w:t>
      </w:r>
      <w:r w:rsidR="000D6E1A" w:rsidRPr="00FD5DF7">
        <w:rPr>
          <w:rFonts w:eastAsiaTheme="minorEastAsia"/>
        </w:rPr>
        <w:t xml:space="preserve"> = 0.0002, </w:t>
      </w:r>
      <w:r w:rsidR="000D6E1A" w:rsidRPr="00FD5DF7">
        <w:rPr>
          <w:rFonts w:eastAsiaTheme="minorEastAsia"/>
          <w:i/>
        </w:rPr>
        <w:t>P</w:t>
      </w:r>
      <w:r w:rsidR="000D6E1A" w:rsidRPr="00FD5DF7">
        <w:rPr>
          <w:rFonts w:eastAsiaTheme="minorEastAsia"/>
        </w:rPr>
        <w:t xml:space="preserve"> = 0.99).</w:t>
      </w:r>
      <w:r w:rsidR="00E9112E" w:rsidRPr="00FD5DF7">
        <w:br w:type="page"/>
      </w:r>
    </w:p>
    <w:p w14:paraId="57BA5F6E" w14:textId="77777777" w:rsidR="00E9112E" w:rsidRPr="00FD5DF7" w:rsidRDefault="00E9112E" w:rsidP="00FC3594">
      <w:pPr>
        <w:spacing w:line="480" w:lineRule="auto"/>
      </w:pPr>
      <w:r w:rsidRPr="00FD5DF7">
        <w:rPr>
          <w:noProof/>
        </w:rPr>
        <w:lastRenderedPageBreak/>
        <w:drawing>
          <wp:inline distT="0" distB="0" distL="0" distR="0" wp14:anchorId="2B9DEE7D" wp14:editId="64D2FE36">
            <wp:extent cx="5053894" cy="4102100"/>
            <wp:effectExtent l="0" t="0" r="1270" b="0"/>
            <wp:docPr id="20" name="Picture 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 S4.jpeg"/>
                    <pic:cNvPicPr/>
                  </pic:nvPicPr>
                  <pic:blipFill>
                    <a:blip r:embed="rId19">
                      <a:extLst>
                        <a:ext uri="{28A0092B-C50C-407E-A947-70E740481C1C}">
                          <a14:useLocalDpi xmlns:a14="http://schemas.microsoft.com/office/drawing/2010/main" val="0"/>
                        </a:ext>
                      </a:extLst>
                    </a:blip>
                    <a:stretch>
                      <a:fillRect/>
                    </a:stretch>
                  </pic:blipFill>
                  <pic:spPr>
                    <a:xfrm>
                      <a:off x="0" y="0"/>
                      <a:ext cx="5063835" cy="4110169"/>
                    </a:xfrm>
                    <a:prstGeom prst="rect">
                      <a:avLst/>
                    </a:prstGeom>
                  </pic:spPr>
                </pic:pic>
              </a:graphicData>
            </a:graphic>
          </wp:inline>
        </w:drawing>
      </w:r>
    </w:p>
    <w:p w14:paraId="16C5FA58" w14:textId="484D9E44" w:rsidR="006D07CD" w:rsidRPr="00991F57" w:rsidRDefault="00F85628" w:rsidP="00991F57">
      <w:pPr>
        <w:widowControl w:val="0"/>
        <w:autoSpaceDE w:val="0"/>
        <w:autoSpaceDN w:val="0"/>
        <w:adjustRightInd w:val="0"/>
        <w:spacing w:line="480" w:lineRule="auto"/>
        <w:rPr>
          <w:rFonts w:eastAsiaTheme="minorEastAsia"/>
        </w:rPr>
      </w:pPr>
      <w:r>
        <w:rPr>
          <w:b/>
          <w:bCs/>
        </w:rPr>
        <w:t>Supplementary</w:t>
      </w:r>
      <w:r w:rsidR="00E9112E" w:rsidRPr="00FD5DF7">
        <w:rPr>
          <w:b/>
          <w:bCs/>
        </w:rPr>
        <w:t xml:space="preserve"> Figure </w:t>
      </w:r>
      <w:r w:rsidR="00991F57">
        <w:rPr>
          <w:b/>
          <w:bCs/>
        </w:rPr>
        <w:t>11</w:t>
      </w:r>
      <w:r w:rsidR="00E9112E" w:rsidRPr="00FD5DF7">
        <w:rPr>
          <w:b/>
          <w:bCs/>
        </w:rPr>
        <w:t>.</w:t>
      </w:r>
      <w:r w:rsidR="00E9112E" w:rsidRPr="00FD5DF7">
        <w:t xml:space="preserve"> Distribution of canopy height change across La Selva Biological Station, Costa Rica, between 2009 and 2019. Data from 2019 were collected approximately one year after the 2019 blowdown event. The vertical dashed lines denote the mean value for each interval. Old growth and secondary forests are separate for each year.</w:t>
      </w:r>
    </w:p>
    <w:sectPr w:rsidR="006D07CD" w:rsidRPr="00991F57" w:rsidSect="008B6770">
      <w:headerReference w:type="default" r:id="rId20"/>
      <w:footerReference w:type="default" r:id="rId21"/>
      <w:type w:val="continuous"/>
      <w:pgSz w:w="12240" w:h="15840"/>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88627" w14:textId="77777777" w:rsidR="00B94972" w:rsidRDefault="00B94972">
      <w:r>
        <w:separator/>
      </w:r>
    </w:p>
  </w:endnote>
  <w:endnote w:type="continuationSeparator" w:id="0">
    <w:p w14:paraId="6CD9A83E" w14:textId="77777777" w:rsidR="00B94972" w:rsidRDefault="00B94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444FA" w14:textId="18699F6F" w:rsidR="000D6E1A" w:rsidRDefault="000D6E1A">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5346F214" w14:textId="77777777" w:rsidR="000D6E1A" w:rsidRDefault="000D6E1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4B01B" w14:textId="77777777" w:rsidR="00B94972" w:rsidRDefault="00B94972">
      <w:r>
        <w:separator/>
      </w:r>
    </w:p>
  </w:footnote>
  <w:footnote w:type="continuationSeparator" w:id="0">
    <w:p w14:paraId="7C04757D" w14:textId="77777777" w:rsidR="00B94972" w:rsidRDefault="00B94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04CCF" w14:textId="77777777" w:rsidR="000D6E1A" w:rsidRDefault="000D6E1A">
    <w:pPr>
      <w:jc w:val="right"/>
      <w:rPr>
        <w:sz w:val="20"/>
        <w:szCs w:val="20"/>
      </w:rPr>
    </w:pPr>
  </w:p>
  <w:p w14:paraId="186F9857" w14:textId="77777777" w:rsidR="000D6E1A" w:rsidRDefault="000D6E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CF7B72"/>
    <w:multiLevelType w:val="hybridMultilevel"/>
    <w:tmpl w:val="DD5C9A40"/>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3D"/>
    <w:rsid w:val="000045BB"/>
    <w:rsid w:val="00005526"/>
    <w:rsid w:val="0000796D"/>
    <w:rsid w:val="0001007B"/>
    <w:rsid w:val="00013F03"/>
    <w:rsid w:val="00032360"/>
    <w:rsid w:val="00032386"/>
    <w:rsid w:val="00055C51"/>
    <w:rsid w:val="000655F5"/>
    <w:rsid w:val="00067123"/>
    <w:rsid w:val="000723C2"/>
    <w:rsid w:val="000774D8"/>
    <w:rsid w:val="000925F1"/>
    <w:rsid w:val="00097969"/>
    <w:rsid w:val="000A0659"/>
    <w:rsid w:val="000A1984"/>
    <w:rsid w:val="000A5E5A"/>
    <w:rsid w:val="000B24F4"/>
    <w:rsid w:val="000C3044"/>
    <w:rsid w:val="000D1F71"/>
    <w:rsid w:val="000D2DCE"/>
    <w:rsid w:val="000D6E1A"/>
    <w:rsid w:val="000F1EFC"/>
    <w:rsid w:val="001002BA"/>
    <w:rsid w:val="00110320"/>
    <w:rsid w:val="00110978"/>
    <w:rsid w:val="001209C1"/>
    <w:rsid w:val="00122018"/>
    <w:rsid w:val="00124AC3"/>
    <w:rsid w:val="001344CD"/>
    <w:rsid w:val="00143D6E"/>
    <w:rsid w:val="001446F3"/>
    <w:rsid w:val="00146807"/>
    <w:rsid w:val="00150B7C"/>
    <w:rsid w:val="00162BF4"/>
    <w:rsid w:val="001651C7"/>
    <w:rsid w:val="001705FA"/>
    <w:rsid w:val="00171D62"/>
    <w:rsid w:val="0017270A"/>
    <w:rsid w:val="00173F0E"/>
    <w:rsid w:val="00181219"/>
    <w:rsid w:val="00186F64"/>
    <w:rsid w:val="001923EB"/>
    <w:rsid w:val="00194088"/>
    <w:rsid w:val="001A2E1E"/>
    <w:rsid w:val="001B2DAC"/>
    <w:rsid w:val="001B48F3"/>
    <w:rsid w:val="001C28A2"/>
    <w:rsid w:val="001C2CD3"/>
    <w:rsid w:val="001C5A23"/>
    <w:rsid w:val="001D0A4D"/>
    <w:rsid w:val="001D569A"/>
    <w:rsid w:val="001E4382"/>
    <w:rsid w:val="001E4766"/>
    <w:rsid w:val="001F63B7"/>
    <w:rsid w:val="001F6B4C"/>
    <w:rsid w:val="002013CB"/>
    <w:rsid w:val="00206117"/>
    <w:rsid w:val="00206DA3"/>
    <w:rsid w:val="00207308"/>
    <w:rsid w:val="00221797"/>
    <w:rsid w:val="0022516E"/>
    <w:rsid w:val="00232D40"/>
    <w:rsid w:val="00234777"/>
    <w:rsid w:val="00236CC2"/>
    <w:rsid w:val="00251AD3"/>
    <w:rsid w:val="00253C93"/>
    <w:rsid w:val="00262EA3"/>
    <w:rsid w:val="0026355C"/>
    <w:rsid w:val="00270945"/>
    <w:rsid w:val="00270B40"/>
    <w:rsid w:val="0028220A"/>
    <w:rsid w:val="00285F7C"/>
    <w:rsid w:val="00296AC5"/>
    <w:rsid w:val="002A0467"/>
    <w:rsid w:val="002A2729"/>
    <w:rsid w:val="002A4A25"/>
    <w:rsid w:val="002B2848"/>
    <w:rsid w:val="002E1351"/>
    <w:rsid w:val="002E6471"/>
    <w:rsid w:val="002E69F6"/>
    <w:rsid w:val="002E78A9"/>
    <w:rsid w:val="002F2C1F"/>
    <w:rsid w:val="002F6C5B"/>
    <w:rsid w:val="00300223"/>
    <w:rsid w:val="00302B37"/>
    <w:rsid w:val="00304003"/>
    <w:rsid w:val="003072C8"/>
    <w:rsid w:val="00317F42"/>
    <w:rsid w:val="00320B42"/>
    <w:rsid w:val="00322A9F"/>
    <w:rsid w:val="00333A30"/>
    <w:rsid w:val="00333F4D"/>
    <w:rsid w:val="0033756B"/>
    <w:rsid w:val="003440BF"/>
    <w:rsid w:val="00350346"/>
    <w:rsid w:val="003603D5"/>
    <w:rsid w:val="0037232E"/>
    <w:rsid w:val="003735E1"/>
    <w:rsid w:val="00374E84"/>
    <w:rsid w:val="0037591C"/>
    <w:rsid w:val="003777E5"/>
    <w:rsid w:val="00381290"/>
    <w:rsid w:val="003A0099"/>
    <w:rsid w:val="003A4257"/>
    <w:rsid w:val="003B524C"/>
    <w:rsid w:val="003B6598"/>
    <w:rsid w:val="003C04AA"/>
    <w:rsid w:val="003C2EB2"/>
    <w:rsid w:val="003C4B2C"/>
    <w:rsid w:val="003C7C9F"/>
    <w:rsid w:val="003D0F3E"/>
    <w:rsid w:val="003E3546"/>
    <w:rsid w:val="003E739F"/>
    <w:rsid w:val="00406F80"/>
    <w:rsid w:val="00413768"/>
    <w:rsid w:val="00424292"/>
    <w:rsid w:val="004270C2"/>
    <w:rsid w:val="004339CD"/>
    <w:rsid w:val="00433A93"/>
    <w:rsid w:val="0044246F"/>
    <w:rsid w:val="00442CBA"/>
    <w:rsid w:val="004500CA"/>
    <w:rsid w:val="00455B03"/>
    <w:rsid w:val="00460020"/>
    <w:rsid w:val="004616F0"/>
    <w:rsid w:val="00464A77"/>
    <w:rsid w:val="004666A5"/>
    <w:rsid w:val="00470685"/>
    <w:rsid w:val="00471FD7"/>
    <w:rsid w:val="00472716"/>
    <w:rsid w:val="00474D11"/>
    <w:rsid w:val="004768C8"/>
    <w:rsid w:val="0048237A"/>
    <w:rsid w:val="00483D1D"/>
    <w:rsid w:val="00491473"/>
    <w:rsid w:val="004A1B4F"/>
    <w:rsid w:val="004A234E"/>
    <w:rsid w:val="004B135C"/>
    <w:rsid w:val="004B69AE"/>
    <w:rsid w:val="004B7F64"/>
    <w:rsid w:val="004C2214"/>
    <w:rsid w:val="004C539F"/>
    <w:rsid w:val="004E3FDA"/>
    <w:rsid w:val="004E7FCE"/>
    <w:rsid w:val="004F253B"/>
    <w:rsid w:val="004F3E38"/>
    <w:rsid w:val="004F4BFB"/>
    <w:rsid w:val="0050287B"/>
    <w:rsid w:val="005105F5"/>
    <w:rsid w:val="00512C01"/>
    <w:rsid w:val="005205F9"/>
    <w:rsid w:val="00530FA3"/>
    <w:rsid w:val="00542D59"/>
    <w:rsid w:val="0054449A"/>
    <w:rsid w:val="0054677B"/>
    <w:rsid w:val="00586696"/>
    <w:rsid w:val="0059210E"/>
    <w:rsid w:val="0059503D"/>
    <w:rsid w:val="005A495E"/>
    <w:rsid w:val="005A5FEE"/>
    <w:rsid w:val="005A78D5"/>
    <w:rsid w:val="005B67C6"/>
    <w:rsid w:val="005D4CA2"/>
    <w:rsid w:val="005E6967"/>
    <w:rsid w:val="005F2C18"/>
    <w:rsid w:val="006032A9"/>
    <w:rsid w:val="00611347"/>
    <w:rsid w:val="00626443"/>
    <w:rsid w:val="00640AD5"/>
    <w:rsid w:val="006647BC"/>
    <w:rsid w:val="00665436"/>
    <w:rsid w:val="00671A54"/>
    <w:rsid w:val="00671F96"/>
    <w:rsid w:val="00672E3C"/>
    <w:rsid w:val="00685663"/>
    <w:rsid w:val="00694E0C"/>
    <w:rsid w:val="006A1234"/>
    <w:rsid w:val="006B2847"/>
    <w:rsid w:val="006B30C8"/>
    <w:rsid w:val="006B5E14"/>
    <w:rsid w:val="006D07CD"/>
    <w:rsid w:val="006E38F3"/>
    <w:rsid w:val="006E3EF8"/>
    <w:rsid w:val="006E4AF5"/>
    <w:rsid w:val="006F4640"/>
    <w:rsid w:val="00720FEE"/>
    <w:rsid w:val="007217EE"/>
    <w:rsid w:val="00727F37"/>
    <w:rsid w:val="007304FF"/>
    <w:rsid w:val="00747871"/>
    <w:rsid w:val="00751563"/>
    <w:rsid w:val="00760D1B"/>
    <w:rsid w:val="00761286"/>
    <w:rsid w:val="007720A6"/>
    <w:rsid w:val="0077218E"/>
    <w:rsid w:val="00777F5F"/>
    <w:rsid w:val="00783C26"/>
    <w:rsid w:val="00785F7F"/>
    <w:rsid w:val="00791052"/>
    <w:rsid w:val="007A3B50"/>
    <w:rsid w:val="007A4156"/>
    <w:rsid w:val="007B3E8D"/>
    <w:rsid w:val="007B75FF"/>
    <w:rsid w:val="007D3893"/>
    <w:rsid w:val="007E60E6"/>
    <w:rsid w:val="007E66BE"/>
    <w:rsid w:val="007F3BFC"/>
    <w:rsid w:val="007F5A13"/>
    <w:rsid w:val="007F70D9"/>
    <w:rsid w:val="008003FE"/>
    <w:rsid w:val="008040F7"/>
    <w:rsid w:val="0082658D"/>
    <w:rsid w:val="00826C7A"/>
    <w:rsid w:val="008354D1"/>
    <w:rsid w:val="00840CAD"/>
    <w:rsid w:val="00851683"/>
    <w:rsid w:val="008543F0"/>
    <w:rsid w:val="00860E19"/>
    <w:rsid w:val="008658B9"/>
    <w:rsid w:val="00867C49"/>
    <w:rsid w:val="00871E7B"/>
    <w:rsid w:val="0087526B"/>
    <w:rsid w:val="008851F4"/>
    <w:rsid w:val="00897C76"/>
    <w:rsid w:val="008A050C"/>
    <w:rsid w:val="008A21EB"/>
    <w:rsid w:val="008B6770"/>
    <w:rsid w:val="008C2345"/>
    <w:rsid w:val="008D5A0B"/>
    <w:rsid w:val="008E6D6A"/>
    <w:rsid w:val="008E6DB8"/>
    <w:rsid w:val="008F4AC2"/>
    <w:rsid w:val="0090336D"/>
    <w:rsid w:val="00904FBD"/>
    <w:rsid w:val="009332FD"/>
    <w:rsid w:val="00943422"/>
    <w:rsid w:val="009458BD"/>
    <w:rsid w:val="009545CF"/>
    <w:rsid w:val="0096791B"/>
    <w:rsid w:val="00973D68"/>
    <w:rsid w:val="00980C22"/>
    <w:rsid w:val="00991F57"/>
    <w:rsid w:val="00995CD3"/>
    <w:rsid w:val="009961C6"/>
    <w:rsid w:val="00996BF7"/>
    <w:rsid w:val="009A2588"/>
    <w:rsid w:val="009B6B30"/>
    <w:rsid w:val="009B6CD4"/>
    <w:rsid w:val="009E1219"/>
    <w:rsid w:val="009E4A72"/>
    <w:rsid w:val="009E66C7"/>
    <w:rsid w:val="009E6B3A"/>
    <w:rsid w:val="00A01C20"/>
    <w:rsid w:val="00A0495D"/>
    <w:rsid w:val="00A05D3A"/>
    <w:rsid w:val="00A05E14"/>
    <w:rsid w:val="00A06C33"/>
    <w:rsid w:val="00A13AAC"/>
    <w:rsid w:val="00A1401C"/>
    <w:rsid w:val="00A15628"/>
    <w:rsid w:val="00A3355F"/>
    <w:rsid w:val="00A410B1"/>
    <w:rsid w:val="00A530C5"/>
    <w:rsid w:val="00A53BCE"/>
    <w:rsid w:val="00A54314"/>
    <w:rsid w:val="00A635A9"/>
    <w:rsid w:val="00A75B73"/>
    <w:rsid w:val="00A835C1"/>
    <w:rsid w:val="00A85CC3"/>
    <w:rsid w:val="00A91878"/>
    <w:rsid w:val="00AD27F0"/>
    <w:rsid w:val="00AD3012"/>
    <w:rsid w:val="00AE2608"/>
    <w:rsid w:val="00AE5147"/>
    <w:rsid w:val="00AE60EF"/>
    <w:rsid w:val="00AF5C38"/>
    <w:rsid w:val="00B105F4"/>
    <w:rsid w:val="00B13F02"/>
    <w:rsid w:val="00B14A53"/>
    <w:rsid w:val="00B243A9"/>
    <w:rsid w:val="00B26179"/>
    <w:rsid w:val="00B26F85"/>
    <w:rsid w:val="00B32281"/>
    <w:rsid w:val="00B468C4"/>
    <w:rsid w:val="00B507E6"/>
    <w:rsid w:val="00B54938"/>
    <w:rsid w:val="00B63620"/>
    <w:rsid w:val="00B738A3"/>
    <w:rsid w:val="00B84475"/>
    <w:rsid w:val="00B87C85"/>
    <w:rsid w:val="00B9147E"/>
    <w:rsid w:val="00B94972"/>
    <w:rsid w:val="00BA40A1"/>
    <w:rsid w:val="00BB6180"/>
    <w:rsid w:val="00BC59AE"/>
    <w:rsid w:val="00BC7EB2"/>
    <w:rsid w:val="00BD6F3F"/>
    <w:rsid w:val="00BE4E07"/>
    <w:rsid w:val="00C305BD"/>
    <w:rsid w:val="00C4051C"/>
    <w:rsid w:val="00C56114"/>
    <w:rsid w:val="00C565E1"/>
    <w:rsid w:val="00C645FA"/>
    <w:rsid w:val="00C70012"/>
    <w:rsid w:val="00C7418F"/>
    <w:rsid w:val="00C76A64"/>
    <w:rsid w:val="00C90B28"/>
    <w:rsid w:val="00CA2432"/>
    <w:rsid w:val="00CA3652"/>
    <w:rsid w:val="00CA5883"/>
    <w:rsid w:val="00CB7E4D"/>
    <w:rsid w:val="00CC021C"/>
    <w:rsid w:val="00CC0CD5"/>
    <w:rsid w:val="00CC71F7"/>
    <w:rsid w:val="00CC7EA3"/>
    <w:rsid w:val="00CD02C4"/>
    <w:rsid w:val="00CE0676"/>
    <w:rsid w:val="00CF5303"/>
    <w:rsid w:val="00CF637F"/>
    <w:rsid w:val="00D01F49"/>
    <w:rsid w:val="00D05572"/>
    <w:rsid w:val="00D219D1"/>
    <w:rsid w:val="00D25EC3"/>
    <w:rsid w:val="00D52117"/>
    <w:rsid w:val="00D556E6"/>
    <w:rsid w:val="00D62CFF"/>
    <w:rsid w:val="00D84BBD"/>
    <w:rsid w:val="00D8750F"/>
    <w:rsid w:val="00D91D3F"/>
    <w:rsid w:val="00DA2B3F"/>
    <w:rsid w:val="00DA6E8A"/>
    <w:rsid w:val="00DB39AC"/>
    <w:rsid w:val="00DB7F20"/>
    <w:rsid w:val="00DC76DC"/>
    <w:rsid w:val="00DD7045"/>
    <w:rsid w:val="00DE75E6"/>
    <w:rsid w:val="00DF1C57"/>
    <w:rsid w:val="00DF540D"/>
    <w:rsid w:val="00E0217D"/>
    <w:rsid w:val="00E21D4E"/>
    <w:rsid w:val="00E21EA6"/>
    <w:rsid w:val="00E25F27"/>
    <w:rsid w:val="00E326A0"/>
    <w:rsid w:val="00E3420A"/>
    <w:rsid w:val="00E360B5"/>
    <w:rsid w:val="00E519B0"/>
    <w:rsid w:val="00E6133D"/>
    <w:rsid w:val="00E61393"/>
    <w:rsid w:val="00E63519"/>
    <w:rsid w:val="00E750E7"/>
    <w:rsid w:val="00E75124"/>
    <w:rsid w:val="00E86526"/>
    <w:rsid w:val="00E9112E"/>
    <w:rsid w:val="00EA3A3C"/>
    <w:rsid w:val="00EA43C8"/>
    <w:rsid w:val="00EA5738"/>
    <w:rsid w:val="00EA5B40"/>
    <w:rsid w:val="00EB073D"/>
    <w:rsid w:val="00EC3824"/>
    <w:rsid w:val="00EC43C9"/>
    <w:rsid w:val="00F02D46"/>
    <w:rsid w:val="00F0326C"/>
    <w:rsid w:val="00F043EB"/>
    <w:rsid w:val="00F21493"/>
    <w:rsid w:val="00F22566"/>
    <w:rsid w:val="00F31517"/>
    <w:rsid w:val="00F35321"/>
    <w:rsid w:val="00F614B8"/>
    <w:rsid w:val="00F649EE"/>
    <w:rsid w:val="00F8231D"/>
    <w:rsid w:val="00F85628"/>
    <w:rsid w:val="00FA3585"/>
    <w:rsid w:val="00FA50F9"/>
    <w:rsid w:val="00FA7686"/>
    <w:rsid w:val="00FB4418"/>
    <w:rsid w:val="00FC0D9D"/>
    <w:rsid w:val="00FC3594"/>
    <w:rsid w:val="00FD053F"/>
    <w:rsid w:val="00FD5DF7"/>
    <w:rsid w:val="00FE6A84"/>
    <w:rsid w:val="00FF0D68"/>
    <w:rsid w:val="00FF2A29"/>
    <w:rsid w:val="00FF4332"/>
    <w:rsid w:val="00FF5D0B"/>
    <w:rsid w:val="00FF69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22619"/>
  <w15:chartTrackingRefBased/>
  <w15:docId w15:val="{0BACA329-D68F-41E1-8712-30BE2256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824"/>
    <w:pPr>
      <w:spacing w:after="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410B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6133D"/>
    <w:rPr>
      <w:sz w:val="16"/>
      <w:szCs w:val="16"/>
    </w:rPr>
  </w:style>
  <w:style w:type="paragraph" w:styleId="CommentText">
    <w:name w:val="annotation text"/>
    <w:basedOn w:val="Normal"/>
    <w:link w:val="CommentTextChar"/>
    <w:uiPriority w:val="99"/>
    <w:unhideWhenUsed/>
    <w:rsid w:val="00E6133D"/>
    <w:rPr>
      <w:sz w:val="20"/>
      <w:szCs w:val="20"/>
    </w:rPr>
  </w:style>
  <w:style w:type="character" w:customStyle="1" w:styleId="CommentTextChar">
    <w:name w:val="Comment Text Char"/>
    <w:basedOn w:val="DefaultParagraphFont"/>
    <w:link w:val="CommentText"/>
    <w:uiPriority w:val="99"/>
    <w:rsid w:val="00E6133D"/>
    <w:rPr>
      <w:rFonts w:ascii="Times New Roman" w:eastAsia="Times New Roman" w:hAnsi="Times New Roman" w:cs="Times New Roman"/>
      <w:sz w:val="20"/>
      <w:szCs w:val="20"/>
    </w:rPr>
  </w:style>
  <w:style w:type="character" w:styleId="Hyperlink">
    <w:name w:val="Hyperlink"/>
    <w:basedOn w:val="DefaultParagraphFont"/>
    <w:uiPriority w:val="99"/>
    <w:unhideWhenUsed/>
    <w:rsid w:val="00E6133D"/>
    <w:rPr>
      <w:color w:val="0000FF" w:themeColor="hyperlink"/>
      <w:u w:val="single"/>
    </w:rPr>
  </w:style>
  <w:style w:type="paragraph" w:styleId="BalloonText">
    <w:name w:val="Balloon Text"/>
    <w:basedOn w:val="Normal"/>
    <w:link w:val="BalloonTextChar"/>
    <w:uiPriority w:val="99"/>
    <w:semiHidden/>
    <w:unhideWhenUsed/>
    <w:rsid w:val="00E6133D"/>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E6133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6133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6133D"/>
    <w:rPr>
      <w:rFonts w:ascii="Times New Roman" w:eastAsia="Times New Roman" w:hAnsi="Times New Roman" w:cs="Times New Roman"/>
      <w:b/>
      <w:bCs/>
      <w:sz w:val="20"/>
      <w:szCs w:val="20"/>
    </w:rPr>
  </w:style>
  <w:style w:type="paragraph" w:customStyle="1" w:styleId="SMcaption">
    <w:name w:val="SM caption"/>
    <w:basedOn w:val="Normal"/>
    <w:qFormat/>
    <w:rsid w:val="00483D1D"/>
    <w:rPr>
      <w:szCs w:val="20"/>
    </w:rPr>
  </w:style>
  <w:style w:type="paragraph" w:styleId="NormalWeb">
    <w:name w:val="Normal (Web)"/>
    <w:basedOn w:val="Normal"/>
    <w:uiPriority w:val="99"/>
    <w:semiHidden/>
    <w:rsid w:val="00483D1D"/>
  </w:style>
  <w:style w:type="character" w:customStyle="1" w:styleId="authorsname">
    <w:name w:val="authors__name"/>
    <w:basedOn w:val="DefaultParagraphFont"/>
    <w:rsid w:val="008C2345"/>
  </w:style>
  <w:style w:type="character" w:customStyle="1" w:styleId="affiliationname">
    <w:name w:val="affiliation__name"/>
    <w:basedOn w:val="DefaultParagraphFont"/>
    <w:rsid w:val="008C2345"/>
  </w:style>
  <w:style w:type="character" w:customStyle="1" w:styleId="affiliationcity">
    <w:name w:val="affiliation__city"/>
    <w:basedOn w:val="DefaultParagraphFont"/>
    <w:rsid w:val="008C2345"/>
  </w:style>
  <w:style w:type="character" w:customStyle="1" w:styleId="affiliationcountry">
    <w:name w:val="affiliation__country"/>
    <w:basedOn w:val="DefaultParagraphFont"/>
    <w:rsid w:val="008C2345"/>
  </w:style>
  <w:style w:type="character" w:styleId="FollowedHyperlink">
    <w:name w:val="FollowedHyperlink"/>
    <w:basedOn w:val="DefaultParagraphFont"/>
    <w:uiPriority w:val="99"/>
    <w:semiHidden/>
    <w:unhideWhenUsed/>
    <w:rsid w:val="008C2345"/>
    <w:rPr>
      <w:color w:val="800080" w:themeColor="followedHyperlink"/>
      <w:u w:val="single"/>
    </w:rPr>
  </w:style>
  <w:style w:type="paragraph" w:styleId="Revision">
    <w:name w:val="Revision"/>
    <w:hidden/>
    <w:uiPriority w:val="99"/>
    <w:semiHidden/>
    <w:rsid w:val="00826C7A"/>
    <w:pPr>
      <w:spacing w:after="0"/>
    </w:pPr>
  </w:style>
  <w:style w:type="paragraph" w:customStyle="1" w:styleId="SMHeading">
    <w:name w:val="SM Heading"/>
    <w:basedOn w:val="Heading1"/>
    <w:qFormat/>
    <w:rsid w:val="00A410B1"/>
    <w:pPr>
      <w:keepLines w:val="0"/>
      <w:spacing w:after="60"/>
    </w:pPr>
    <w:rPr>
      <w:rFonts w:ascii="Times New Roman" w:eastAsia="Times New Roman" w:hAnsi="Times New Roman" w:cs="Times New Roman"/>
      <w:b/>
      <w:bCs/>
      <w:color w:val="auto"/>
      <w:kern w:val="32"/>
      <w:sz w:val="24"/>
      <w:szCs w:val="24"/>
    </w:rPr>
  </w:style>
  <w:style w:type="paragraph" w:customStyle="1" w:styleId="SMText">
    <w:name w:val="SM Text"/>
    <w:basedOn w:val="Normal"/>
    <w:qFormat/>
    <w:rsid w:val="00A410B1"/>
    <w:pPr>
      <w:ind w:firstLine="480"/>
    </w:pPr>
    <w:rPr>
      <w:szCs w:val="20"/>
    </w:rPr>
  </w:style>
  <w:style w:type="character" w:customStyle="1" w:styleId="Heading1Char">
    <w:name w:val="Heading 1 Char"/>
    <w:basedOn w:val="DefaultParagraphFont"/>
    <w:link w:val="Heading1"/>
    <w:uiPriority w:val="9"/>
    <w:rsid w:val="00A410B1"/>
    <w:rPr>
      <w:rFonts w:asciiTheme="majorHAnsi" w:eastAsiaTheme="majorEastAsia" w:hAnsiTheme="majorHAnsi" w:cstheme="majorBidi"/>
      <w:color w:val="365F91" w:themeColor="accent1" w:themeShade="BF"/>
      <w:sz w:val="32"/>
      <w:szCs w:val="32"/>
    </w:rPr>
  </w:style>
  <w:style w:type="character" w:styleId="LineNumber">
    <w:name w:val="line number"/>
    <w:basedOn w:val="DefaultParagraphFont"/>
    <w:uiPriority w:val="99"/>
    <w:semiHidden/>
    <w:unhideWhenUsed/>
    <w:rsid w:val="00253C93"/>
  </w:style>
  <w:style w:type="paragraph" w:styleId="ListParagraph">
    <w:name w:val="List Paragraph"/>
    <w:basedOn w:val="Normal"/>
    <w:uiPriority w:val="34"/>
    <w:qFormat/>
    <w:rsid w:val="001705FA"/>
    <w:pPr>
      <w:ind w:left="720"/>
      <w:contextualSpacing/>
    </w:pPr>
  </w:style>
  <w:style w:type="character" w:styleId="UnresolvedMention">
    <w:name w:val="Unresolved Mention"/>
    <w:basedOn w:val="DefaultParagraphFont"/>
    <w:uiPriority w:val="99"/>
    <w:semiHidden/>
    <w:unhideWhenUsed/>
    <w:rsid w:val="00170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273077">
      <w:bodyDiv w:val="1"/>
      <w:marLeft w:val="0"/>
      <w:marRight w:val="0"/>
      <w:marTop w:val="0"/>
      <w:marBottom w:val="0"/>
      <w:divBdr>
        <w:top w:val="none" w:sz="0" w:space="0" w:color="auto"/>
        <w:left w:val="none" w:sz="0" w:space="0" w:color="auto"/>
        <w:bottom w:val="none" w:sz="0" w:space="0" w:color="auto"/>
        <w:right w:val="none" w:sz="0" w:space="0" w:color="auto"/>
      </w:divBdr>
    </w:div>
    <w:div w:id="516509539">
      <w:bodyDiv w:val="1"/>
      <w:marLeft w:val="0"/>
      <w:marRight w:val="0"/>
      <w:marTop w:val="0"/>
      <w:marBottom w:val="0"/>
      <w:divBdr>
        <w:top w:val="none" w:sz="0" w:space="0" w:color="auto"/>
        <w:left w:val="none" w:sz="0" w:space="0" w:color="auto"/>
        <w:bottom w:val="none" w:sz="0" w:space="0" w:color="auto"/>
        <w:right w:val="none" w:sz="0" w:space="0" w:color="auto"/>
      </w:divBdr>
    </w:div>
    <w:div w:id="776676639">
      <w:bodyDiv w:val="1"/>
      <w:marLeft w:val="0"/>
      <w:marRight w:val="0"/>
      <w:marTop w:val="0"/>
      <w:marBottom w:val="0"/>
      <w:divBdr>
        <w:top w:val="none" w:sz="0" w:space="0" w:color="auto"/>
        <w:left w:val="none" w:sz="0" w:space="0" w:color="auto"/>
        <w:bottom w:val="none" w:sz="0" w:space="0" w:color="auto"/>
        <w:right w:val="none" w:sz="0" w:space="0" w:color="auto"/>
      </w:divBdr>
    </w:div>
    <w:div w:id="1030253909">
      <w:bodyDiv w:val="1"/>
      <w:marLeft w:val="0"/>
      <w:marRight w:val="0"/>
      <w:marTop w:val="0"/>
      <w:marBottom w:val="0"/>
      <w:divBdr>
        <w:top w:val="none" w:sz="0" w:space="0" w:color="auto"/>
        <w:left w:val="none" w:sz="0" w:space="0" w:color="auto"/>
        <w:bottom w:val="none" w:sz="0" w:space="0" w:color="auto"/>
        <w:right w:val="none" w:sz="0" w:space="0" w:color="auto"/>
      </w:divBdr>
    </w:div>
    <w:div w:id="1033772982">
      <w:bodyDiv w:val="1"/>
      <w:marLeft w:val="0"/>
      <w:marRight w:val="0"/>
      <w:marTop w:val="0"/>
      <w:marBottom w:val="0"/>
      <w:divBdr>
        <w:top w:val="none" w:sz="0" w:space="0" w:color="auto"/>
        <w:left w:val="none" w:sz="0" w:space="0" w:color="auto"/>
        <w:bottom w:val="none" w:sz="0" w:space="0" w:color="auto"/>
        <w:right w:val="none" w:sz="0" w:space="0" w:color="auto"/>
      </w:divBdr>
    </w:div>
    <w:div w:id="1154416833">
      <w:bodyDiv w:val="1"/>
      <w:marLeft w:val="0"/>
      <w:marRight w:val="0"/>
      <w:marTop w:val="0"/>
      <w:marBottom w:val="0"/>
      <w:divBdr>
        <w:top w:val="none" w:sz="0" w:space="0" w:color="auto"/>
        <w:left w:val="none" w:sz="0" w:space="0" w:color="auto"/>
        <w:bottom w:val="none" w:sz="0" w:space="0" w:color="auto"/>
        <w:right w:val="none" w:sz="0" w:space="0" w:color="auto"/>
      </w:divBdr>
    </w:div>
    <w:div w:id="1203444046">
      <w:bodyDiv w:val="1"/>
      <w:marLeft w:val="0"/>
      <w:marRight w:val="0"/>
      <w:marTop w:val="0"/>
      <w:marBottom w:val="0"/>
      <w:divBdr>
        <w:top w:val="none" w:sz="0" w:space="0" w:color="auto"/>
        <w:left w:val="none" w:sz="0" w:space="0" w:color="auto"/>
        <w:bottom w:val="none" w:sz="0" w:space="0" w:color="auto"/>
        <w:right w:val="none" w:sz="0" w:space="0" w:color="auto"/>
      </w:divBdr>
    </w:div>
    <w:div w:id="1586645128">
      <w:bodyDiv w:val="1"/>
      <w:marLeft w:val="0"/>
      <w:marRight w:val="0"/>
      <w:marTop w:val="0"/>
      <w:marBottom w:val="0"/>
      <w:divBdr>
        <w:top w:val="none" w:sz="0" w:space="0" w:color="auto"/>
        <w:left w:val="none" w:sz="0" w:space="0" w:color="auto"/>
        <w:bottom w:val="none" w:sz="0" w:space="0" w:color="auto"/>
        <w:right w:val="none" w:sz="0" w:space="0" w:color="auto"/>
      </w:divBdr>
    </w:div>
    <w:div w:id="1695036448">
      <w:bodyDiv w:val="1"/>
      <w:marLeft w:val="0"/>
      <w:marRight w:val="0"/>
      <w:marTop w:val="0"/>
      <w:marBottom w:val="0"/>
      <w:divBdr>
        <w:top w:val="none" w:sz="0" w:space="0" w:color="auto"/>
        <w:left w:val="none" w:sz="0" w:space="0" w:color="auto"/>
        <w:bottom w:val="none" w:sz="0" w:space="0" w:color="auto"/>
        <w:right w:val="none" w:sz="0" w:space="0" w:color="auto"/>
      </w:divBdr>
    </w:div>
    <w:div w:id="1859545087">
      <w:bodyDiv w:val="1"/>
      <w:marLeft w:val="0"/>
      <w:marRight w:val="0"/>
      <w:marTop w:val="0"/>
      <w:marBottom w:val="0"/>
      <w:divBdr>
        <w:top w:val="none" w:sz="0" w:space="0" w:color="auto"/>
        <w:left w:val="none" w:sz="0" w:space="0" w:color="auto"/>
        <w:bottom w:val="none" w:sz="0" w:space="0" w:color="auto"/>
        <w:right w:val="none" w:sz="0" w:space="0" w:color="auto"/>
      </w:divBdr>
    </w:div>
    <w:div w:id="1890989127">
      <w:bodyDiv w:val="1"/>
      <w:marLeft w:val="0"/>
      <w:marRight w:val="0"/>
      <w:marTop w:val="0"/>
      <w:marBottom w:val="0"/>
      <w:divBdr>
        <w:top w:val="none" w:sz="0" w:space="0" w:color="auto"/>
        <w:left w:val="none" w:sz="0" w:space="0" w:color="auto"/>
        <w:bottom w:val="none" w:sz="0" w:space="0" w:color="auto"/>
        <w:right w:val="none" w:sz="0" w:space="0" w:color="auto"/>
      </w:divBdr>
    </w:div>
    <w:div w:id="1978100332">
      <w:bodyDiv w:val="1"/>
      <w:marLeft w:val="0"/>
      <w:marRight w:val="0"/>
      <w:marTop w:val="0"/>
      <w:marBottom w:val="0"/>
      <w:divBdr>
        <w:top w:val="none" w:sz="0" w:space="0" w:color="auto"/>
        <w:left w:val="none" w:sz="0" w:space="0" w:color="auto"/>
        <w:bottom w:val="none" w:sz="0" w:space="0" w:color="auto"/>
        <w:right w:val="none" w:sz="0" w:space="0" w:color="auto"/>
      </w:divBdr>
    </w:div>
    <w:div w:id="207214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6AEB5-D283-4868-83A3-9ACBA3DAB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1961</Words>
  <Characters>11183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The National Academies</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Shuler, Megan</dc:creator>
  <cp:keywords/>
  <dc:description/>
  <cp:lastModifiedBy>Cushman, Katherine</cp:lastModifiedBy>
  <cp:revision>5</cp:revision>
  <cp:lastPrinted>2021-01-25T22:37:00Z</cp:lastPrinted>
  <dcterms:created xsi:type="dcterms:W3CDTF">2021-03-25T18:23:00Z</dcterms:created>
  <dcterms:modified xsi:type="dcterms:W3CDTF">2021-03-30T17:44:00Z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Unique User Id_1">
    <vt:lpwstr>d905bffd-f475-3bfe-8c62-a2e401e6330e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http://www.zotero.org/styles/biotropica</vt:lpwstr>
  </property>
  <property fmtid="{D5CDD505-2E9C-101B-9397-08002B2CF9AE}" pid="10" name="Mendeley Recent Style Name 3_1">
    <vt:lpwstr>Biotropica</vt:lpwstr>
  </property>
  <property fmtid="{D5CDD505-2E9C-101B-9397-08002B2CF9AE}" pid="11" name="Mendeley Recent Style Id 4_1">
    <vt:lpwstr>http://www.zotero.org/styles/ecology-letters</vt:lpwstr>
  </property>
  <property fmtid="{D5CDD505-2E9C-101B-9397-08002B2CF9AE}" pid="12" name="Mendeley Recent Style Name 4_1">
    <vt:lpwstr>Ecology Letters</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http://www.zotero.org/styles/remote-sensing</vt:lpwstr>
  </property>
  <property fmtid="{D5CDD505-2E9C-101B-9397-08002B2CF9AE}" pid="22" name="Mendeley Recent Style Name 9_1">
    <vt:lpwstr>Remote Sensing</vt:lpwstr>
  </property>
  <property fmtid="{D5CDD505-2E9C-101B-9397-08002B2CF9AE}" pid="23" name="Mendeley Document_1">
    <vt:lpwstr>True</vt:lpwstr>
  </property>
  <property fmtid="{D5CDD505-2E9C-101B-9397-08002B2CF9AE}" pid="24" name="Mendeley Citation Style_1">
    <vt:lpwstr>http://www.zotero.org/styles/nature</vt:lpwstr>
  </property>
</Properties>
</file>