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DE6A8C" w14:textId="18F2955D" w:rsidR="002C3A8F" w:rsidRPr="00DD3193" w:rsidRDefault="002C3A8F" w:rsidP="002C3A8F">
      <w:pPr>
        <w:rPr>
          <w:b/>
          <w:bCs/>
          <w:sz w:val="22"/>
          <w:szCs w:val="22"/>
          <w:lang w:val="en-GB"/>
        </w:rPr>
      </w:pPr>
      <w:r w:rsidRPr="00DD3193">
        <w:rPr>
          <w:b/>
          <w:bCs/>
          <w:sz w:val="22"/>
          <w:szCs w:val="22"/>
          <w:lang w:val="en-US"/>
        </w:rPr>
        <w:t>Supplementary Table 3</w:t>
      </w:r>
      <w:r w:rsidRPr="00DD3193">
        <w:rPr>
          <w:b/>
          <w:bCs/>
          <w:sz w:val="22"/>
          <w:szCs w:val="22"/>
          <w:lang w:val="en-GB"/>
        </w:rPr>
        <w:t xml:space="preserve">: </w:t>
      </w:r>
      <w:r w:rsidR="00F71F4F" w:rsidRPr="00DD3193">
        <w:rPr>
          <w:b/>
          <w:bCs/>
          <w:sz w:val="22"/>
          <w:szCs w:val="22"/>
          <w:lang w:val="en-GB"/>
        </w:rPr>
        <w:t>C</w:t>
      </w:r>
      <w:r w:rsidRPr="00DD3193">
        <w:rPr>
          <w:b/>
          <w:bCs/>
          <w:sz w:val="22"/>
          <w:szCs w:val="22"/>
          <w:lang w:val="en-GB"/>
        </w:rPr>
        <w:t>omparison of incidence rates and hazard ratios when entering AKI criteria as time-fixed vs time-varying covariates in a Cox model</w:t>
      </w:r>
      <w:r w:rsidR="00F71F4F" w:rsidRPr="00DD3193">
        <w:rPr>
          <w:b/>
          <w:bCs/>
          <w:sz w:val="22"/>
          <w:szCs w:val="22"/>
          <w:lang w:val="en-GB"/>
        </w:rPr>
        <w:t xml:space="preserve"> (</w:t>
      </w:r>
      <w:r w:rsidR="003B2BD1" w:rsidRPr="00DD3193">
        <w:rPr>
          <w:b/>
          <w:bCs/>
          <w:sz w:val="22"/>
          <w:szCs w:val="22"/>
          <w:lang w:val="en-GB"/>
        </w:rPr>
        <w:t>sensitivity analysis to</w:t>
      </w:r>
      <w:r w:rsidR="00F71F4F" w:rsidRPr="00DD3193">
        <w:rPr>
          <w:b/>
          <w:bCs/>
          <w:sz w:val="22"/>
          <w:szCs w:val="22"/>
          <w:lang w:val="en-GB"/>
        </w:rPr>
        <w:t xml:space="preserve"> illustrat</w:t>
      </w:r>
      <w:r w:rsidR="003B2BD1" w:rsidRPr="00DD3193">
        <w:rPr>
          <w:b/>
          <w:bCs/>
          <w:sz w:val="22"/>
          <w:szCs w:val="22"/>
          <w:lang w:val="en-GB"/>
        </w:rPr>
        <w:t>e</w:t>
      </w:r>
      <w:r w:rsidR="00F71F4F" w:rsidRPr="00DD3193">
        <w:rPr>
          <w:b/>
          <w:bCs/>
          <w:sz w:val="22"/>
          <w:szCs w:val="22"/>
          <w:lang w:val="en-GB"/>
        </w:rPr>
        <w:t xml:space="preserve"> immortal time bias)</w:t>
      </w:r>
    </w:p>
    <w:p w14:paraId="108DC913" w14:textId="77777777" w:rsidR="00302264" w:rsidRPr="008035DA" w:rsidRDefault="00302264" w:rsidP="002C3A8F">
      <w:pPr>
        <w:rPr>
          <w:b/>
          <w:bCs/>
          <w:lang w:val="en-GB"/>
        </w:rPr>
      </w:pPr>
    </w:p>
    <w:tbl>
      <w:tblPr>
        <w:tblStyle w:val="Tabelraster"/>
        <w:tblW w:w="1318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1347"/>
        <w:gridCol w:w="1347"/>
        <w:gridCol w:w="1559"/>
        <w:gridCol w:w="1417"/>
        <w:gridCol w:w="1417"/>
        <w:gridCol w:w="1560"/>
        <w:gridCol w:w="1843"/>
        <w:gridCol w:w="1559"/>
      </w:tblGrid>
      <w:tr w:rsidR="002C3A8F" w:rsidRPr="00A1351B" w14:paraId="63794CA2" w14:textId="77777777" w:rsidTr="00677F6E">
        <w:tc>
          <w:tcPr>
            <w:tcW w:w="1134" w:type="dxa"/>
            <w:vMerge w:val="restart"/>
          </w:tcPr>
          <w:p w14:paraId="5BAA65C2" w14:textId="77777777" w:rsidR="002C3A8F" w:rsidRPr="00A1351B" w:rsidRDefault="002C3A8F" w:rsidP="00CC2943">
            <w:pPr>
              <w:rPr>
                <w:sz w:val="18"/>
                <w:szCs w:val="18"/>
                <w:lang w:val="en-GB"/>
              </w:rPr>
            </w:pPr>
            <w:r w:rsidRPr="00A1351B">
              <w:rPr>
                <w:sz w:val="18"/>
                <w:szCs w:val="18"/>
                <w:lang w:val="en-GB"/>
              </w:rPr>
              <w:t>KDIGO stage</w:t>
            </w:r>
            <w:r w:rsidRPr="00A1351B">
              <w:rPr>
                <w:rFonts w:cstheme="minorHAnsi"/>
                <w:sz w:val="18"/>
                <w:szCs w:val="18"/>
                <w:lang w:val="en-GB"/>
              </w:rPr>
              <w:t>≥</w:t>
            </w:r>
            <w:r w:rsidRPr="00A1351B">
              <w:rPr>
                <w:sz w:val="18"/>
                <w:szCs w:val="18"/>
                <w:lang w:val="en-GB"/>
              </w:rPr>
              <w:t>2 criterion</w:t>
            </w:r>
          </w:p>
        </w:tc>
        <w:tc>
          <w:tcPr>
            <w:tcW w:w="2694" w:type="dxa"/>
            <w:gridSpan w:val="2"/>
          </w:tcPr>
          <w:p w14:paraId="330EA8B5" w14:textId="77777777" w:rsidR="002C3A8F" w:rsidRPr="00A1351B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 w:rsidRPr="00A1351B">
              <w:rPr>
                <w:sz w:val="18"/>
                <w:szCs w:val="18"/>
                <w:lang w:val="en-GB"/>
              </w:rPr>
              <w:t xml:space="preserve">Incidence rate of ICU mortality </w:t>
            </w:r>
            <w:r w:rsidRPr="00A1351B">
              <w:rPr>
                <w:sz w:val="18"/>
                <w:szCs w:val="18"/>
                <w:lang w:val="en-GB"/>
              </w:rPr>
              <w:br/>
              <w:t>(estimated number of ICU deaths per 1,000 patient days at risk)</w:t>
            </w:r>
          </w:p>
        </w:tc>
        <w:tc>
          <w:tcPr>
            <w:tcW w:w="1559" w:type="dxa"/>
            <w:vMerge w:val="restart"/>
          </w:tcPr>
          <w:p w14:paraId="546AEA70" w14:textId="77777777" w:rsidR="002C3A8F" w:rsidRPr="00A1351B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 w:rsidRPr="00A1351B">
              <w:rPr>
                <w:sz w:val="18"/>
                <w:szCs w:val="18"/>
                <w:lang w:val="en-GB"/>
              </w:rPr>
              <w:t>Incidence rate ratio of ICU mortality</w:t>
            </w:r>
            <w:r w:rsidRPr="00677F6E">
              <w:rPr>
                <w:sz w:val="18"/>
                <w:szCs w:val="18"/>
                <w:vertAlign w:val="superscript"/>
                <w:lang w:val="en-GB"/>
              </w:rPr>
              <w:t>1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br/>
            </w:r>
            <w:r w:rsidRPr="00A1351B">
              <w:rPr>
                <w:sz w:val="18"/>
                <w:szCs w:val="18"/>
                <w:lang w:val="en-GB"/>
              </w:rPr>
              <w:t>(95% CI)</w:t>
            </w:r>
          </w:p>
        </w:tc>
        <w:tc>
          <w:tcPr>
            <w:tcW w:w="1417" w:type="dxa"/>
            <w:vMerge w:val="restart"/>
          </w:tcPr>
          <w:p w14:paraId="24B0BDDB" w14:textId="77777777" w:rsidR="002C3A8F" w:rsidRPr="00A1351B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Unadjusted c</w:t>
            </w:r>
            <w:r w:rsidRPr="00A1351B">
              <w:rPr>
                <w:sz w:val="18"/>
                <w:szCs w:val="18"/>
                <w:lang w:val="en-GB"/>
              </w:rPr>
              <w:t>ause-specific hazard ratio of ICU mortality</w:t>
            </w:r>
            <w:r w:rsidRPr="00677F6E">
              <w:rPr>
                <w:sz w:val="18"/>
                <w:szCs w:val="18"/>
                <w:vertAlign w:val="superscript"/>
                <w:lang w:val="en-GB"/>
              </w:rPr>
              <w:t>2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Pr="00A1351B">
              <w:rPr>
                <w:sz w:val="18"/>
                <w:szCs w:val="18"/>
                <w:lang w:val="en-GB"/>
              </w:rPr>
              <w:t>(95% CI)</w:t>
            </w:r>
          </w:p>
        </w:tc>
        <w:tc>
          <w:tcPr>
            <w:tcW w:w="2977" w:type="dxa"/>
            <w:gridSpan w:val="2"/>
          </w:tcPr>
          <w:p w14:paraId="2B703501" w14:textId="77777777" w:rsidR="002C3A8F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Naïve</w:t>
            </w:r>
            <w:r>
              <w:rPr>
                <w:sz w:val="18"/>
                <w:szCs w:val="18"/>
                <w:vertAlign w:val="superscript"/>
                <w:lang w:val="en-GB"/>
              </w:rPr>
              <w:t>3</w:t>
            </w:r>
            <w:r>
              <w:rPr>
                <w:sz w:val="18"/>
                <w:szCs w:val="18"/>
                <w:lang w:val="en-GB"/>
              </w:rPr>
              <w:t xml:space="preserve"> i</w:t>
            </w:r>
            <w:r w:rsidRPr="00A1351B">
              <w:rPr>
                <w:sz w:val="18"/>
                <w:szCs w:val="18"/>
                <w:lang w:val="en-GB"/>
              </w:rPr>
              <w:t xml:space="preserve">ncidence rate of ICU mortality (estimated number of ICU deaths </w:t>
            </w:r>
            <w:r>
              <w:rPr>
                <w:sz w:val="18"/>
                <w:szCs w:val="18"/>
                <w:lang w:val="en-GB"/>
              </w:rPr>
              <w:br/>
            </w:r>
            <w:r w:rsidRPr="00A1351B">
              <w:rPr>
                <w:sz w:val="18"/>
                <w:szCs w:val="18"/>
                <w:lang w:val="en-GB"/>
              </w:rPr>
              <w:t>per 1,000 patient days at risk)</w:t>
            </w:r>
          </w:p>
        </w:tc>
        <w:tc>
          <w:tcPr>
            <w:tcW w:w="1843" w:type="dxa"/>
            <w:vMerge w:val="restart"/>
          </w:tcPr>
          <w:p w14:paraId="0AAE34EB" w14:textId="77777777" w:rsidR="002C3A8F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Naïve</w:t>
            </w:r>
            <w:r>
              <w:rPr>
                <w:sz w:val="18"/>
                <w:szCs w:val="18"/>
                <w:vertAlign w:val="superscript"/>
                <w:lang w:val="en-GB"/>
              </w:rPr>
              <w:t>3</w:t>
            </w:r>
            <w:r>
              <w:rPr>
                <w:sz w:val="18"/>
                <w:szCs w:val="18"/>
                <w:lang w:val="en-GB"/>
              </w:rPr>
              <w:t xml:space="preserve"> i</w:t>
            </w:r>
            <w:r w:rsidRPr="00A1351B">
              <w:rPr>
                <w:sz w:val="18"/>
                <w:szCs w:val="18"/>
                <w:lang w:val="en-GB"/>
              </w:rPr>
              <w:t>ncidence rate ratio of ICU mortality</w:t>
            </w:r>
            <w:r w:rsidRPr="00677F6E">
              <w:rPr>
                <w:sz w:val="18"/>
                <w:szCs w:val="18"/>
                <w:vertAlign w:val="superscript"/>
                <w:lang w:val="en-GB"/>
              </w:rPr>
              <w:t>1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br/>
            </w:r>
            <w:r w:rsidRPr="00A1351B">
              <w:rPr>
                <w:sz w:val="18"/>
                <w:szCs w:val="18"/>
                <w:lang w:val="en-GB"/>
              </w:rPr>
              <w:t>(95% CI)</w:t>
            </w:r>
          </w:p>
        </w:tc>
        <w:tc>
          <w:tcPr>
            <w:tcW w:w="1559" w:type="dxa"/>
            <w:vMerge w:val="restart"/>
          </w:tcPr>
          <w:p w14:paraId="5830CEC5" w14:textId="77777777" w:rsidR="002C3A8F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Naïve unadjusted c</w:t>
            </w:r>
            <w:r w:rsidRPr="00A1351B">
              <w:rPr>
                <w:sz w:val="18"/>
                <w:szCs w:val="18"/>
                <w:lang w:val="en-GB"/>
              </w:rPr>
              <w:t>ause-specific hazard ratio of ICU mortality</w:t>
            </w:r>
            <w:r>
              <w:rPr>
                <w:sz w:val="18"/>
                <w:szCs w:val="18"/>
                <w:vertAlign w:val="superscript"/>
                <w:lang w:val="en-GB"/>
              </w:rPr>
              <w:t>4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Pr="00A1351B">
              <w:rPr>
                <w:sz w:val="18"/>
                <w:szCs w:val="18"/>
                <w:lang w:val="en-GB"/>
              </w:rPr>
              <w:t>(95% CI)</w:t>
            </w:r>
          </w:p>
        </w:tc>
      </w:tr>
      <w:tr w:rsidR="002C3A8F" w:rsidRPr="00A1351B" w14:paraId="3CF9B266" w14:textId="77777777" w:rsidTr="00677F6E">
        <w:tc>
          <w:tcPr>
            <w:tcW w:w="1134" w:type="dxa"/>
            <w:vMerge/>
          </w:tcPr>
          <w:p w14:paraId="3F7DC05D" w14:textId="77777777" w:rsidR="002C3A8F" w:rsidRPr="00A1351B" w:rsidRDefault="002C3A8F" w:rsidP="00CC2943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347" w:type="dxa"/>
          </w:tcPr>
          <w:p w14:paraId="56497DA2" w14:textId="77777777" w:rsidR="002C3A8F" w:rsidRPr="00A1351B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 w:rsidRPr="00A1351B">
              <w:rPr>
                <w:sz w:val="18"/>
                <w:szCs w:val="18"/>
                <w:lang w:val="en-GB"/>
              </w:rPr>
              <w:t xml:space="preserve">Patient days </w:t>
            </w:r>
            <w:r>
              <w:rPr>
                <w:sz w:val="18"/>
                <w:szCs w:val="18"/>
                <w:lang w:val="en-GB"/>
              </w:rPr>
              <w:br/>
            </w:r>
            <w:r w:rsidRPr="00A1351B">
              <w:rPr>
                <w:sz w:val="18"/>
                <w:szCs w:val="18"/>
                <w:lang w:val="en-GB"/>
              </w:rPr>
              <w:t>with AKI</w:t>
            </w:r>
          </w:p>
        </w:tc>
        <w:tc>
          <w:tcPr>
            <w:tcW w:w="1347" w:type="dxa"/>
          </w:tcPr>
          <w:p w14:paraId="5C65A57D" w14:textId="77777777" w:rsidR="002C3A8F" w:rsidRPr="00A1351B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 w:rsidRPr="00A1351B">
              <w:rPr>
                <w:sz w:val="18"/>
                <w:szCs w:val="18"/>
                <w:lang w:val="en-GB"/>
              </w:rPr>
              <w:t>Patient days without AKI</w:t>
            </w:r>
          </w:p>
        </w:tc>
        <w:tc>
          <w:tcPr>
            <w:tcW w:w="1559" w:type="dxa"/>
            <w:vMerge/>
          </w:tcPr>
          <w:p w14:paraId="428A8CFE" w14:textId="77777777" w:rsidR="002C3A8F" w:rsidRPr="00A1351B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vMerge/>
          </w:tcPr>
          <w:p w14:paraId="584FCB48" w14:textId="77777777" w:rsidR="002C3A8F" w:rsidRPr="00A1351B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14:paraId="08366F4A" w14:textId="77777777" w:rsidR="002C3A8F" w:rsidRPr="00A1351B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 w:rsidRPr="00A1351B">
              <w:rPr>
                <w:sz w:val="18"/>
                <w:szCs w:val="18"/>
                <w:lang w:val="en-GB"/>
              </w:rPr>
              <w:t>Patient days with AKI</w:t>
            </w:r>
          </w:p>
        </w:tc>
        <w:tc>
          <w:tcPr>
            <w:tcW w:w="1560" w:type="dxa"/>
          </w:tcPr>
          <w:p w14:paraId="2B580D1A" w14:textId="77777777" w:rsidR="002C3A8F" w:rsidRPr="00A1351B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 w:rsidRPr="00A1351B">
              <w:rPr>
                <w:sz w:val="18"/>
                <w:szCs w:val="18"/>
                <w:lang w:val="en-GB"/>
              </w:rPr>
              <w:t xml:space="preserve">Patient days </w:t>
            </w:r>
            <w:r>
              <w:rPr>
                <w:sz w:val="18"/>
                <w:szCs w:val="18"/>
                <w:lang w:val="en-GB"/>
              </w:rPr>
              <w:br/>
            </w:r>
            <w:r w:rsidRPr="00A1351B">
              <w:rPr>
                <w:sz w:val="18"/>
                <w:szCs w:val="18"/>
                <w:lang w:val="en-GB"/>
              </w:rPr>
              <w:t>with</w:t>
            </w:r>
            <w:r>
              <w:rPr>
                <w:sz w:val="18"/>
                <w:szCs w:val="18"/>
                <w:lang w:val="en-GB"/>
              </w:rPr>
              <w:t>out</w:t>
            </w:r>
            <w:r w:rsidRPr="00A1351B">
              <w:rPr>
                <w:sz w:val="18"/>
                <w:szCs w:val="18"/>
                <w:lang w:val="en-GB"/>
              </w:rPr>
              <w:t xml:space="preserve"> AKI</w:t>
            </w:r>
          </w:p>
        </w:tc>
        <w:tc>
          <w:tcPr>
            <w:tcW w:w="1843" w:type="dxa"/>
            <w:vMerge/>
          </w:tcPr>
          <w:p w14:paraId="6BFB6028" w14:textId="77777777" w:rsidR="002C3A8F" w:rsidRPr="00A1351B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vMerge/>
          </w:tcPr>
          <w:p w14:paraId="25A4C3D6" w14:textId="77777777" w:rsidR="002C3A8F" w:rsidRPr="00A1351B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2C3A8F" w:rsidRPr="00A1351B" w14:paraId="6AEC6F9F" w14:textId="77777777" w:rsidTr="00677F6E">
        <w:tc>
          <w:tcPr>
            <w:tcW w:w="1134" w:type="dxa"/>
            <w:shd w:val="clear" w:color="auto" w:fill="auto"/>
          </w:tcPr>
          <w:p w14:paraId="523DBBBC" w14:textId="77777777" w:rsidR="002C3A8F" w:rsidRPr="00B77AAE" w:rsidRDefault="002C3A8F" w:rsidP="00CC2943">
            <w:pPr>
              <w:rPr>
                <w:sz w:val="18"/>
                <w:szCs w:val="18"/>
                <w:lang w:val="en-GB"/>
              </w:rPr>
            </w:pPr>
            <w:r w:rsidRPr="00B77AAE">
              <w:rPr>
                <w:sz w:val="18"/>
                <w:szCs w:val="18"/>
                <w:lang w:val="en-GB"/>
              </w:rPr>
              <w:t xml:space="preserve">SCrea </w:t>
            </w:r>
          </w:p>
        </w:tc>
        <w:tc>
          <w:tcPr>
            <w:tcW w:w="1347" w:type="dxa"/>
            <w:shd w:val="clear" w:color="auto" w:fill="auto"/>
          </w:tcPr>
          <w:p w14:paraId="2557FC7B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 w:rsidRPr="00B77AAE">
              <w:rPr>
                <w:sz w:val="18"/>
                <w:szCs w:val="18"/>
                <w:lang w:val="en-GB"/>
              </w:rPr>
              <w:t>31.3</w:t>
            </w:r>
          </w:p>
        </w:tc>
        <w:tc>
          <w:tcPr>
            <w:tcW w:w="1347" w:type="dxa"/>
            <w:shd w:val="clear" w:color="auto" w:fill="auto"/>
          </w:tcPr>
          <w:p w14:paraId="3B7DC4B7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 w:rsidRPr="00B77AAE">
              <w:rPr>
                <w:sz w:val="18"/>
                <w:szCs w:val="18"/>
                <w:lang w:val="en-GB"/>
              </w:rPr>
              <w:t>16.1</w:t>
            </w:r>
          </w:p>
        </w:tc>
        <w:tc>
          <w:tcPr>
            <w:tcW w:w="1559" w:type="dxa"/>
            <w:shd w:val="clear" w:color="auto" w:fill="auto"/>
          </w:tcPr>
          <w:p w14:paraId="62F065A3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 w:rsidRPr="00A1351B">
              <w:rPr>
                <w:sz w:val="18"/>
                <w:szCs w:val="18"/>
                <w:lang w:val="en-GB"/>
              </w:rPr>
              <w:t>1.94 (1.71-2.20)</w:t>
            </w:r>
          </w:p>
        </w:tc>
        <w:tc>
          <w:tcPr>
            <w:tcW w:w="1417" w:type="dxa"/>
            <w:shd w:val="clear" w:color="auto" w:fill="auto"/>
          </w:tcPr>
          <w:p w14:paraId="3B781128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 w:rsidRPr="00A1351B">
              <w:rPr>
                <w:sz w:val="18"/>
                <w:szCs w:val="18"/>
                <w:lang w:val="en-GB"/>
              </w:rPr>
              <w:t>2.11 (1.85-2.42)</w:t>
            </w:r>
          </w:p>
        </w:tc>
        <w:tc>
          <w:tcPr>
            <w:tcW w:w="1417" w:type="dxa"/>
          </w:tcPr>
          <w:p w14:paraId="0836F770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26.5</w:t>
            </w:r>
          </w:p>
        </w:tc>
        <w:tc>
          <w:tcPr>
            <w:tcW w:w="1560" w:type="dxa"/>
          </w:tcPr>
          <w:p w14:paraId="3FBF373D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17.1</w:t>
            </w:r>
          </w:p>
        </w:tc>
        <w:tc>
          <w:tcPr>
            <w:tcW w:w="1843" w:type="dxa"/>
          </w:tcPr>
          <w:p w14:paraId="25B6F7CD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1.55 (1.37-1.76)</w:t>
            </w:r>
          </w:p>
        </w:tc>
        <w:tc>
          <w:tcPr>
            <w:tcW w:w="1559" w:type="dxa"/>
          </w:tcPr>
          <w:p w14:paraId="774D48BD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1.62 (1.42-1.84)</w:t>
            </w:r>
          </w:p>
        </w:tc>
      </w:tr>
      <w:tr w:rsidR="002C3A8F" w:rsidRPr="00A1351B" w14:paraId="629C01D5" w14:textId="77777777" w:rsidTr="00677F6E">
        <w:tc>
          <w:tcPr>
            <w:tcW w:w="1134" w:type="dxa"/>
            <w:shd w:val="clear" w:color="auto" w:fill="auto"/>
          </w:tcPr>
          <w:p w14:paraId="0B83156F" w14:textId="77777777" w:rsidR="002C3A8F" w:rsidRPr="00B77AAE" w:rsidRDefault="002C3A8F" w:rsidP="00CC2943">
            <w:pPr>
              <w:rPr>
                <w:sz w:val="18"/>
                <w:szCs w:val="18"/>
                <w:vertAlign w:val="superscript"/>
                <w:lang w:val="en-GB"/>
              </w:rPr>
            </w:pPr>
            <w:r w:rsidRPr="00B77AAE">
              <w:rPr>
                <w:sz w:val="18"/>
                <w:szCs w:val="18"/>
                <w:lang w:val="en-GB"/>
              </w:rPr>
              <w:t>UO-1</w:t>
            </w:r>
          </w:p>
        </w:tc>
        <w:tc>
          <w:tcPr>
            <w:tcW w:w="1347" w:type="dxa"/>
            <w:shd w:val="clear" w:color="auto" w:fill="auto"/>
          </w:tcPr>
          <w:p w14:paraId="3EDA01BD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 w:rsidRPr="00B77AAE">
              <w:rPr>
                <w:sz w:val="18"/>
                <w:szCs w:val="18"/>
                <w:lang w:val="en-GB"/>
              </w:rPr>
              <w:t>27.2</w:t>
            </w:r>
          </w:p>
        </w:tc>
        <w:tc>
          <w:tcPr>
            <w:tcW w:w="1347" w:type="dxa"/>
            <w:shd w:val="clear" w:color="auto" w:fill="auto"/>
          </w:tcPr>
          <w:p w14:paraId="4C819543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 w:rsidRPr="00B77AAE">
              <w:rPr>
                <w:sz w:val="18"/>
                <w:szCs w:val="18"/>
                <w:lang w:val="en-GB"/>
              </w:rPr>
              <w:t>12.6</w:t>
            </w:r>
          </w:p>
        </w:tc>
        <w:tc>
          <w:tcPr>
            <w:tcW w:w="1559" w:type="dxa"/>
            <w:shd w:val="clear" w:color="auto" w:fill="auto"/>
          </w:tcPr>
          <w:p w14:paraId="224810DF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 w:rsidRPr="00D5605F">
              <w:rPr>
                <w:sz w:val="18"/>
                <w:szCs w:val="18"/>
                <w:lang w:val="en-GB"/>
              </w:rPr>
              <w:t>2.16 (1.90-2.46)</w:t>
            </w:r>
          </w:p>
        </w:tc>
        <w:tc>
          <w:tcPr>
            <w:tcW w:w="1417" w:type="dxa"/>
            <w:shd w:val="clear" w:color="auto" w:fill="auto"/>
          </w:tcPr>
          <w:p w14:paraId="41BBF335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 w:rsidRPr="00D5605F">
              <w:rPr>
                <w:sz w:val="18"/>
                <w:szCs w:val="18"/>
                <w:lang w:val="en-GB"/>
              </w:rPr>
              <w:t>3.00 (2.55-3.54)</w:t>
            </w:r>
          </w:p>
        </w:tc>
        <w:tc>
          <w:tcPr>
            <w:tcW w:w="1417" w:type="dxa"/>
          </w:tcPr>
          <w:p w14:paraId="626E1AEF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21.6</w:t>
            </w:r>
          </w:p>
        </w:tc>
        <w:tc>
          <w:tcPr>
            <w:tcW w:w="1560" w:type="dxa"/>
          </w:tcPr>
          <w:p w14:paraId="350C2522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16.6</w:t>
            </w:r>
          </w:p>
        </w:tc>
        <w:tc>
          <w:tcPr>
            <w:tcW w:w="1843" w:type="dxa"/>
          </w:tcPr>
          <w:p w14:paraId="2DF948D1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1.30 (1.14-1.48)</w:t>
            </w:r>
          </w:p>
        </w:tc>
        <w:tc>
          <w:tcPr>
            <w:tcW w:w="1559" w:type="dxa"/>
          </w:tcPr>
          <w:p w14:paraId="4F6B4DFF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1.34 (1.17-1.53)</w:t>
            </w:r>
          </w:p>
        </w:tc>
      </w:tr>
      <w:tr w:rsidR="002C3A8F" w:rsidRPr="00A1351B" w14:paraId="19C8E56E" w14:textId="77777777" w:rsidTr="00677F6E">
        <w:tc>
          <w:tcPr>
            <w:tcW w:w="1134" w:type="dxa"/>
            <w:shd w:val="clear" w:color="auto" w:fill="auto"/>
          </w:tcPr>
          <w:p w14:paraId="15FF2C30" w14:textId="77777777" w:rsidR="002C3A8F" w:rsidRPr="00B77AAE" w:rsidRDefault="002C3A8F" w:rsidP="00CC2943">
            <w:pPr>
              <w:rPr>
                <w:sz w:val="18"/>
                <w:szCs w:val="18"/>
                <w:lang w:val="en-GB"/>
              </w:rPr>
            </w:pPr>
            <w:r w:rsidRPr="00B77AAE">
              <w:rPr>
                <w:sz w:val="18"/>
                <w:szCs w:val="18"/>
                <w:lang w:val="en-GB"/>
              </w:rPr>
              <w:t>UO-2</w:t>
            </w:r>
          </w:p>
        </w:tc>
        <w:tc>
          <w:tcPr>
            <w:tcW w:w="1347" w:type="dxa"/>
            <w:shd w:val="clear" w:color="auto" w:fill="auto"/>
          </w:tcPr>
          <w:p w14:paraId="794EDED0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 w:rsidRPr="00B77AAE">
              <w:rPr>
                <w:sz w:val="18"/>
                <w:szCs w:val="18"/>
                <w:lang w:val="en-GB"/>
              </w:rPr>
              <w:t>36.6</w:t>
            </w:r>
          </w:p>
        </w:tc>
        <w:tc>
          <w:tcPr>
            <w:tcW w:w="1347" w:type="dxa"/>
            <w:shd w:val="clear" w:color="auto" w:fill="auto"/>
          </w:tcPr>
          <w:p w14:paraId="61C6C64D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 w:rsidRPr="00B77AAE">
              <w:rPr>
                <w:sz w:val="18"/>
                <w:szCs w:val="18"/>
                <w:lang w:val="en-GB"/>
              </w:rPr>
              <w:t>14.1</w:t>
            </w:r>
          </w:p>
        </w:tc>
        <w:tc>
          <w:tcPr>
            <w:tcW w:w="1559" w:type="dxa"/>
            <w:shd w:val="clear" w:color="auto" w:fill="auto"/>
          </w:tcPr>
          <w:p w14:paraId="21B251D0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 w:rsidRPr="00DD07BF">
              <w:rPr>
                <w:sz w:val="18"/>
                <w:szCs w:val="18"/>
                <w:lang w:val="en-GB"/>
              </w:rPr>
              <w:t>2.59 (2.29-2.92)</w:t>
            </w:r>
          </w:p>
        </w:tc>
        <w:tc>
          <w:tcPr>
            <w:tcW w:w="1417" w:type="dxa"/>
            <w:shd w:val="clear" w:color="auto" w:fill="auto"/>
          </w:tcPr>
          <w:p w14:paraId="50F96A3C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 w:rsidRPr="00F61938">
              <w:rPr>
                <w:sz w:val="18"/>
                <w:szCs w:val="18"/>
                <w:lang w:val="en-GB"/>
              </w:rPr>
              <w:t>3.21 (2.79-3.69)</w:t>
            </w:r>
          </w:p>
        </w:tc>
        <w:tc>
          <w:tcPr>
            <w:tcW w:w="1417" w:type="dxa"/>
          </w:tcPr>
          <w:p w14:paraId="0B6D5931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27.0</w:t>
            </w:r>
          </w:p>
        </w:tc>
        <w:tc>
          <w:tcPr>
            <w:tcW w:w="1560" w:type="dxa"/>
          </w:tcPr>
          <w:p w14:paraId="7D0354A9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16.0</w:t>
            </w:r>
          </w:p>
        </w:tc>
        <w:tc>
          <w:tcPr>
            <w:tcW w:w="1843" w:type="dxa"/>
          </w:tcPr>
          <w:p w14:paraId="03D3C984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1.69 (1.50-1.91)</w:t>
            </w:r>
          </w:p>
        </w:tc>
        <w:tc>
          <w:tcPr>
            <w:tcW w:w="1559" w:type="dxa"/>
          </w:tcPr>
          <w:p w14:paraId="6EE672A4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1.80 (1.59-2.05)</w:t>
            </w:r>
          </w:p>
        </w:tc>
      </w:tr>
      <w:tr w:rsidR="002C3A8F" w:rsidRPr="00A1351B" w14:paraId="633FD3D2" w14:textId="77777777" w:rsidTr="00677F6E">
        <w:tc>
          <w:tcPr>
            <w:tcW w:w="1134" w:type="dxa"/>
            <w:shd w:val="clear" w:color="auto" w:fill="auto"/>
          </w:tcPr>
          <w:p w14:paraId="4B167D82" w14:textId="77777777" w:rsidR="002C3A8F" w:rsidRPr="00B77AAE" w:rsidRDefault="002C3A8F" w:rsidP="00CC2943">
            <w:pPr>
              <w:rPr>
                <w:sz w:val="18"/>
                <w:szCs w:val="18"/>
                <w:lang w:val="en-GB"/>
              </w:rPr>
            </w:pPr>
            <w:r w:rsidRPr="00B77AAE">
              <w:rPr>
                <w:sz w:val="18"/>
                <w:szCs w:val="18"/>
                <w:lang w:val="en-GB"/>
              </w:rPr>
              <w:t>SCrea-UO-1</w:t>
            </w:r>
          </w:p>
        </w:tc>
        <w:tc>
          <w:tcPr>
            <w:tcW w:w="1347" w:type="dxa"/>
            <w:shd w:val="clear" w:color="auto" w:fill="auto"/>
          </w:tcPr>
          <w:p w14:paraId="38D9C82F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 w:rsidRPr="00B77AAE">
              <w:rPr>
                <w:sz w:val="18"/>
                <w:szCs w:val="18"/>
                <w:lang w:val="en-GB"/>
              </w:rPr>
              <w:t>26.5</w:t>
            </w:r>
          </w:p>
        </w:tc>
        <w:tc>
          <w:tcPr>
            <w:tcW w:w="1347" w:type="dxa"/>
            <w:shd w:val="clear" w:color="auto" w:fill="auto"/>
          </w:tcPr>
          <w:p w14:paraId="15E17264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 w:rsidRPr="00B77AAE">
              <w:rPr>
                <w:sz w:val="18"/>
                <w:szCs w:val="18"/>
                <w:lang w:val="en-GB"/>
              </w:rPr>
              <w:t>12.1</w:t>
            </w:r>
          </w:p>
        </w:tc>
        <w:tc>
          <w:tcPr>
            <w:tcW w:w="1559" w:type="dxa"/>
            <w:shd w:val="clear" w:color="auto" w:fill="auto"/>
          </w:tcPr>
          <w:p w14:paraId="04EE2C77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2.19 (1.92-2.51)</w:t>
            </w:r>
          </w:p>
        </w:tc>
        <w:tc>
          <w:tcPr>
            <w:tcW w:w="1417" w:type="dxa"/>
            <w:shd w:val="clear" w:color="auto" w:fill="auto"/>
          </w:tcPr>
          <w:p w14:paraId="402C854E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 w:rsidRPr="006926D9">
              <w:rPr>
                <w:sz w:val="18"/>
                <w:szCs w:val="18"/>
                <w:lang w:val="en-GB"/>
              </w:rPr>
              <w:t>2.85 (</w:t>
            </w:r>
            <w:r>
              <w:rPr>
                <w:sz w:val="18"/>
                <w:szCs w:val="18"/>
                <w:lang w:val="en-GB"/>
              </w:rPr>
              <w:t>2.43-3.34</w:t>
            </w:r>
            <w:r w:rsidRPr="006926D9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1417" w:type="dxa"/>
          </w:tcPr>
          <w:p w14:paraId="0702E465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21.7</w:t>
            </w:r>
          </w:p>
        </w:tc>
        <w:tc>
          <w:tcPr>
            <w:tcW w:w="1560" w:type="dxa"/>
          </w:tcPr>
          <w:p w14:paraId="1500AF1E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16.0</w:t>
            </w:r>
          </w:p>
        </w:tc>
        <w:tc>
          <w:tcPr>
            <w:tcW w:w="1843" w:type="dxa"/>
          </w:tcPr>
          <w:p w14:paraId="564ABCC2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1.36 (1.19-1.55)</w:t>
            </w:r>
          </w:p>
        </w:tc>
        <w:tc>
          <w:tcPr>
            <w:tcW w:w="1559" w:type="dxa"/>
          </w:tcPr>
          <w:p w14:paraId="0C38346C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1.40 (1.22-1.61)</w:t>
            </w:r>
          </w:p>
        </w:tc>
      </w:tr>
      <w:tr w:rsidR="002C3A8F" w:rsidRPr="00A1351B" w14:paraId="7D9A255F" w14:textId="77777777" w:rsidTr="00677F6E">
        <w:tc>
          <w:tcPr>
            <w:tcW w:w="1134" w:type="dxa"/>
            <w:shd w:val="clear" w:color="auto" w:fill="auto"/>
          </w:tcPr>
          <w:p w14:paraId="22AE0F29" w14:textId="77777777" w:rsidR="002C3A8F" w:rsidRPr="00B77AAE" w:rsidRDefault="002C3A8F" w:rsidP="00CC2943">
            <w:pPr>
              <w:rPr>
                <w:sz w:val="18"/>
                <w:szCs w:val="18"/>
                <w:lang w:val="en-GB"/>
              </w:rPr>
            </w:pPr>
            <w:r w:rsidRPr="00B77AAE">
              <w:rPr>
                <w:sz w:val="18"/>
                <w:szCs w:val="18"/>
                <w:lang w:val="en-GB"/>
              </w:rPr>
              <w:t>SCrea-UO-2</w:t>
            </w:r>
          </w:p>
        </w:tc>
        <w:tc>
          <w:tcPr>
            <w:tcW w:w="1347" w:type="dxa"/>
            <w:shd w:val="clear" w:color="auto" w:fill="auto"/>
          </w:tcPr>
          <w:p w14:paraId="0A8852A4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 w:rsidRPr="00B77AAE">
              <w:rPr>
                <w:sz w:val="18"/>
                <w:szCs w:val="18"/>
                <w:lang w:val="en-GB"/>
              </w:rPr>
              <w:t>32.8</w:t>
            </w:r>
          </w:p>
        </w:tc>
        <w:tc>
          <w:tcPr>
            <w:tcW w:w="1347" w:type="dxa"/>
            <w:shd w:val="clear" w:color="auto" w:fill="auto"/>
          </w:tcPr>
          <w:p w14:paraId="2AD720A4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 w:rsidRPr="00B77AAE">
              <w:rPr>
                <w:sz w:val="18"/>
                <w:szCs w:val="18"/>
                <w:lang w:val="en-GB"/>
              </w:rPr>
              <w:t>13.2</w:t>
            </w:r>
          </w:p>
        </w:tc>
        <w:tc>
          <w:tcPr>
            <w:tcW w:w="1559" w:type="dxa"/>
            <w:shd w:val="clear" w:color="auto" w:fill="auto"/>
          </w:tcPr>
          <w:p w14:paraId="1A0BFCDC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 w:rsidRPr="000527BA">
              <w:rPr>
                <w:sz w:val="18"/>
                <w:szCs w:val="18"/>
                <w:lang w:val="en-GB"/>
              </w:rPr>
              <w:t>2.48 (2.20-2.81)</w:t>
            </w:r>
          </w:p>
        </w:tc>
        <w:tc>
          <w:tcPr>
            <w:tcW w:w="1417" w:type="dxa"/>
            <w:shd w:val="clear" w:color="auto" w:fill="auto"/>
          </w:tcPr>
          <w:p w14:paraId="58F0501F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 w:rsidRPr="004D1689">
              <w:rPr>
                <w:sz w:val="18"/>
                <w:szCs w:val="18"/>
                <w:lang w:val="en-GB"/>
              </w:rPr>
              <w:t>2.93 (2.57-3.35)</w:t>
            </w:r>
          </w:p>
        </w:tc>
        <w:tc>
          <w:tcPr>
            <w:tcW w:w="1417" w:type="dxa"/>
          </w:tcPr>
          <w:p w14:paraId="163EAB0D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26.2</w:t>
            </w:r>
          </w:p>
        </w:tc>
        <w:tc>
          <w:tcPr>
            <w:tcW w:w="1560" w:type="dxa"/>
          </w:tcPr>
          <w:p w14:paraId="7D34D9E0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15.0</w:t>
            </w:r>
          </w:p>
        </w:tc>
        <w:tc>
          <w:tcPr>
            <w:tcW w:w="1843" w:type="dxa"/>
          </w:tcPr>
          <w:p w14:paraId="6F976381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1.75 (1.55-1.97)</w:t>
            </w:r>
          </w:p>
        </w:tc>
        <w:tc>
          <w:tcPr>
            <w:tcW w:w="1559" w:type="dxa"/>
          </w:tcPr>
          <w:p w14:paraId="1DD132E4" w14:textId="77777777" w:rsidR="002C3A8F" w:rsidRPr="00B77AAE" w:rsidRDefault="002C3A8F" w:rsidP="00CC2943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1.85 (1.63-2.10)</w:t>
            </w:r>
          </w:p>
        </w:tc>
      </w:tr>
    </w:tbl>
    <w:p w14:paraId="1C6D9E09" w14:textId="34546DE0" w:rsidR="00883CA8" w:rsidRPr="008543F9" w:rsidRDefault="00883CA8" w:rsidP="00CC2943">
      <w:pPr>
        <w:rPr>
          <w:sz w:val="16"/>
          <w:szCs w:val="16"/>
          <w:lang w:val="en-US"/>
        </w:rPr>
      </w:pPr>
      <w:r w:rsidRPr="008543F9">
        <w:rPr>
          <w:b/>
          <w:bCs/>
          <w:i/>
          <w:iCs/>
          <w:sz w:val="16"/>
          <w:szCs w:val="16"/>
          <w:lang w:val="en-GB"/>
        </w:rPr>
        <w:t>SCrea</w:t>
      </w:r>
      <w:r w:rsidRPr="008543F9">
        <w:rPr>
          <w:i/>
          <w:iCs/>
          <w:sz w:val="16"/>
          <w:szCs w:val="16"/>
          <w:lang w:val="en-GB"/>
        </w:rPr>
        <w:t>: serum creatinine &gt;4.0 mg/dl or &gt;2x baseline, where baseline = SCrea-1 whenever available, otherwise SCrea-2, or SCrea-3 (when neither SCrea-1 nor SCrea-2 are available) with</w:t>
      </w:r>
      <w:r w:rsidRPr="008543F9">
        <w:rPr>
          <w:b/>
          <w:bCs/>
          <w:sz w:val="16"/>
          <w:szCs w:val="16"/>
          <w:lang w:val="en-GB"/>
        </w:rPr>
        <w:t xml:space="preserve"> </w:t>
      </w:r>
      <w:r w:rsidRPr="008543F9">
        <w:rPr>
          <w:b/>
          <w:bCs/>
          <w:i/>
          <w:iCs/>
          <w:sz w:val="16"/>
          <w:szCs w:val="16"/>
          <w:lang w:val="en-GB"/>
        </w:rPr>
        <w:t xml:space="preserve">Screa-1 </w:t>
      </w:r>
      <w:r w:rsidRPr="008543F9">
        <w:rPr>
          <w:i/>
          <w:iCs/>
          <w:sz w:val="16"/>
          <w:szCs w:val="16"/>
          <w:lang w:val="en-GB"/>
        </w:rPr>
        <w:t xml:space="preserve">defined as baseline Screa measurement as manually entered in ICIS by the treating physician at ICU admission; </w:t>
      </w:r>
      <w:r w:rsidRPr="008543F9">
        <w:rPr>
          <w:b/>
          <w:bCs/>
          <w:i/>
          <w:iCs/>
          <w:sz w:val="16"/>
          <w:szCs w:val="16"/>
          <w:lang w:val="en-GB"/>
        </w:rPr>
        <w:t xml:space="preserve">Screa-2 </w:t>
      </w:r>
      <w:r w:rsidRPr="008543F9">
        <w:rPr>
          <w:i/>
          <w:iCs/>
          <w:sz w:val="16"/>
          <w:szCs w:val="16"/>
          <w:lang w:val="en-GB"/>
        </w:rPr>
        <w:t xml:space="preserve">defined as the lowest pre-ICU measurement up to 365 days before ICU admission as extracted from the lab information system; </w:t>
      </w:r>
      <w:r w:rsidRPr="008543F9">
        <w:rPr>
          <w:b/>
          <w:bCs/>
          <w:i/>
          <w:iCs/>
          <w:sz w:val="16"/>
          <w:szCs w:val="16"/>
          <w:lang w:val="en-GB"/>
        </w:rPr>
        <w:t>Screa-3</w:t>
      </w:r>
      <w:r w:rsidRPr="008543F9">
        <w:rPr>
          <w:i/>
          <w:iCs/>
          <w:sz w:val="16"/>
          <w:szCs w:val="16"/>
          <w:lang w:val="en-GB"/>
        </w:rPr>
        <w:t xml:space="preserve"> defined as a back-calculated baseline Screa using the simplified 4-variable Modification of Diet in Renal Disease (MDRD) Study equation assuming an estimated glomerular filtration rate (eGFR) of 75 ml/min/1.73 m</w:t>
      </w:r>
      <w:r w:rsidRPr="008543F9">
        <w:rPr>
          <w:i/>
          <w:iCs/>
          <w:sz w:val="16"/>
          <w:szCs w:val="16"/>
          <w:vertAlign w:val="superscript"/>
          <w:lang w:val="en-GB"/>
        </w:rPr>
        <w:t xml:space="preserve">2 </w:t>
      </w:r>
      <w:r w:rsidRPr="008543F9">
        <w:rPr>
          <w:i/>
          <w:iCs/>
          <w:sz w:val="16"/>
          <w:szCs w:val="16"/>
          <w:lang w:val="en-GB"/>
        </w:rPr>
        <w:t>for every patient</w:t>
      </w:r>
      <w:r w:rsidRPr="008543F9">
        <w:rPr>
          <w:i/>
          <w:iCs/>
          <w:sz w:val="16"/>
          <w:szCs w:val="16"/>
          <w:lang w:val="en-GB"/>
        </w:rPr>
        <w:fldChar w:fldCharType="begin">
          <w:fldData xml:space="preserve">PEVuZE5vdGU+PENpdGU+PEF1dGhvcj5MZXZleTwvQXV0aG9yPjxZZWFyPjIwMDk8L1llYXI+PFJl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</w:fldData>
        </w:fldChar>
      </w:r>
      <w:r w:rsidRPr="008543F9">
        <w:rPr>
          <w:i/>
          <w:iCs/>
          <w:sz w:val="16"/>
          <w:szCs w:val="16"/>
          <w:lang w:val="en-GB"/>
        </w:rPr>
        <w:instrText xml:space="preserve"> ADDIN EN.CITE </w:instrText>
      </w:r>
      <w:r w:rsidRPr="008543F9">
        <w:rPr>
          <w:i/>
          <w:iCs/>
          <w:sz w:val="16"/>
          <w:szCs w:val="16"/>
          <w:lang w:val="en-GB"/>
        </w:rPr>
        <w:fldChar w:fldCharType="begin">
          <w:fldData xml:space="preserve">PEVuZE5vdGU+PENpdGU+PEF1dGhvcj5MZXZleTwvQXV0aG9yPjxZZWFyPjIwMDk8L1llYXI+PFJl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</w:fldData>
        </w:fldChar>
      </w:r>
      <w:r w:rsidRPr="008543F9">
        <w:rPr>
          <w:i/>
          <w:iCs/>
          <w:sz w:val="16"/>
          <w:szCs w:val="16"/>
          <w:lang w:val="en-GB"/>
        </w:rPr>
        <w:instrText xml:space="preserve"> ADDIN EN.CITE.DATA </w:instrText>
      </w:r>
      <w:r w:rsidRPr="008543F9">
        <w:rPr>
          <w:i/>
          <w:iCs/>
          <w:sz w:val="16"/>
          <w:szCs w:val="16"/>
          <w:lang w:val="en-GB"/>
        </w:rPr>
      </w:r>
      <w:r w:rsidRPr="008543F9">
        <w:rPr>
          <w:i/>
          <w:iCs/>
          <w:sz w:val="16"/>
          <w:szCs w:val="16"/>
          <w:lang w:val="en-GB"/>
        </w:rPr>
        <w:fldChar w:fldCharType="end"/>
      </w:r>
      <w:r w:rsidRPr="008543F9">
        <w:rPr>
          <w:i/>
          <w:iCs/>
          <w:sz w:val="16"/>
          <w:szCs w:val="16"/>
          <w:lang w:val="en-GB"/>
        </w:rPr>
      </w:r>
      <w:r w:rsidRPr="008543F9">
        <w:rPr>
          <w:i/>
          <w:iCs/>
          <w:sz w:val="16"/>
          <w:szCs w:val="16"/>
          <w:lang w:val="en-GB"/>
        </w:rPr>
        <w:fldChar w:fldCharType="separate"/>
      </w:r>
      <w:r w:rsidRPr="008543F9">
        <w:rPr>
          <w:i/>
          <w:iCs/>
          <w:sz w:val="16"/>
          <w:szCs w:val="16"/>
          <w:vertAlign w:val="superscript"/>
          <w:lang w:val="en-GB"/>
        </w:rPr>
        <w:t>30</w:t>
      </w:r>
      <w:r w:rsidRPr="008543F9">
        <w:rPr>
          <w:i/>
          <w:iCs/>
          <w:sz w:val="16"/>
          <w:szCs w:val="16"/>
          <w:lang w:val="en-GB"/>
        </w:rPr>
        <w:fldChar w:fldCharType="end"/>
      </w:r>
      <w:r w:rsidRPr="008543F9">
        <w:rPr>
          <w:i/>
          <w:iCs/>
          <w:sz w:val="16"/>
          <w:szCs w:val="16"/>
          <w:lang w:val="en-GB"/>
        </w:rPr>
        <w:t xml:space="preserve">; </w:t>
      </w:r>
      <w:r w:rsidRPr="008543F9">
        <w:rPr>
          <w:b/>
          <w:bCs/>
          <w:i/>
          <w:iCs/>
          <w:sz w:val="16"/>
          <w:szCs w:val="16"/>
          <w:lang w:val="en-GB"/>
        </w:rPr>
        <w:t xml:space="preserve">UO-1: </w:t>
      </w:r>
      <w:r w:rsidRPr="008543F9">
        <w:rPr>
          <w:i/>
          <w:iCs/>
          <w:sz w:val="16"/>
          <w:szCs w:val="16"/>
          <w:lang w:val="en-GB"/>
        </w:rPr>
        <w:t>total</w:t>
      </w:r>
      <w:r w:rsidRPr="008543F9">
        <w:rPr>
          <w:b/>
          <w:bCs/>
          <w:i/>
          <w:iCs/>
          <w:sz w:val="16"/>
          <w:szCs w:val="16"/>
          <w:lang w:val="en-GB"/>
        </w:rPr>
        <w:t xml:space="preserve"> </w:t>
      </w:r>
      <w:r w:rsidRPr="008543F9">
        <w:rPr>
          <w:i/>
          <w:iCs/>
          <w:sz w:val="16"/>
          <w:szCs w:val="16"/>
          <w:lang w:val="en-GB"/>
        </w:rPr>
        <w:t xml:space="preserve">UO during the last 12-hour period was ≤ 6 ml/kg; </w:t>
      </w:r>
      <w:r w:rsidRPr="008543F9">
        <w:rPr>
          <w:b/>
          <w:bCs/>
          <w:i/>
          <w:iCs/>
          <w:sz w:val="16"/>
          <w:szCs w:val="16"/>
          <w:lang w:val="en-GB"/>
        </w:rPr>
        <w:t xml:space="preserve">UO-2: </w:t>
      </w:r>
      <w:r w:rsidRPr="008543F9">
        <w:rPr>
          <w:i/>
          <w:iCs/>
          <w:sz w:val="16"/>
          <w:szCs w:val="16"/>
          <w:lang w:val="en-GB"/>
        </w:rPr>
        <w:t>total</w:t>
      </w:r>
      <w:r w:rsidRPr="008543F9">
        <w:rPr>
          <w:b/>
          <w:bCs/>
          <w:i/>
          <w:iCs/>
          <w:sz w:val="16"/>
          <w:szCs w:val="16"/>
          <w:lang w:val="en-GB"/>
        </w:rPr>
        <w:t xml:space="preserve"> </w:t>
      </w:r>
      <w:r w:rsidRPr="008543F9">
        <w:rPr>
          <w:i/>
          <w:iCs/>
          <w:sz w:val="16"/>
          <w:szCs w:val="16"/>
          <w:lang w:val="en-GB"/>
        </w:rPr>
        <w:t xml:space="preserve">UO during each of the last 12 consecutive 1-hour periods was ≤ 0.5 ml/kg; </w:t>
      </w:r>
      <w:r w:rsidRPr="008543F9">
        <w:rPr>
          <w:b/>
          <w:bCs/>
          <w:i/>
          <w:iCs/>
          <w:sz w:val="16"/>
          <w:szCs w:val="16"/>
          <w:lang w:val="en-GB"/>
        </w:rPr>
        <w:t>SCrea-UO-1</w:t>
      </w:r>
      <w:r w:rsidRPr="008543F9">
        <w:rPr>
          <w:i/>
          <w:iCs/>
          <w:sz w:val="16"/>
          <w:szCs w:val="16"/>
          <w:lang w:val="en-GB"/>
        </w:rPr>
        <w:t xml:space="preserve">: AKI stage≥2 according to either the SCrea criterion or the UO-1 criterion; </w:t>
      </w:r>
      <w:r w:rsidRPr="008543F9">
        <w:rPr>
          <w:b/>
          <w:bCs/>
          <w:i/>
          <w:iCs/>
          <w:sz w:val="16"/>
          <w:szCs w:val="16"/>
          <w:lang w:val="en-GB"/>
        </w:rPr>
        <w:t>SCrea-UO-2</w:t>
      </w:r>
      <w:r w:rsidRPr="008543F9">
        <w:rPr>
          <w:i/>
          <w:iCs/>
          <w:sz w:val="16"/>
          <w:szCs w:val="16"/>
          <w:lang w:val="en-GB"/>
        </w:rPr>
        <w:t>: AKI stage≥2 according to either the SCrea criterion or the UO-2 criterion.</w:t>
      </w:r>
      <w:r w:rsidRPr="008543F9">
        <w:rPr>
          <w:i/>
          <w:iCs/>
          <w:sz w:val="16"/>
          <w:szCs w:val="16"/>
          <w:lang w:val="en-GB"/>
        </w:rPr>
        <w:br/>
      </w:r>
    </w:p>
    <w:p w14:paraId="1D98B7D5" w14:textId="6339B779" w:rsidR="002C3A8F" w:rsidRDefault="002C3A8F" w:rsidP="00CC2943">
      <w:pPr>
        <w:rPr>
          <w:sz w:val="18"/>
          <w:szCs w:val="18"/>
          <w:lang w:val="en-GB"/>
        </w:rPr>
      </w:pPr>
      <w:r w:rsidRPr="00677F6E">
        <w:rPr>
          <w:sz w:val="18"/>
          <w:szCs w:val="18"/>
          <w:vertAlign w:val="superscript"/>
          <w:lang w:val="en-GB"/>
        </w:rPr>
        <w:t>1</w:t>
      </w:r>
      <w:r w:rsidRPr="00386B85">
        <w:rPr>
          <w:sz w:val="18"/>
          <w:szCs w:val="18"/>
          <w:lang w:val="en-GB"/>
        </w:rPr>
        <w:t xml:space="preserve"> </w:t>
      </w:r>
      <w:r>
        <w:rPr>
          <w:sz w:val="18"/>
          <w:szCs w:val="18"/>
          <w:lang w:val="en-GB"/>
        </w:rPr>
        <w:t>Incidence rate ratios only approximate (cause-specific) hazard ratios when the survival distributions in each group both follow an exponential distribution.</w:t>
      </w:r>
    </w:p>
    <w:p w14:paraId="06D125D9" w14:textId="77777777" w:rsidR="002C3A8F" w:rsidRDefault="002C3A8F" w:rsidP="00CC2943">
      <w:pPr>
        <w:rPr>
          <w:sz w:val="18"/>
          <w:szCs w:val="18"/>
          <w:lang w:val="en-GB"/>
        </w:rPr>
      </w:pPr>
      <w:r>
        <w:rPr>
          <w:sz w:val="18"/>
          <w:szCs w:val="18"/>
          <w:vertAlign w:val="superscript"/>
          <w:lang w:val="en-GB"/>
        </w:rPr>
        <w:t xml:space="preserve">2 </w:t>
      </w:r>
      <w:r>
        <w:rPr>
          <w:sz w:val="18"/>
          <w:szCs w:val="18"/>
          <w:lang w:val="en-GB"/>
        </w:rPr>
        <w:t>E</w:t>
      </w:r>
      <w:r w:rsidRPr="00DD2EE0">
        <w:rPr>
          <w:sz w:val="18"/>
          <w:szCs w:val="18"/>
          <w:lang w:val="en-GB"/>
        </w:rPr>
        <w:t>stimated by a</w:t>
      </w:r>
      <w:r>
        <w:rPr>
          <w:sz w:val="18"/>
          <w:szCs w:val="18"/>
          <w:lang w:val="en-GB"/>
        </w:rPr>
        <w:t xml:space="preserve">n extended </w:t>
      </w:r>
      <w:r w:rsidRPr="00DD2EE0">
        <w:rPr>
          <w:sz w:val="18"/>
          <w:szCs w:val="18"/>
          <w:lang w:val="en-GB"/>
        </w:rPr>
        <w:t>Cox model</w:t>
      </w:r>
      <w:r>
        <w:rPr>
          <w:sz w:val="18"/>
          <w:szCs w:val="18"/>
          <w:lang w:val="en-GB"/>
        </w:rPr>
        <w:t xml:space="preserve"> with AKI criterion entered as a time-varying covariate (and that treats ICU discharge as a censoring event) </w:t>
      </w:r>
    </w:p>
    <w:p w14:paraId="20A5A38A" w14:textId="77777777" w:rsidR="002C3A8F" w:rsidRDefault="002C3A8F" w:rsidP="00CC2943">
      <w:pPr>
        <w:rPr>
          <w:sz w:val="18"/>
          <w:szCs w:val="18"/>
          <w:lang w:val="en-GB"/>
        </w:rPr>
      </w:pPr>
      <w:r>
        <w:rPr>
          <w:sz w:val="18"/>
          <w:szCs w:val="18"/>
          <w:vertAlign w:val="superscript"/>
          <w:lang w:val="en-GB"/>
        </w:rPr>
        <w:t xml:space="preserve">3 </w:t>
      </w:r>
      <w:r>
        <w:rPr>
          <w:sz w:val="18"/>
          <w:szCs w:val="18"/>
          <w:lang w:val="en-GB"/>
        </w:rPr>
        <w:t>Naïve incidence rates and rate ratios attribute corresponding to treating AKI criteria as time-fixed covariates. These estimates erroneously apportion patient days without/before AKI in AKI diagnosed patients to patient days with AKI.</w:t>
      </w:r>
    </w:p>
    <w:p w14:paraId="0D7FB755" w14:textId="77777777" w:rsidR="002C3A8F" w:rsidRPr="00D31C6B" w:rsidRDefault="002C3A8F" w:rsidP="00CC2943">
      <w:pPr>
        <w:rPr>
          <w:sz w:val="18"/>
          <w:szCs w:val="18"/>
          <w:lang w:val="en-GB"/>
        </w:rPr>
      </w:pPr>
      <w:r>
        <w:rPr>
          <w:sz w:val="18"/>
          <w:szCs w:val="18"/>
          <w:vertAlign w:val="superscript"/>
          <w:lang w:val="en-GB"/>
        </w:rPr>
        <w:t xml:space="preserve">4 </w:t>
      </w:r>
      <w:r>
        <w:rPr>
          <w:sz w:val="18"/>
          <w:szCs w:val="18"/>
          <w:lang w:val="en-GB"/>
        </w:rPr>
        <w:t>E</w:t>
      </w:r>
      <w:r w:rsidRPr="00DD2EE0">
        <w:rPr>
          <w:sz w:val="18"/>
          <w:szCs w:val="18"/>
          <w:lang w:val="en-GB"/>
        </w:rPr>
        <w:t>stimated by a</w:t>
      </w:r>
      <w:r>
        <w:rPr>
          <w:sz w:val="18"/>
          <w:szCs w:val="18"/>
          <w:lang w:val="en-GB"/>
        </w:rPr>
        <w:t xml:space="preserve"> </w:t>
      </w:r>
      <w:r w:rsidRPr="00DD2EE0">
        <w:rPr>
          <w:sz w:val="18"/>
          <w:szCs w:val="18"/>
          <w:lang w:val="en-GB"/>
        </w:rPr>
        <w:t>Cox model</w:t>
      </w:r>
      <w:r>
        <w:rPr>
          <w:sz w:val="18"/>
          <w:szCs w:val="18"/>
          <w:lang w:val="en-GB"/>
        </w:rPr>
        <w:t xml:space="preserve"> with AKI criterion entered as a time-fixed covariate (and that treats ICU discharge as a censoring event) </w:t>
      </w:r>
    </w:p>
    <w:p w14:paraId="4A332D26" w14:textId="72D65AE3" w:rsidR="00741B23" w:rsidRPr="009D5F0C" w:rsidRDefault="003B2BD1" w:rsidP="00CC2943">
      <w:pPr>
        <w:rPr>
          <w:sz w:val="20"/>
          <w:szCs w:val="20"/>
          <w:lang w:val="en-US"/>
        </w:rPr>
      </w:pPr>
      <w:r w:rsidRPr="009D5F0C">
        <w:rPr>
          <w:sz w:val="20"/>
          <w:szCs w:val="20"/>
          <w:lang w:val="en-GB"/>
        </w:rPr>
        <w:t>Results in this table illustrate that a naïve analytical approach that fails to account for the timing of AKI diagnosis</w:t>
      </w:r>
      <w:r w:rsidR="00C3161F">
        <w:rPr>
          <w:sz w:val="20"/>
          <w:szCs w:val="20"/>
          <w:lang w:val="en-GB"/>
        </w:rPr>
        <w:t xml:space="preserve"> (entering it as a time-fixed covariate)</w:t>
      </w:r>
      <w:r w:rsidRPr="009D5F0C">
        <w:rPr>
          <w:sz w:val="20"/>
          <w:szCs w:val="20"/>
          <w:lang w:val="en-GB"/>
        </w:rPr>
        <w:t>, consistently underestimate</w:t>
      </w:r>
      <w:r w:rsidR="00C3161F">
        <w:rPr>
          <w:sz w:val="20"/>
          <w:szCs w:val="20"/>
          <w:lang w:val="en-GB"/>
        </w:rPr>
        <w:t>s</w:t>
      </w:r>
      <w:r w:rsidRPr="009D5F0C">
        <w:rPr>
          <w:sz w:val="20"/>
          <w:szCs w:val="20"/>
          <w:lang w:val="en-GB"/>
        </w:rPr>
        <w:t xml:space="preserve"> relative hazards associated with different AKI criteria. Importantly, due to the time-dependent nature of the UO criteria, the downward bias was most pronounced for relative hazards associated with the UO criteria. </w:t>
      </w:r>
      <w:r w:rsidRPr="00EA72E4">
        <w:rPr>
          <w:sz w:val="20"/>
          <w:szCs w:val="20"/>
          <w:lang w:val="en-GB"/>
        </w:rPr>
        <w:t xml:space="preserve">This may have </w:t>
      </w:r>
      <w:r w:rsidR="00EA72E4" w:rsidRPr="00EA72E4">
        <w:rPr>
          <w:sz w:val="20"/>
          <w:szCs w:val="20"/>
          <w:lang w:val="en-GB"/>
        </w:rPr>
        <w:t>invalidated the results of other studies that assessed the association between different AKI criteria and adverse outcomes.</w:t>
      </w:r>
    </w:p>
    <w:sectPr w:rsidR="00741B23" w:rsidRPr="009D5F0C" w:rsidSect="002C3A8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A8F"/>
    <w:rsid w:val="002C3A8F"/>
    <w:rsid w:val="00302264"/>
    <w:rsid w:val="003B2BD1"/>
    <w:rsid w:val="00741B23"/>
    <w:rsid w:val="007E57E8"/>
    <w:rsid w:val="008543F9"/>
    <w:rsid w:val="00883CA8"/>
    <w:rsid w:val="009D5F0C"/>
    <w:rsid w:val="00C3161F"/>
    <w:rsid w:val="00CC2943"/>
    <w:rsid w:val="00DD3193"/>
    <w:rsid w:val="00EA72E4"/>
    <w:rsid w:val="00F7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35A1B"/>
  <w15:chartTrackingRefBased/>
  <w15:docId w15:val="{001CAD1B-B562-9545-B1E3-06778D9D2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C3A8F"/>
    <w:rPr>
      <w:rFonts w:eastAsia="Times New Roman" w:cs="Times New Roman"/>
      <w:sz w:val="22"/>
      <w:szCs w:val="22"/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541</Words>
  <Characters>2980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Steen</dc:creator>
  <cp:keywords/>
  <dc:description/>
  <cp:lastModifiedBy>Wim Van Biesen</cp:lastModifiedBy>
  <cp:revision>14</cp:revision>
  <dcterms:created xsi:type="dcterms:W3CDTF">2021-03-26T17:35:00Z</dcterms:created>
  <dcterms:modified xsi:type="dcterms:W3CDTF">2021-03-28T14:05:00Z</dcterms:modified>
  <cp:category/>
</cp:coreProperties>
</file>