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80" w:rsidRPr="0000643F" w:rsidRDefault="00876480" w:rsidP="00876480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24"/>
          <w:lang w:val="en-US"/>
        </w:rPr>
      </w:pPr>
      <w:r>
        <w:rPr>
          <w:rFonts w:ascii="Times New Roman" w:hAnsi="Times New Roman" w:cs="Times New Roman"/>
          <w:b/>
          <w:sz w:val="36"/>
          <w:szCs w:val="24"/>
          <w:lang w:val="en-US"/>
        </w:rPr>
        <w:t>A</w:t>
      </w:r>
      <w:r w:rsidRPr="0000643F">
        <w:rPr>
          <w:rFonts w:ascii="Times New Roman" w:hAnsi="Times New Roman" w:cs="Times New Roman"/>
          <w:b/>
          <w:sz w:val="36"/>
          <w:szCs w:val="24"/>
          <w:lang w:val="en-US"/>
        </w:rPr>
        <w:t>ccurate detect</w:t>
      </w:r>
      <w:r>
        <w:rPr>
          <w:rFonts w:ascii="Times New Roman" w:hAnsi="Times New Roman" w:cs="Times New Roman"/>
          <w:b/>
          <w:sz w:val="36"/>
          <w:szCs w:val="24"/>
          <w:lang w:val="en-US"/>
        </w:rPr>
        <w:t>ion and quantification of</w:t>
      </w:r>
      <w:r w:rsidRPr="0000643F">
        <w:rPr>
          <w:rFonts w:ascii="Times New Roman" w:hAnsi="Times New Roman" w:cs="Times New Roman"/>
          <w:b/>
          <w:sz w:val="36"/>
          <w:szCs w:val="24"/>
          <w:lang w:val="en-US"/>
        </w:rPr>
        <w:t xml:space="preserve"> seasonal abundance of American bullfrog (</w:t>
      </w:r>
      <w:proofErr w:type="spellStart"/>
      <w:r w:rsidRPr="0000643F">
        <w:rPr>
          <w:rFonts w:ascii="Times New Roman" w:hAnsi="Times New Roman" w:cs="Times New Roman"/>
          <w:b/>
          <w:i/>
          <w:sz w:val="36"/>
          <w:szCs w:val="24"/>
          <w:lang w:val="en-US"/>
        </w:rPr>
        <w:t>Lithobates</w:t>
      </w:r>
      <w:proofErr w:type="spellEnd"/>
      <w:r w:rsidRPr="0000643F">
        <w:rPr>
          <w:rFonts w:ascii="Times New Roman" w:hAnsi="Times New Roman" w:cs="Times New Roman"/>
          <w:b/>
          <w:i/>
          <w:sz w:val="36"/>
          <w:szCs w:val="24"/>
          <w:lang w:val="en-US"/>
        </w:rPr>
        <w:t xml:space="preserve"> </w:t>
      </w:r>
      <w:proofErr w:type="spellStart"/>
      <w:r w:rsidRPr="0000643F">
        <w:rPr>
          <w:rFonts w:ascii="Times New Roman" w:hAnsi="Times New Roman" w:cs="Times New Roman"/>
          <w:b/>
          <w:i/>
          <w:sz w:val="36"/>
          <w:szCs w:val="24"/>
          <w:lang w:val="en-US"/>
        </w:rPr>
        <w:t>catesbeianus</w:t>
      </w:r>
      <w:proofErr w:type="spellEnd"/>
      <w:r w:rsidRPr="0000643F">
        <w:rPr>
          <w:rFonts w:ascii="Times New Roman" w:hAnsi="Times New Roman" w:cs="Times New Roman"/>
          <w:b/>
          <w:sz w:val="36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36"/>
          <w:szCs w:val="24"/>
          <w:lang w:val="en-US"/>
        </w:rPr>
        <w:t xml:space="preserve"> using </w:t>
      </w:r>
      <w:proofErr w:type="spellStart"/>
      <w:r>
        <w:rPr>
          <w:rFonts w:ascii="Times New Roman" w:hAnsi="Times New Roman" w:cs="Times New Roman"/>
          <w:b/>
          <w:sz w:val="36"/>
          <w:szCs w:val="24"/>
          <w:lang w:val="en-US"/>
        </w:rPr>
        <w:t>ddPCR</w:t>
      </w:r>
      <w:proofErr w:type="spellEnd"/>
      <w:r>
        <w:rPr>
          <w:rFonts w:ascii="Times New Roman" w:hAnsi="Times New Roman" w:cs="Times New Roman"/>
          <w:b/>
          <w:sz w:val="36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24"/>
          <w:lang w:val="en-US"/>
        </w:rPr>
        <w:t>eDNA</w:t>
      </w:r>
      <w:proofErr w:type="spellEnd"/>
      <w:r>
        <w:rPr>
          <w:rFonts w:ascii="Times New Roman" w:hAnsi="Times New Roman" w:cs="Times New Roman"/>
          <w:b/>
          <w:sz w:val="36"/>
          <w:szCs w:val="24"/>
          <w:lang w:val="en-US"/>
        </w:rPr>
        <w:t xml:space="preserve"> assays</w:t>
      </w:r>
    </w:p>
    <w:p w:rsidR="00876480" w:rsidRPr="00724B87" w:rsidRDefault="00876480" w:rsidP="00876480">
      <w:pPr>
        <w:spacing w:line="480" w:lineRule="auto"/>
        <w:rPr>
          <w:rFonts w:ascii="Times New Roman" w:hAnsi="Times New Roman" w:cs="Times New Roman"/>
          <w:lang w:val="en-US"/>
        </w:rPr>
      </w:pPr>
    </w:p>
    <w:p w:rsidR="00876480" w:rsidRPr="00724B87" w:rsidRDefault="00876480" w:rsidP="00876480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</w:p>
    <w:p w:rsidR="00876480" w:rsidRPr="00724B87" w:rsidRDefault="00876480" w:rsidP="00876480">
      <w:pPr>
        <w:spacing w:line="480" w:lineRule="auto"/>
        <w:jc w:val="center"/>
        <w:rPr>
          <w:rFonts w:ascii="Times New Roman" w:hAnsi="Times New Roman" w:cs="Times New Roman"/>
          <w:sz w:val="24"/>
          <w:vertAlign w:val="superscript"/>
          <w:lang w:val="en-US"/>
        </w:rPr>
      </w:pPr>
      <w:proofErr w:type="spellStart"/>
      <w:r w:rsidRPr="00724B87">
        <w:rPr>
          <w:rFonts w:ascii="Times New Roman" w:hAnsi="Times New Roman" w:cs="Times New Roman"/>
          <w:sz w:val="24"/>
          <w:lang w:val="en-US"/>
        </w:rPr>
        <w:t>Teun</w:t>
      </w:r>
      <w:proofErr w:type="spellEnd"/>
      <w:r w:rsidRPr="00724B87">
        <w:rPr>
          <w:rFonts w:ascii="Times New Roman" w:hAnsi="Times New Roman" w:cs="Times New Roman"/>
          <w:sz w:val="24"/>
          <w:lang w:val="en-US"/>
        </w:rPr>
        <w:t xml:space="preserve"> Everts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>1*</w:t>
      </w:r>
      <w:r w:rsidRPr="00724B87">
        <w:rPr>
          <w:rFonts w:ascii="Times New Roman" w:hAnsi="Times New Roman" w:cs="Times New Roman"/>
          <w:sz w:val="24"/>
          <w:lang w:val="en-US"/>
        </w:rPr>
        <w:t>, David Halfmaerten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724B87">
        <w:rPr>
          <w:rFonts w:ascii="Times New Roman" w:hAnsi="Times New Roman" w:cs="Times New Roman"/>
          <w:sz w:val="24"/>
          <w:lang w:val="en-US"/>
        </w:rPr>
        <w:t>,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 xml:space="preserve"> </w:t>
      </w:r>
      <w:r w:rsidRPr="00724B87">
        <w:rPr>
          <w:rFonts w:ascii="Times New Roman" w:hAnsi="Times New Roman" w:cs="Times New Roman"/>
          <w:sz w:val="24"/>
          <w:lang w:val="en-US"/>
        </w:rPr>
        <w:t>Sabrina Neyrinck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724B87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724B87">
        <w:rPr>
          <w:rFonts w:ascii="Times New Roman" w:hAnsi="Times New Roman" w:cs="Times New Roman"/>
          <w:sz w:val="24"/>
          <w:lang w:val="en-US"/>
        </w:rPr>
        <w:t>Nico</w:t>
      </w:r>
      <w:proofErr w:type="spellEnd"/>
      <w:r w:rsidRPr="00724B87">
        <w:rPr>
          <w:rFonts w:ascii="Times New Roman" w:hAnsi="Times New Roman" w:cs="Times New Roman"/>
          <w:sz w:val="24"/>
          <w:lang w:val="en-US"/>
        </w:rPr>
        <w:t xml:space="preserve"> De Regge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724B87">
        <w:rPr>
          <w:rFonts w:ascii="Times New Roman" w:hAnsi="Times New Roman" w:cs="Times New Roman"/>
          <w:sz w:val="24"/>
          <w:lang w:val="en-US"/>
        </w:rPr>
        <w:t>, Hans Jacquemyn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 w:rsidRPr="00724B87">
        <w:rPr>
          <w:rFonts w:ascii="Times New Roman" w:hAnsi="Times New Roman" w:cs="Times New Roman"/>
          <w:sz w:val="24"/>
          <w:lang w:val="en-US"/>
        </w:rPr>
        <w:t>, Rein Brys</w:t>
      </w:r>
      <w:r w:rsidRPr="00724B87">
        <w:rPr>
          <w:rFonts w:ascii="Times New Roman" w:hAnsi="Times New Roman" w:cs="Times New Roman"/>
          <w:sz w:val="24"/>
          <w:vertAlign w:val="superscript"/>
          <w:lang w:val="en-US"/>
        </w:rPr>
        <w:t>1*</w:t>
      </w:r>
    </w:p>
    <w:p w:rsidR="00876480" w:rsidRPr="006834CF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834C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6834CF">
        <w:rPr>
          <w:rFonts w:ascii="Times New Roman" w:hAnsi="Times New Roman" w:cs="Times New Roman"/>
          <w:sz w:val="24"/>
          <w:szCs w:val="24"/>
          <w:lang w:val="en-US"/>
        </w:rPr>
        <w:t xml:space="preserve">Research Institute for Nature and Forest, </w:t>
      </w:r>
      <w:proofErr w:type="spellStart"/>
      <w:r w:rsidRPr="006834CF">
        <w:rPr>
          <w:rFonts w:ascii="Times New Roman" w:hAnsi="Times New Roman" w:cs="Times New Roman"/>
          <w:sz w:val="24"/>
          <w:szCs w:val="24"/>
          <w:lang w:val="en-US"/>
        </w:rPr>
        <w:t>Geraardsbergen</w:t>
      </w:r>
      <w:proofErr w:type="spellEnd"/>
      <w:r w:rsidRPr="006834CF">
        <w:rPr>
          <w:rFonts w:ascii="Times New Roman" w:hAnsi="Times New Roman" w:cs="Times New Roman"/>
          <w:sz w:val="24"/>
          <w:szCs w:val="24"/>
          <w:lang w:val="en-US"/>
        </w:rPr>
        <w:t>, Belgium</w:t>
      </w: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KU Leuven, Department of Biology, Plant Conservation and Population Biology</w:t>
      </w: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6480" w:rsidRPr="00724B87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6480" w:rsidRDefault="00876480" w:rsidP="0087648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 Corresponding authors</w:t>
      </w:r>
    </w:p>
    <w:p w:rsidR="00B352BC" w:rsidRDefault="00876480" w:rsidP="0087648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Pr="006834CF">
        <w:rPr>
          <w:rFonts w:ascii="Times New Roman" w:hAnsi="Times New Roman" w:cs="Times New Roman"/>
          <w:sz w:val="24"/>
          <w:szCs w:val="24"/>
          <w:lang w:val="en-US"/>
        </w:rPr>
        <w:t>teun.everts@inbo.be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(TE), </w:t>
      </w:r>
      <w:hyperlink r:id="rId5" w:history="1">
        <w:r w:rsidRPr="00871C85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rein.brys@inbo.be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(RB)</w:t>
      </w:r>
    </w:p>
    <w:p w:rsidR="00E56917" w:rsidRPr="00173EAF" w:rsidRDefault="00E67BB0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S1</w:t>
      </w:r>
      <w:r w:rsidR="00E56917" w:rsidRPr="00940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6917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E56917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 w:rsidR="00E569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56917">
        <w:rPr>
          <w:rFonts w:ascii="Times New Roman" w:hAnsi="Times New Roman" w:cs="Times New Roman"/>
          <w:sz w:val="24"/>
          <w:szCs w:val="24"/>
        </w:rPr>
        <w:t xml:space="preserve">alignment of </w:t>
      </w:r>
      <w:proofErr w:type="spellStart"/>
      <w:r w:rsidR="00E56917">
        <w:rPr>
          <w:rFonts w:ascii="Times New Roman" w:hAnsi="Times New Roman" w:cs="Times New Roman"/>
          <w:sz w:val="24"/>
          <w:szCs w:val="24"/>
        </w:rPr>
        <w:t>amplicon</w:t>
      </w:r>
      <w:proofErr w:type="spellEnd"/>
      <w:r w:rsidR="00E56917">
        <w:rPr>
          <w:rFonts w:ascii="Times New Roman" w:hAnsi="Times New Roman" w:cs="Times New Roman"/>
          <w:sz w:val="24"/>
          <w:szCs w:val="24"/>
        </w:rPr>
        <w:t xml:space="preserve"> sequences from </w:t>
      </w:r>
      <w:r w:rsidR="003921B5">
        <w:rPr>
          <w:rFonts w:ascii="Times New Roman" w:hAnsi="Times New Roman" w:cs="Times New Roman"/>
          <w:sz w:val="24"/>
          <w:szCs w:val="24"/>
        </w:rPr>
        <w:t xml:space="preserve">the most common amphibian species co-occurring with bullfrogs in Western Europe </w:t>
      </w:r>
      <w:r w:rsidR="00E5691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569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Lissotriton</w:t>
      </w:r>
      <w:proofErr w:type="spellEnd"/>
      <w:r w:rsidR="00E569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E569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helveticus</w:t>
      </w:r>
      <w:proofErr w:type="spellEnd"/>
      <w:r w:rsidR="00E569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876480">
        <w:rPr>
          <w:rFonts w:ascii="Times New Roman" w:hAnsi="Times New Roman" w:cs="Times New Roman"/>
          <w:color w:val="000000" w:themeColor="text1"/>
          <w:sz w:val="24"/>
          <w:szCs w:val="24"/>
        </w:rPr>
        <w:t>was excluded</w:t>
      </w:r>
      <w:r w:rsidR="00E56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since no 16S </w:t>
      </w:r>
      <w:proofErr w:type="spellStart"/>
      <w:r w:rsidR="00E56917">
        <w:rPr>
          <w:rFonts w:ascii="Times New Roman" w:hAnsi="Times New Roman" w:cs="Times New Roman"/>
          <w:color w:val="000000" w:themeColor="text1"/>
          <w:sz w:val="24"/>
          <w:szCs w:val="24"/>
        </w:rPr>
        <w:t>rRNA</w:t>
      </w:r>
      <w:proofErr w:type="spellEnd"/>
      <w:r w:rsidR="00E56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sequences were available</w:t>
      </w:r>
      <w:r w:rsidR="00E56917">
        <w:rPr>
          <w:rFonts w:ascii="Times New Roman" w:hAnsi="Times New Roman" w:cs="Times New Roman"/>
          <w:sz w:val="24"/>
          <w:szCs w:val="24"/>
        </w:rPr>
        <w:t>) with corresponding INSDC accession numbers</w:t>
      </w:r>
      <w:r w:rsidR="00E56917" w:rsidRPr="00A525D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E56917">
        <w:rPr>
          <w:rFonts w:ascii="Times New Roman" w:hAnsi="Times New Roman" w:cs="Times New Roman"/>
          <w:sz w:val="24"/>
          <w:szCs w:val="24"/>
        </w:rPr>
        <w:t>compared to the bullfrog reference sequence, showing mismatches to the primer and probe binding sites for</w:t>
      </w:r>
      <w:r w:rsidR="00F7320E">
        <w:rPr>
          <w:rFonts w:ascii="Times New Roman" w:hAnsi="Times New Roman" w:cs="Times New Roman"/>
          <w:sz w:val="24"/>
          <w:szCs w:val="24"/>
        </w:rPr>
        <w:t xml:space="preserve"> </w:t>
      </w:r>
      <w:r w:rsidR="00F7320E" w:rsidRPr="00F7320E">
        <w:rPr>
          <w:rFonts w:ascii="Times New Roman" w:hAnsi="Times New Roman" w:cs="Times New Roman"/>
          <w:color w:val="C00000"/>
          <w:sz w:val="24"/>
          <w:szCs w:val="24"/>
        </w:rPr>
        <w:t xml:space="preserve">(a) </w:t>
      </w:r>
      <w:r w:rsidR="00E5691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56917">
        <w:rPr>
          <w:rFonts w:ascii="Times New Roman" w:hAnsi="Times New Roman" w:cs="Times New Roman"/>
          <w:sz w:val="24"/>
          <w:szCs w:val="24"/>
        </w:rPr>
        <w:t>Strickler</w:t>
      </w:r>
      <w:proofErr w:type="spellEnd"/>
      <w:r w:rsidR="00E56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6917">
        <w:rPr>
          <w:rFonts w:ascii="Times New Roman" w:hAnsi="Times New Roman" w:cs="Times New Roman"/>
          <w:sz w:val="24"/>
          <w:szCs w:val="24"/>
        </w:rPr>
        <w:t>Veldhoen</w:t>
      </w:r>
      <w:proofErr w:type="spellEnd"/>
      <w:r w:rsidR="00D73235">
        <w:rPr>
          <w:rFonts w:ascii="Times New Roman" w:hAnsi="Times New Roman" w:cs="Times New Roman"/>
          <w:sz w:val="24"/>
          <w:szCs w:val="24"/>
        </w:rPr>
        <w:t>,</w:t>
      </w:r>
      <w:r w:rsidR="00E56917">
        <w:rPr>
          <w:rFonts w:ascii="Times New Roman" w:hAnsi="Times New Roman" w:cs="Times New Roman"/>
          <w:sz w:val="24"/>
          <w:szCs w:val="24"/>
        </w:rPr>
        <w:t xml:space="preserve"> and Goldberg assays targeting the cytochrome </w:t>
      </w:r>
      <w:r w:rsidR="00E56917" w:rsidRPr="008B341D">
        <w:rPr>
          <w:rFonts w:ascii="Times New Roman" w:hAnsi="Times New Roman" w:cs="Times New Roman"/>
          <w:i/>
          <w:color w:val="C00000"/>
          <w:sz w:val="24"/>
          <w:szCs w:val="24"/>
        </w:rPr>
        <w:t>b</w:t>
      </w:r>
      <w:r w:rsidR="00E56917">
        <w:rPr>
          <w:rFonts w:ascii="Times New Roman" w:hAnsi="Times New Roman" w:cs="Times New Roman"/>
          <w:sz w:val="24"/>
          <w:szCs w:val="24"/>
        </w:rPr>
        <w:t xml:space="preserve"> gene (upper section)</w:t>
      </w:r>
      <w:r w:rsidR="00D73235">
        <w:rPr>
          <w:rFonts w:ascii="Times New Roman" w:hAnsi="Times New Roman" w:cs="Times New Roman"/>
          <w:sz w:val="24"/>
          <w:szCs w:val="24"/>
        </w:rPr>
        <w:t>,</w:t>
      </w:r>
      <w:r w:rsidR="00E56917">
        <w:rPr>
          <w:rFonts w:ascii="Times New Roman" w:hAnsi="Times New Roman" w:cs="Times New Roman"/>
          <w:sz w:val="24"/>
          <w:szCs w:val="24"/>
        </w:rPr>
        <w:t xml:space="preserve"> and </w:t>
      </w:r>
      <w:r w:rsidR="00F7320E">
        <w:rPr>
          <w:rFonts w:ascii="Times New Roman" w:hAnsi="Times New Roman" w:cs="Times New Roman"/>
          <w:color w:val="C00000"/>
          <w:sz w:val="24"/>
          <w:szCs w:val="24"/>
        </w:rPr>
        <w:t>(b</w:t>
      </w:r>
      <w:r w:rsidR="00F7320E" w:rsidRPr="00F7320E">
        <w:rPr>
          <w:rFonts w:ascii="Times New Roman" w:hAnsi="Times New Roman" w:cs="Times New Roman"/>
          <w:color w:val="C00000"/>
          <w:sz w:val="24"/>
          <w:szCs w:val="24"/>
        </w:rPr>
        <w:t xml:space="preserve">) </w:t>
      </w:r>
      <w:r w:rsidR="00E56917">
        <w:rPr>
          <w:rFonts w:ascii="Times New Roman" w:hAnsi="Times New Roman" w:cs="Times New Roman"/>
          <w:sz w:val="24"/>
          <w:szCs w:val="24"/>
        </w:rPr>
        <w:t xml:space="preserve">the Lin assay targeting the 16S </w:t>
      </w:r>
      <w:proofErr w:type="spellStart"/>
      <w:r w:rsidR="00E56917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="00E56917">
        <w:rPr>
          <w:rFonts w:ascii="Times New Roman" w:hAnsi="Times New Roman" w:cs="Times New Roman"/>
          <w:sz w:val="24"/>
          <w:szCs w:val="24"/>
        </w:rPr>
        <w:t xml:space="preserve"> gene (lower section).</w:t>
      </w:r>
    </w:p>
    <w:p w:rsidR="00E56917" w:rsidRDefault="00E67BB0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S1</w:t>
      </w:r>
      <w:r w:rsidR="00E56917" w:rsidRPr="00940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6917" w:rsidRPr="00940F5E">
        <w:rPr>
          <w:rFonts w:ascii="Times New Roman" w:hAnsi="Times New Roman" w:cs="Times New Roman"/>
          <w:sz w:val="24"/>
          <w:szCs w:val="24"/>
        </w:rPr>
        <w:t>Sub</w:t>
      </w:r>
      <w:r w:rsidR="00876480">
        <w:rPr>
          <w:rFonts w:ascii="Times New Roman" w:hAnsi="Times New Roman" w:cs="Times New Roman"/>
          <w:sz w:val="24"/>
          <w:szCs w:val="24"/>
        </w:rPr>
        <w:t>set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56917">
        <w:rPr>
          <w:rFonts w:ascii="Times New Roman" w:hAnsi="Times New Roman" w:cs="Times New Roman"/>
          <w:sz w:val="24"/>
          <w:szCs w:val="24"/>
        </w:rPr>
        <w:t>eDNA</w:t>
      </w:r>
      <w:proofErr w:type="spellEnd"/>
      <w:r w:rsidR="00E56917">
        <w:rPr>
          <w:rFonts w:ascii="Times New Roman" w:hAnsi="Times New Roman" w:cs="Times New Roman"/>
          <w:sz w:val="24"/>
          <w:szCs w:val="24"/>
        </w:rPr>
        <w:t xml:space="preserve"> 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samples originating from a </w:t>
      </w:r>
      <w:proofErr w:type="spellStart"/>
      <w:r w:rsidR="00E56917" w:rsidRPr="00940F5E">
        <w:rPr>
          <w:rFonts w:ascii="Times New Roman" w:hAnsi="Times New Roman" w:cs="Times New Roman"/>
          <w:sz w:val="24"/>
          <w:szCs w:val="24"/>
        </w:rPr>
        <w:t>metabarcoding</w:t>
      </w:r>
      <w:proofErr w:type="spellEnd"/>
      <w:r w:rsidR="00E56917" w:rsidRPr="00940F5E">
        <w:rPr>
          <w:rFonts w:ascii="Times New Roman" w:hAnsi="Times New Roman" w:cs="Times New Roman"/>
          <w:sz w:val="24"/>
          <w:szCs w:val="24"/>
        </w:rPr>
        <w:t xml:space="preserve"> study in </w:t>
      </w:r>
      <w:r w:rsidR="00E56917">
        <w:rPr>
          <w:rFonts w:ascii="Times New Roman" w:hAnsi="Times New Roman" w:cs="Times New Roman"/>
          <w:sz w:val="24"/>
          <w:szCs w:val="24"/>
        </w:rPr>
        <w:t>Belgium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 outside the distribution range of bullfrogs</w:t>
      </w:r>
      <w:r w:rsidR="00E56917">
        <w:rPr>
          <w:rFonts w:ascii="Times New Roman" w:hAnsi="Times New Roman" w:cs="Times New Roman"/>
          <w:sz w:val="24"/>
          <w:szCs w:val="24"/>
        </w:rPr>
        <w:t xml:space="preserve"> </w:t>
      </w:r>
      <w:r w:rsidR="00F7320E" w:rsidRPr="00F7320E">
        <w:rPr>
          <w:rFonts w:ascii="Times New Roman" w:hAnsi="Times New Roman" w:cs="Times New Roman"/>
          <w:color w:val="C00000"/>
          <w:sz w:val="24"/>
          <w:szCs w:val="24"/>
        </w:rPr>
        <w:t xml:space="preserve">using the vertebrate-specific </w:t>
      </w:r>
      <w:proofErr w:type="spellStart"/>
      <w:r w:rsidR="00F7320E" w:rsidRPr="00F7320E">
        <w:rPr>
          <w:rFonts w:ascii="Times New Roman" w:hAnsi="Times New Roman" w:cs="Times New Roman"/>
          <w:color w:val="C00000"/>
          <w:sz w:val="24"/>
          <w:szCs w:val="24"/>
        </w:rPr>
        <w:t>Riaz</w:t>
      </w:r>
      <w:proofErr w:type="spellEnd"/>
      <w:r w:rsidR="00F7320E" w:rsidRPr="00F7320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F7320E">
        <w:rPr>
          <w:rFonts w:ascii="Times New Roman" w:hAnsi="Times New Roman" w:cs="Times New Roman"/>
          <w:color w:val="C00000"/>
          <w:sz w:val="24"/>
          <w:szCs w:val="24"/>
        </w:rPr>
        <w:t xml:space="preserve">generalist </w:t>
      </w:r>
      <w:r w:rsidR="00F7320E" w:rsidRPr="00F7320E">
        <w:rPr>
          <w:rFonts w:ascii="Times New Roman" w:hAnsi="Times New Roman" w:cs="Times New Roman"/>
          <w:color w:val="C00000"/>
          <w:sz w:val="24"/>
          <w:szCs w:val="24"/>
        </w:rPr>
        <w:t>primer set</w:t>
      </w:r>
      <w:r w:rsidR="00960480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960480" w:rsidRPr="00940F5E">
        <w:rPr>
          <w:rFonts w:ascii="Times New Roman" w:hAnsi="Times New Roman" w:cs="Times New Roman"/>
          <w:sz w:val="24"/>
          <w:szCs w:val="24"/>
        </w:rPr>
        <w:t>(unpublished results)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, used for the </w:t>
      </w:r>
      <w:r w:rsidR="00E56917" w:rsidRPr="00940F5E">
        <w:rPr>
          <w:rFonts w:ascii="Times New Roman" w:hAnsi="Times New Roman" w:cs="Times New Roman"/>
          <w:i/>
          <w:sz w:val="24"/>
          <w:szCs w:val="24"/>
        </w:rPr>
        <w:t xml:space="preserve">in situ 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evaluation of the specificity of both assays under comparison. The proportional number of reads for </w:t>
      </w:r>
      <w:r w:rsidR="00E56917">
        <w:rPr>
          <w:rFonts w:ascii="Times New Roman" w:hAnsi="Times New Roman" w:cs="Times New Roman"/>
          <w:sz w:val="24"/>
          <w:szCs w:val="24"/>
        </w:rPr>
        <w:t>native a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mphibians </w:t>
      </w:r>
      <w:r w:rsidR="00E56917">
        <w:rPr>
          <w:rFonts w:ascii="Times New Roman" w:hAnsi="Times New Roman" w:cs="Times New Roman"/>
          <w:sz w:val="24"/>
          <w:szCs w:val="24"/>
        </w:rPr>
        <w:t xml:space="preserve">most commonly </w:t>
      </w:r>
      <w:r w:rsidR="00BF05B7">
        <w:rPr>
          <w:rFonts w:ascii="Times New Roman" w:hAnsi="Times New Roman" w:cs="Times New Roman"/>
          <w:sz w:val="24"/>
          <w:szCs w:val="24"/>
        </w:rPr>
        <w:t>co-</w:t>
      </w:r>
      <w:r w:rsidR="00E56917">
        <w:rPr>
          <w:rFonts w:ascii="Times New Roman" w:hAnsi="Times New Roman" w:cs="Times New Roman"/>
          <w:sz w:val="24"/>
          <w:szCs w:val="24"/>
        </w:rPr>
        <w:t xml:space="preserve">occurring </w:t>
      </w:r>
      <w:r w:rsidR="00BF05B7">
        <w:rPr>
          <w:rFonts w:ascii="Times New Roman" w:hAnsi="Times New Roman" w:cs="Times New Roman"/>
          <w:sz w:val="24"/>
          <w:szCs w:val="24"/>
        </w:rPr>
        <w:t xml:space="preserve">with bullfrogs </w:t>
      </w:r>
      <w:r w:rsidR="00876480">
        <w:rPr>
          <w:rFonts w:ascii="Times New Roman" w:hAnsi="Times New Roman" w:cs="Times New Roman"/>
          <w:sz w:val="24"/>
          <w:szCs w:val="24"/>
        </w:rPr>
        <w:t xml:space="preserve">in Western Europe </w:t>
      </w:r>
      <w:r w:rsidR="00E56917" w:rsidRPr="00940F5E">
        <w:rPr>
          <w:rFonts w:ascii="Times New Roman" w:hAnsi="Times New Roman" w:cs="Times New Roman"/>
          <w:sz w:val="24"/>
          <w:szCs w:val="24"/>
        </w:rPr>
        <w:t xml:space="preserve">are given for thirteen ponds and the </w:t>
      </w:r>
      <w:r w:rsidR="00D73235">
        <w:rPr>
          <w:rFonts w:ascii="Times New Roman" w:hAnsi="Times New Roman" w:cs="Times New Roman"/>
          <w:sz w:val="24"/>
          <w:szCs w:val="24"/>
        </w:rPr>
        <w:t xml:space="preserve">amphibian species with the highest proportional number of reads per pond </w:t>
      </w:r>
      <w:r w:rsidR="00E56917" w:rsidRPr="00940F5E">
        <w:rPr>
          <w:rFonts w:ascii="Times New Roman" w:hAnsi="Times New Roman" w:cs="Times New Roman"/>
          <w:sz w:val="24"/>
          <w:szCs w:val="24"/>
        </w:rPr>
        <w:t>are indicated in bold.</w:t>
      </w: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917" w:rsidRDefault="00E56917" w:rsidP="00E56917">
      <w:pPr>
        <w:spacing w:line="480" w:lineRule="auto"/>
        <w:jc w:val="both"/>
        <w:sectPr w:rsidR="00E56917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:rsidR="00E56917" w:rsidRDefault="00E67BB0" w:rsidP="00E67BB0">
      <w:pPr>
        <w:spacing w:line="480" w:lineRule="auto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S1</w:t>
      </w:r>
      <w:r w:rsidRPr="00940F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56917" w:rsidRDefault="007B2C08" w:rsidP="00E56917">
      <w:pPr>
        <w:spacing w:line="480" w:lineRule="auto"/>
        <w:jc w:val="both"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C779A18" wp14:editId="635F41F0">
            <wp:simplePos x="0" y="0"/>
            <wp:positionH relativeFrom="column">
              <wp:posOffset>0</wp:posOffset>
            </wp:positionH>
            <wp:positionV relativeFrom="paragraph">
              <wp:posOffset>238760</wp:posOffset>
            </wp:positionV>
            <wp:extent cx="8466455" cy="5124450"/>
            <wp:effectExtent l="0" t="0" r="0" b="0"/>
            <wp:wrapTight wrapText="bothSides">
              <wp:wrapPolygon edited="0">
                <wp:start x="0" y="0"/>
                <wp:lineTo x="0" y="21520"/>
                <wp:lineTo x="21530" y="21520"/>
                <wp:lineTo x="21530" y="0"/>
                <wp:lineTo x="0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lico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28" b="11069"/>
                    <a:stretch/>
                  </pic:blipFill>
                  <pic:spPr bwMode="auto">
                    <a:xfrm>
                      <a:off x="0" y="0"/>
                      <a:ext cx="8466455" cy="512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6917" w:rsidRPr="00736305" w:rsidRDefault="00E67BB0" w:rsidP="00E569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S1</w:t>
      </w:r>
    </w:p>
    <w:tbl>
      <w:tblPr>
        <w:tblStyle w:val="Tabelraster"/>
        <w:tblW w:w="142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992"/>
        <w:gridCol w:w="993"/>
        <w:gridCol w:w="954"/>
        <w:gridCol w:w="992"/>
        <w:gridCol w:w="992"/>
        <w:gridCol w:w="993"/>
        <w:gridCol w:w="973"/>
        <w:gridCol w:w="992"/>
        <w:gridCol w:w="992"/>
        <w:gridCol w:w="992"/>
        <w:gridCol w:w="993"/>
        <w:gridCol w:w="906"/>
      </w:tblGrid>
      <w:tr w:rsidR="00E56917" w:rsidRPr="00A266A3" w:rsidTr="00A92548">
        <w:trPr>
          <w:cantSplit/>
          <w:trHeight w:val="1134"/>
          <w:jc w:val="center"/>
        </w:trPr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:rsidR="00E56917" w:rsidRPr="00A266A3" w:rsidRDefault="00E56917" w:rsidP="00A925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A3">
              <w:rPr>
                <w:rFonts w:ascii="Times New Roman" w:hAnsi="Times New Roman" w:cs="Times New Roman"/>
                <w:b/>
                <w:sz w:val="24"/>
                <w:szCs w:val="24"/>
              </w:rPr>
              <w:t>Amphibian</w:t>
            </w:r>
          </w:p>
          <w:p w:rsidR="00E56917" w:rsidRPr="00A266A3" w:rsidRDefault="00E56917" w:rsidP="00A925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A3">
              <w:rPr>
                <w:rFonts w:ascii="Times New Roman" w:hAnsi="Times New Roman" w:cs="Times New Roman"/>
                <w:b/>
                <w:sz w:val="24"/>
                <w:szCs w:val="24"/>
              </w:rPr>
              <w:t>species</w:t>
            </w:r>
          </w:p>
          <w:p w:rsidR="00E56917" w:rsidRPr="00A266A3" w:rsidRDefault="00E56917" w:rsidP="00A925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</w:rPr>
            </w:pPr>
            <w:r w:rsidRPr="00A266A3">
              <w:rPr>
                <w:rFonts w:ascii="Times New Roman" w:hAnsi="Times New Roman" w:cs="Times New Roman"/>
                <w:b/>
                <w:sz w:val="24"/>
                <w:szCs w:val="24"/>
              </w:rPr>
              <w:t>Pond ID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Ichthyosaura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alpestris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Hyla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arborea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Rana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temporaria</w:t>
            </w:r>
            <w:proofErr w:type="spellEnd"/>
          </w:p>
        </w:tc>
        <w:tc>
          <w:tcPr>
            <w:tcW w:w="95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Bufo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bufo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Pelophylax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esculenta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complex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Rana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arvalis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Triturus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cristatus</w:t>
            </w:r>
            <w:proofErr w:type="spellEnd"/>
          </w:p>
        </w:tc>
        <w:tc>
          <w:tcPr>
            <w:tcW w:w="97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Lissotriton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vulgaris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Pelobates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fuscus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Pelophylax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bedriagae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Epidalea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calamita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Lissotriton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helveticus</w:t>
            </w:r>
            <w:proofErr w:type="spellEnd"/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extDirection w:val="btLr"/>
          </w:tcPr>
          <w:p w:rsidR="00E56917" w:rsidRPr="00A266A3" w:rsidRDefault="00E56917" w:rsidP="00A92548">
            <w:pPr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>Alytes</w:t>
            </w:r>
            <w:proofErr w:type="spellEnd"/>
            <w:r w:rsidRPr="00A26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i/>
                <w:sz w:val="23"/>
                <w:szCs w:val="23"/>
              </w:rPr>
              <w:t>obstetricans</w:t>
            </w:r>
            <w:proofErr w:type="spellEnd"/>
          </w:p>
        </w:tc>
      </w:tr>
      <w:tr w:rsidR="00E56917" w:rsidTr="00A92548">
        <w:trPr>
          <w:jc w:val="center"/>
        </w:trPr>
        <w:tc>
          <w:tcPr>
            <w:tcW w:w="1384" w:type="dxa"/>
            <w:tcBorders>
              <w:top w:val="single" w:sz="8" w:space="0" w:color="auto"/>
            </w:tcBorders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Huldenberg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1a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2.045 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2.045x10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54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0.32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4.091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  <w:tcBorders>
              <w:top w:val="single" w:sz="8" w:space="0" w:color="auto"/>
            </w:tcBorders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66A3">
              <w:rPr>
                <w:rFonts w:ascii="Times New Roman" w:hAnsi="Times New Roman" w:cs="Times New Roman"/>
                <w:b/>
                <w:sz w:val="16"/>
                <w:szCs w:val="16"/>
              </w:rPr>
              <w:t>0.48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Huldenberg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5b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0.44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7.24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  <w:shd w:val="clear" w:color="auto" w:fill="F2F2F2" w:themeFill="background1" w:themeFillShade="F2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0.38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1.20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8.39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06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Huldenberg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1a</w:t>
            </w:r>
          </w:p>
        </w:tc>
        <w:tc>
          <w:tcPr>
            <w:tcW w:w="113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0.68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954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66A3">
              <w:rPr>
                <w:rFonts w:ascii="Times New Roman" w:hAnsi="Times New Roman" w:cs="Times New Roman"/>
                <w:b/>
                <w:sz w:val="16"/>
                <w:szCs w:val="16"/>
              </w:rPr>
              <w:t>0.17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0.0058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1.24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Hoge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Kempen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3b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3.43x10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0.0099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0.35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0.41</w:t>
            </w:r>
          </w:p>
        </w:tc>
        <w:tc>
          <w:tcPr>
            <w:tcW w:w="906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Hoge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Kempen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3b</w:t>
            </w:r>
          </w:p>
        </w:tc>
        <w:tc>
          <w:tcPr>
            <w:tcW w:w="113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0.00017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0.00074</w:t>
            </w:r>
          </w:p>
        </w:tc>
        <w:tc>
          <w:tcPr>
            <w:tcW w:w="95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6.33 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0.46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0.20</w:t>
            </w:r>
          </w:p>
        </w:tc>
        <w:tc>
          <w:tcPr>
            <w:tcW w:w="993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0.33</w:t>
            </w:r>
          </w:p>
        </w:tc>
        <w:tc>
          <w:tcPr>
            <w:tcW w:w="906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Midden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Limburg 4a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0.38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97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66A3">
              <w:rPr>
                <w:rFonts w:ascii="Times New Roman" w:hAnsi="Times New Roman" w:cs="Times New Roman"/>
                <w:sz w:val="16"/>
                <w:szCs w:val="16"/>
              </w:rPr>
              <w:t>0.311x10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06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266A3">
              <w:rPr>
                <w:rFonts w:ascii="Times New Roman" w:hAnsi="Times New Roman" w:cs="Times New Roman"/>
                <w:b/>
                <w:sz w:val="20"/>
              </w:rPr>
              <w:t>De Brand 2a</w:t>
            </w:r>
          </w:p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0.40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5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0.43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8.96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06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266A3">
              <w:rPr>
                <w:rFonts w:ascii="Times New Roman" w:hAnsi="Times New Roman" w:cs="Times New Roman"/>
                <w:b/>
                <w:sz w:val="20"/>
              </w:rPr>
              <w:t>Peer</w:t>
            </w:r>
          </w:p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2.39x10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9.22 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0.53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7.51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0.25</w:t>
            </w:r>
          </w:p>
        </w:tc>
        <w:tc>
          <w:tcPr>
            <w:tcW w:w="97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8.94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906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Waasland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>-haven</w:t>
            </w:r>
          </w:p>
        </w:tc>
        <w:tc>
          <w:tcPr>
            <w:tcW w:w="113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5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0.46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3" w:type="dxa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0.53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266A3">
              <w:rPr>
                <w:rFonts w:ascii="Times New Roman" w:hAnsi="Times New Roman" w:cs="Times New Roman"/>
                <w:b/>
                <w:sz w:val="20"/>
              </w:rPr>
              <w:t>Peer</w:t>
            </w:r>
          </w:p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2.94 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0.25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0.48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97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3.22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66A3">
              <w:rPr>
                <w:rFonts w:ascii="Times New Roman" w:hAnsi="Times New Roman" w:cs="Times New Roman"/>
                <w:b/>
                <w:sz w:val="20"/>
              </w:rPr>
              <w:t>Midden</w:t>
            </w:r>
            <w:proofErr w:type="spellEnd"/>
            <w:r w:rsidRPr="00A266A3">
              <w:rPr>
                <w:rFonts w:ascii="Times New Roman" w:hAnsi="Times New Roman" w:cs="Times New Roman"/>
                <w:b/>
                <w:sz w:val="20"/>
              </w:rPr>
              <w:t xml:space="preserve"> Limburg 4b</w:t>
            </w:r>
          </w:p>
        </w:tc>
        <w:tc>
          <w:tcPr>
            <w:tcW w:w="113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954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1.24 x10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-6</w:t>
            </w:r>
          </w:p>
        </w:tc>
        <w:tc>
          <w:tcPr>
            <w:tcW w:w="992" w:type="dxa"/>
          </w:tcPr>
          <w:p w:rsidR="00E56917" w:rsidRPr="002E78AB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0.65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1.24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 xml:space="preserve"> 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7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shd w:val="clear" w:color="auto" w:fill="F2F2F2" w:themeFill="background1" w:themeFillShade="F2"/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266A3">
              <w:rPr>
                <w:rFonts w:ascii="Times New Roman" w:hAnsi="Times New Roman" w:cs="Times New Roman"/>
                <w:b/>
                <w:sz w:val="20"/>
              </w:rPr>
              <w:t>De Brand 2a</w:t>
            </w:r>
          </w:p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0.41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E78AB">
              <w:rPr>
                <w:rFonts w:ascii="Times New Roman" w:hAnsi="Times New Roman" w:cs="Times New Roman"/>
                <w:b/>
                <w:sz w:val="16"/>
                <w:szCs w:val="16"/>
              </w:rPr>
              <w:t>0.34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97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2.41</w:t>
            </w: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x10</w:t>
            </w:r>
            <w:r w:rsidRPr="0073630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  <w:shd w:val="clear" w:color="auto" w:fill="F2F2F2" w:themeFill="background1" w:themeFillShade="F2"/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6917" w:rsidTr="00A92548">
        <w:trPr>
          <w:jc w:val="center"/>
        </w:trPr>
        <w:tc>
          <w:tcPr>
            <w:tcW w:w="1384" w:type="dxa"/>
            <w:tcBorders>
              <w:bottom w:val="single" w:sz="8" w:space="0" w:color="auto"/>
            </w:tcBorders>
          </w:tcPr>
          <w:p w:rsidR="00E56917" w:rsidRPr="00A266A3" w:rsidRDefault="00E56917" w:rsidP="00A92548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A266A3">
              <w:rPr>
                <w:rFonts w:ascii="Times New Roman" w:hAnsi="Times New Roman" w:cs="Times New Roman"/>
                <w:b/>
                <w:sz w:val="20"/>
              </w:rPr>
              <w:t>De Brand 2b-2c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sz w:val="16"/>
                <w:szCs w:val="16"/>
              </w:rPr>
              <w:t>0.00018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0.50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36305">
              <w:rPr>
                <w:rFonts w:ascii="Times New Roman" w:hAnsi="Times New Roman" w:cs="Times New Roman"/>
                <w:b/>
                <w:sz w:val="16"/>
                <w:szCs w:val="16"/>
              </w:rPr>
              <w:t>0.46</w:t>
            </w:r>
          </w:p>
        </w:tc>
        <w:tc>
          <w:tcPr>
            <w:tcW w:w="954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0.00055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0.00040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0.00037</w:t>
            </w:r>
          </w:p>
        </w:tc>
        <w:tc>
          <w:tcPr>
            <w:tcW w:w="973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0.00025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6" w:type="dxa"/>
            <w:tcBorders>
              <w:bottom w:val="single" w:sz="8" w:space="0" w:color="auto"/>
            </w:tcBorders>
          </w:tcPr>
          <w:p w:rsidR="00E56917" w:rsidRPr="00736305" w:rsidRDefault="00E56917" w:rsidP="00A925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E56917" w:rsidRDefault="00E56917" w:rsidP="00E56917">
      <w:pPr>
        <w:spacing w:line="480" w:lineRule="auto"/>
        <w:jc w:val="both"/>
        <w:sectPr w:rsidR="00E56917" w:rsidSect="00E56917"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E56917" w:rsidRDefault="00267E87" w:rsidP="00E56917">
      <w:pPr>
        <w:tabs>
          <w:tab w:val="left" w:pos="157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Methods</w:t>
      </w:r>
    </w:p>
    <w:p w:rsidR="00267E87" w:rsidRPr="004844C8" w:rsidRDefault="00267E87" w:rsidP="00267E87">
      <w:pPr>
        <w:pStyle w:val="Kop2"/>
        <w:rPr>
          <w:rFonts w:cs="Times New Roman"/>
          <w:sz w:val="24"/>
          <w:szCs w:val="24"/>
          <w:lang w:val="en-US"/>
        </w:rPr>
      </w:pPr>
      <w:proofErr w:type="spellStart"/>
      <w:r w:rsidRPr="004844C8">
        <w:rPr>
          <w:rFonts w:cs="Times New Roman"/>
          <w:sz w:val="24"/>
          <w:szCs w:val="24"/>
          <w:lang w:val="en-US"/>
        </w:rPr>
        <w:t>ddPCR</w:t>
      </w:r>
      <w:proofErr w:type="spellEnd"/>
      <w:r w:rsidRPr="004844C8">
        <w:rPr>
          <w:rFonts w:cs="Times New Roman"/>
          <w:sz w:val="24"/>
          <w:szCs w:val="24"/>
          <w:lang w:val="en-US"/>
        </w:rPr>
        <w:t xml:space="preserve"> analyses</w:t>
      </w:r>
    </w:p>
    <w:p w:rsidR="00E01DCE" w:rsidRDefault="00267E87" w:rsidP="00444E57">
      <w:pPr>
        <w:spacing w:line="480" w:lineRule="auto"/>
        <w:jc w:val="both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Digital droplet PCR </w:t>
      </w:r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>(</w:t>
      </w:r>
      <w:proofErr w:type="spellStart"/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>ddPCR</w:t>
      </w:r>
      <w:proofErr w:type="spellEnd"/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>) rel</w:t>
      </w:r>
      <w:r w:rsidR="0082287B">
        <w:rPr>
          <w:rFonts w:ascii="Times New Roman" w:hAnsi="Times New Roman" w:cs="Times New Roman"/>
          <w:color w:val="C00000"/>
          <w:sz w:val="24"/>
          <w:szCs w:val="24"/>
          <w:lang w:val="en-US"/>
        </w:rPr>
        <w:t>ies</w:t>
      </w:r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on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the </w:t>
      </w:r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partitioning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of </w:t>
      </w:r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>DNA samples in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>to</w:t>
      </w:r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thousands of </w:t>
      </w:r>
      <w:r w:rsidR="00622041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extremely </w:t>
      </w:r>
      <w:r w:rsidR="00452B3C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small </w:t>
      </w:r>
      <w:r w:rsidR="00622041" w:rsidRPr="00452B3C">
        <w:rPr>
          <w:rFonts w:ascii="Times New Roman" w:hAnsi="Times New Roman" w:cs="Times New Roman"/>
          <w:color w:val="C00000"/>
          <w:sz w:val="24"/>
          <w:szCs w:val="24"/>
          <w:lang w:val="en-US"/>
        </w:rPr>
        <w:t>water-in-oil droplets</w:t>
      </w:r>
      <w:r w:rsidR="0082287B">
        <w:rPr>
          <w:rFonts w:ascii="Times New Roman" w:hAnsi="Times New Roman" w:cs="Times New Roman"/>
          <w:color w:val="C00000"/>
          <w:sz w:val="24"/>
          <w:szCs w:val="24"/>
          <w:lang w:val="en-US"/>
        </w:rPr>
        <w:t>, each containing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6F762D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only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one or a few </w:t>
      </w:r>
      <w:r w:rsidR="006F762D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copies of target DNA. 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Individual endpoint PCR reactions are carried out simultaneously </w:t>
      </w:r>
      <w:r w:rsidR="006F762D">
        <w:rPr>
          <w:rFonts w:ascii="Times New Roman" w:hAnsi="Times New Roman" w:cs="Times New Roman"/>
          <w:color w:val="C00000"/>
          <w:sz w:val="24"/>
          <w:szCs w:val="24"/>
          <w:lang w:val="en-US"/>
        </w:rPr>
        <w:t>with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>in each droplet, which is scored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as either target-positive or target-negative 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>using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5B49C2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probe-based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>fluorescence measurements (</w:t>
      </w:r>
      <w:r w:rsidR="00E01DCE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i.e.,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>a digital read-out)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>.</w:t>
      </w:r>
      <w:r w:rsidR="00622041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Poisson statistics allow the </w:t>
      </w:r>
      <w:r w:rsidR="005B49C2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absolute </w:t>
      </w:r>
      <w:r w:rsidR="00444E57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quantification of the initial number of target sequences from the number of positive and negative partitions.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The advantages of </w:t>
      </w:r>
      <w:proofErr w:type="spellStart"/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>ddPCR</w:t>
      </w:r>
      <w:proofErr w:type="spellEnd"/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compared to </w:t>
      </w:r>
      <w:proofErr w:type="spellStart"/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>qPCR</w:t>
      </w:r>
      <w:proofErr w:type="spellEnd"/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are fourfold: (i) the construction of calibration curves can be circumvented, (ii) a high number of individual partitions assures very precise results, (</w:t>
      </w:r>
      <w:bookmarkStart w:id="0" w:name="_GoBack"/>
      <w:bookmarkEnd w:id="0"/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iii) </w:t>
      </w:r>
      <w:r w:rsidR="0082287B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the 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accurate detection of few target DNA particles in a background of abundant non-target DNA, and (iv) </w:t>
      </w:r>
      <w:r w:rsidR="0082287B">
        <w:rPr>
          <w:rFonts w:ascii="Times New Roman" w:hAnsi="Times New Roman" w:cs="Times New Roman"/>
          <w:color w:val="C00000"/>
          <w:sz w:val="24"/>
          <w:szCs w:val="24"/>
          <w:lang w:val="en-US"/>
        </w:rPr>
        <w:t>a higher resilience</w:t>
      </w:r>
      <w:r w:rsidR="00E01DCE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against PCR-inhibiting agents.</w:t>
      </w:r>
    </w:p>
    <w:p w:rsidR="00267E87" w:rsidRPr="00622041" w:rsidRDefault="00452B3C" w:rsidP="00E01DCE">
      <w:pPr>
        <w:spacing w:line="480" w:lineRule="auto"/>
        <w:jc w:val="both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was conducted using a QX200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system (Bio-Rad,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Temse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, Belgium) in 20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μL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Each sample included 10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μL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Bio-Rad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supermix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for probes (no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dUTP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), 750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of each primer, 375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of each probe (IDT, Leuven, Belgium), 4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μL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template DNA, and was adjusted to the final volume of 20 µL by adding DEPC water (Sigma-Aldrich,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Overijse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, Belgium). </w:t>
      </w:r>
      <w:r w:rsidR="00267E87" w:rsidRPr="00267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Additionally, each </w:t>
      </w:r>
      <w:proofErr w:type="spellStart"/>
      <w:r w:rsidR="00267E87" w:rsidRPr="00267E87">
        <w:rPr>
          <w:rFonts w:ascii="Times New Roman" w:hAnsi="Times New Roman" w:cs="Times New Roman"/>
          <w:color w:val="000000" w:themeColor="text1"/>
          <w:sz w:val="24"/>
          <w:szCs w:val="24"/>
        </w:rPr>
        <w:t>ddPCR</w:t>
      </w:r>
      <w:proofErr w:type="spellEnd"/>
      <w:r w:rsidR="00267E87" w:rsidRPr="00267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plate also included six no template controls (NTC) containing 0.1x IDTE buffer (pH 8), as well as two positive reference samples comprising DNA extracted from bullfrog tissue. </w:t>
      </w:r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After droplet generation, the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96-well plate (Bio-Rad, cat no. 12001925) was sealed with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pierceable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foil (Bio-Rad, cat no. 181-4040) and brought into a C1000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Touch</w:t>
      </w:r>
      <w:r w:rsidR="00267E87" w:rsidRPr="00267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Thermal Cycler with a 96-well Deep Reaction Module (Bio-Rad). PCR conditions were 10 min at 95 °C, followed by 40 cycles of denaturation for 30 sec at 94 °C and </w:t>
      </w:r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lastRenderedPageBreak/>
        <w:t>annealing/extension at optimal temperatures (60 °C for the Goldberg assay and 55°C for the Lin assay) for 60 sec, with a ramp rate of 2 °C s</w:t>
      </w:r>
      <w:r w:rsidR="00267E87" w:rsidRPr="00267E8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, followed by 10 min at 98 °C and a hold at 12 °C.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analyses of the </w:t>
      </w:r>
      <w:proofErr w:type="spellStart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>mesocosm</w:t>
      </w:r>
      <w:proofErr w:type="spellEnd"/>
      <w:r w:rsidR="00267E87"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samples (6 technical replicates, 2x 1:2, 1:5, and 1:10 diluted) and seasonal samples (in triplicate 1:2 diluted) were run using the Goldberg assay (since this appeared to be the most sensitive and robust assay, see Results section). </w:t>
      </w:r>
    </w:p>
    <w:p w:rsidR="00267E87" w:rsidRPr="00421570" w:rsidRDefault="00267E87" w:rsidP="00267E8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Following amplification, all samples were incorporated into a QX200 droplet reader (Bio-Rad) to visualize the total amount of target-positive and target-negative droplets. Quantification of initial </w:t>
      </w:r>
      <w:proofErr w:type="spellStart"/>
      <w:r w:rsidRPr="00267E87">
        <w:rPr>
          <w:rFonts w:ascii="Times New Roman" w:hAnsi="Times New Roman" w:cs="Times New Roman"/>
          <w:sz w:val="24"/>
          <w:szCs w:val="24"/>
          <w:lang w:val="en-US"/>
        </w:rPr>
        <w:t>eDNA</w:t>
      </w:r>
      <w:proofErr w:type="spellEnd"/>
      <w:r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target copy numbers per µL was performed with the </w:t>
      </w:r>
      <w:proofErr w:type="spellStart"/>
      <w:r w:rsidRPr="00267E87">
        <w:rPr>
          <w:rFonts w:ascii="Times New Roman" w:hAnsi="Times New Roman" w:cs="Times New Roman"/>
          <w:sz w:val="24"/>
          <w:szCs w:val="24"/>
          <w:lang w:val="en-US"/>
        </w:rPr>
        <w:t>QuantaSoft</w:t>
      </w:r>
      <w:proofErr w:type="spellEnd"/>
      <w:r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software (v.1.7.4, Bio-Rad) and was estimated from the fraction of positive end-point reactions using Po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isson statistics. </w:t>
      </w:r>
      <w:r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Fluorescent thresholds for positive signals were determined according to </w:t>
      </w:r>
      <w:proofErr w:type="spellStart"/>
      <w:r w:rsidRPr="00267E87">
        <w:rPr>
          <w:rFonts w:ascii="Times New Roman" w:hAnsi="Times New Roman" w:cs="Times New Roman"/>
          <w:sz w:val="24"/>
          <w:szCs w:val="24"/>
          <w:lang w:val="en-US"/>
        </w:rPr>
        <w:t>QuantaSoft</w:t>
      </w:r>
      <w:proofErr w:type="spellEnd"/>
      <w:r w:rsidRPr="00267E87">
        <w:rPr>
          <w:rFonts w:ascii="Times New Roman" w:hAnsi="Times New Roman" w:cs="Times New Roman"/>
          <w:sz w:val="24"/>
          <w:szCs w:val="24"/>
          <w:lang w:val="en-US"/>
        </w:rPr>
        <w:t xml:space="preserve"> software instructions, and all droplets beyond this fluorescence threshold (Amplitude &gt; 3000) were counted as positive events, and those below it as negative events.</w:t>
      </w:r>
      <w:r w:rsidRPr="004215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67E87" w:rsidRPr="00267E87" w:rsidRDefault="00267E87" w:rsidP="00E56917">
      <w:pPr>
        <w:tabs>
          <w:tab w:val="left" w:pos="1578"/>
        </w:tabs>
      </w:pPr>
    </w:p>
    <w:sectPr w:rsidR="00267E87" w:rsidRPr="00267E8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17"/>
    <w:rsid w:val="000C0750"/>
    <w:rsid w:val="00267E87"/>
    <w:rsid w:val="003921B5"/>
    <w:rsid w:val="00444E57"/>
    <w:rsid w:val="00452B3C"/>
    <w:rsid w:val="004844C8"/>
    <w:rsid w:val="005B49C2"/>
    <w:rsid w:val="005F4353"/>
    <w:rsid w:val="00622041"/>
    <w:rsid w:val="006F762D"/>
    <w:rsid w:val="007B2C08"/>
    <w:rsid w:val="0082287B"/>
    <w:rsid w:val="00871C85"/>
    <w:rsid w:val="00876480"/>
    <w:rsid w:val="0089387E"/>
    <w:rsid w:val="008A0F38"/>
    <w:rsid w:val="008B341D"/>
    <w:rsid w:val="008F79DA"/>
    <w:rsid w:val="00960480"/>
    <w:rsid w:val="009D3A89"/>
    <w:rsid w:val="00A03077"/>
    <w:rsid w:val="00A0532F"/>
    <w:rsid w:val="00AE002F"/>
    <w:rsid w:val="00B352BC"/>
    <w:rsid w:val="00BC6230"/>
    <w:rsid w:val="00BF05B7"/>
    <w:rsid w:val="00D73235"/>
    <w:rsid w:val="00E01DCE"/>
    <w:rsid w:val="00E56917"/>
    <w:rsid w:val="00E67BB0"/>
    <w:rsid w:val="00EE1F92"/>
    <w:rsid w:val="00F7320E"/>
    <w:rsid w:val="00F9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56917"/>
    <w:rPr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7E87"/>
    <w:pPr>
      <w:keepNext/>
      <w:keepLines/>
      <w:spacing w:before="680" w:after="48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56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6917"/>
    <w:rPr>
      <w:rFonts w:ascii="Tahoma" w:hAnsi="Tahoma" w:cs="Tahoma"/>
      <w:sz w:val="16"/>
      <w:szCs w:val="16"/>
      <w:lang w:val="en-GB"/>
    </w:rPr>
  </w:style>
  <w:style w:type="table" w:styleId="Tabelraster">
    <w:name w:val="Table Grid"/>
    <w:basedOn w:val="Standaardtabel"/>
    <w:uiPriority w:val="59"/>
    <w:rsid w:val="00E56917"/>
    <w:pPr>
      <w:spacing w:after="0" w:line="240" w:lineRule="auto"/>
    </w:pPr>
    <w:rPr>
      <w:lang w:val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2Char">
    <w:name w:val="Kop 2 Char"/>
    <w:basedOn w:val="Standaardalinea-lettertype"/>
    <w:link w:val="Kop2"/>
    <w:uiPriority w:val="9"/>
    <w:rsid w:val="00267E87"/>
    <w:rPr>
      <w:rFonts w:ascii="Times New Roman" w:eastAsiaTheme="majorEastAsia" w:hAnsi="Times New Roman" w:cstheme="majorBidi"/>
      <w:b/>
      <w:bCs/>
      <w:sz w:val="28"/>
      <w:szCs w:val="26"/>
      <w:lang w:val="en-GB"/>
    </w:rPr>
  </w:style>
  <w:style w:type="character" w:styleId="Hyperlink">
    <w:name w:val="Hyperlink"/>
    <w:basedOn w:val="Standaardalinea-lettertype"/>
    <w:uiPriority w:val="99"/>
    <w:unhideWhenUsed/>
    <w:rsid w:val="008764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56917"/>
    <w:rPr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7E87"/>
    <w:pPr>
      <w:keepNext/>
      <w:keepLines/>
      <w:spacing w:before="680" w:after="48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56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6917"/>
    <w:rPr>
      <w:rFonts w:ascii="Tahoma" w:hAnsi="Tahoma" w:cs="Tahoma"/>
      <w:sz w:val="16"/>
      <w:szCs w:val="16"/>
      <w:lang w:val="en-GB"/>
    </w:rPr>
  </w:style>
  <w:style w:type="table" w:styleId="Tabelraster">
    <w:name w:val="Table Grid"/>
    <w:basedOn w:val="Standaardtabel"/>
    <w:uiPriority w:val="59"/>
    <w:rsid w:val="00E56917"/>
    <w:pPr>
      <w:spacing w:after="0" w:line="240" w:lineRule="auto"/>
    </w:pPr>
    <w:rPr>
      <w:lang w:val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2Char">
    <w:name w:val="Kop 2 Char"/>
    <w:basedOn w:val="Standaardalinea-lettertype"/>
    <w:link w:val="Kop2"/>
    <w:uiPriority w:val="9"/>
    <w:rsid w:val="00267E87"/>
    <w:rPr>
      <w:rFonts w:ascii="Times New Roman" w:eastAsiaTheme="majorEastAsia" w:hAnsi="Times New Roman" w:cstheme="majorBidi"/>
      <w:b/>
      <w:bCs/>
      <w:sz w:val="28"/>
      <w:szCs w:val="26"/>
      <w:lang w:val="en-GB"/>
    </w:rPr>
  </w:style>
  <w:style w:type="character" w:styleId="Hyperlink">
    <w:name w:val="Hyperlink"/>
    <w:basedOn w:val="Standaardalinea-lettertype"/>
    <w:uiPriority w:val="99"/>
    <w:unhideWhenUsed/>
    <w:rsid w:val="008764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mailto:rein.brys@inbo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INBO</Company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EVERTS, Teun</dc:creator>
  <cp:lastModifiedBy>EVERTS, Teun</cp:lastModifiedBy>
  <cp:revision>6</cp:revision>
  <dcterms:created xsi:type="dcterms:W3CDTF">2021-03-05T16:24:00Z</dcterms:created>
  <dcterms:modified xsi:type="dcterms:W3CDTF">2021-03-11T17:40:00Z</dcterms:modified>
</cp:coreProperties>
</file>