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E0EA7" w14:textId="104D0B18" w:rsidR="00A94C0A" w:rsidRPr="00841FE6" w:rsidRDefault="00A94C0A" w:rsidP="007B2E07">
      <w:pPr>
        <w:spacing w:line="360" w:lineRule="auto"/>
        <w:jc w:val="both"/>
        <w:rPr>
          <w:rFonts w:eastAsia="Times New Roman"/>
          <w:b/>
          <w:bCs/>
          <w:color w:val="000000"/>
          <w:sz w:val="28"/>
          <w:szCs w:val="28"/>
        </w:rPr>
      </w:pPr>
      <w:r w:rsidRPr="00841FE6">
        <w:rPr>
          <w:rFonts w:eastAsia="Times New Roman"/>
          <w:b/>
          <w:bCs/>
          <w:color w:val="000000"/>
          <w:sz w:val="28"/>
          <w:szCs w:val="28"/>
        </w:rPr>
        <w:t>Supplement</w:t>
      </w:r>
      <w:r w:rsidR="00151F82" w:rsidRPr="00841FE6">
        <w:rPr>
          <w:rFonts w:eastAsia="Times New Roman"/>
          <w:b/>
          <w:bCs/>
          <w:color w:val="000000"/>
          <w:sz w:val="28"/>
          <w:szCs w:val="28"/>
        </w:rPr>
        <w:t>ary methods</w:t>
      </w:r>
    </w:p>
    <w:p w14:paraId="6604CC9F" w14:textId="77777777" w:rsidR="00A94C0A" w:rsidRDefault="00A94C0A" w:rsidP="007B2E07">
      <w:pPr>
        <w:spacing w:line="360" w:lineRule="auto"/>
        <w:jc w:val="both"/>
        <w:rPr>
          <w:b/>
          <w:bCs/>
          <w:i/>
        </w:rPr>
      </w:pPr>
    </w:p>
    <w:p w14:paraId="612AD331" w14:textId="72660D45" w:rsidR="00A94C0A" w:rsidRPr="006F1E14" w:rsidRDefault="00A94C0A" w:rsidP="007B2E07">
      <w:pPr>
        <w:spacing w:line="360" w:lineRule="auto"/>
        <w:jc w:val="both"/>
        <w:rPr>
          <w:b/>
          <w:bCs/>
          <w:i/>
        </w:rPr>
      </w:pPr>
      <w:r w:rsidRPr="006F1E14">
        <w:rPr>
          <w:b/>
          <w:bCs/>
          <w:i/>
        </w:rPr>
        <w:t>SARS-CoV-2 within-host model</w:t>
      </w:r>
      <w:r>
        <w:rPr>
          <w:b/>
          <w:bCs/>
          <w:i/>
        </w:rPr>
        <w:t xml:space="preserve">. </w:t>
      </w:r>
      <w:r>
        <w:t>W</w:t>
      </w:r>
      <w:r w:rsidRPr="00D67A6B">
        <w:t xml:space="preserve">e </w:t>
      </w:r>
      <w:r>
        <w:t>used</w:t>
      </w:r>
      <w:r w:rsidRPr="00D67A6B">
        <w:t xml:space="preserve"> </w:t>
      </w:r>
      <w:r>
        <w:t>the within-host model describing the</w:t>
      </w:r>
      <w:r w:rsidRPr="00D67A6B">
        <w:t xml:space="preserve"> SARS-CoV-2 infection</w:t>
      </w:r>
      <w:r>
        <w:t xml:space="preserve"> from our previous study </w:t>
      </w:r>
      <w:r>
        <w:fldChar w:fldCharType="begin"/>
      </w:r>
      <w:r>
        <w:instrText xml:space="preserve"> ADDIN EN.CITE &lt;EndNote&gt;&lt;Cite&gt;&lt;Author&gt;Goyal&lt;/Author&gt;&lt;Year&gt;2020&lt;/Year&gt;&lt;IDText&gt;Potency and timing of antiviral therapy as determinants of duration of SARS CoV-2 shedding and intensity of inflammatory response&lt;/IDText&gt;&lt;DisplayText&gt;(Goyal et al., 2020a)&lt;/DisplayText&gt;&lt;record&gt;&lt;urls&gt;&lt;related-urls&gt;&lt;url&gt;https://www.medrxiv.org/content/medrxiv/early/2020/04/21/2020.04.10.20061325.full.pdf&lt;/url&gt;&lt;/related-urls&gt;&lt;/urls&gt;&lt;titles&gt;&lt;title&gt;Potency and timing of antiviral therapy as determinants of duration of SARS CoV-2 shedding and intensity of inflammatory response&lt;/title&gt;&lt;secondary-title&gt;medRxiv&lt;/secondary-title&gt;&lt;/titles&gt;&lt;pages&gt;2020.04.10.20061325&lt;/pages&gt;&lt;contributors&gt;&lt;authors&gt;&lt;author&gt;Goyal, Ashish&lt;/author&gt;&lt;author&gt;Cardozo-Ojeda, E. Fabian&lt;/author&gt;&lt;author&gt;Schiffer, Joshua T&lt;/author&gt;&lt;/authors&gt;&lt;/contributors&gt;&lt;added-date format="utc"&gt;1589930722&lt;/added-date&gt;&lt;ref-type name="Journal Article"&gt;17&lt;/ref-type&gt;&lt;dates&gt;&lt;year&gt;2020&lt;/year&gt;&lt;/dates&gt;&lt;rec-number&gt;619&lt;/rec-number&gt;&lt;last-updated-date format="utc"&gt;1589930722&lt;/last-updated-date&gt;&lt;electronic-resource-num&gt;10.1101/2020.04.10.20061325&lt;/electronic-resource-num&gt;&lt;/record&gt;&lt;/Cite&gt;&lt;/EndNote&gt;</w:instrText>
      </w:r>
      <w:r>
        <w:fldChar w:fldCharType="separate"/>
      </w:r>
      <w:r>
        <w:rPr>
          <w:noProof/>
        </w:rPr>
        <w:t xml:space="preserve">(Goyal et al., </w:t>
      </w:r>
      <w:r w:rsidR="007B2E07">
        <w:rPr>
          <w:noProof/>
        </w:rPr>
        <w:t>Sci Adv 2020</w:t>
      </w:r>
      <w:r>
        <w:rPr>
          <w:noProof/>
        </w:rPr>
        <w:t>)</w:t>
      </w:r>
      <w:r>
        <w:fldChar w:fldCharType="end"/>
      </w:r>
      <w:r>
        <w:t>. This model assumes that</w:t>
      </w:r>
      <w:r w:rsidRPr="00D67A6B">
        <w:t xml:space="preserve"> </w:t>
      </w:r>
      <w:r>
        <w:t xml:space="preserve">the contact of </w:t>
      </w:r>
      <w:r w:rsidRPr="00D67A6B">
        <w:t>SARS-CoV-2 (</w:t>
      </w:r>
      <w:r w:rsidRPr="00D67A6B">
        <w:rPr>
          <w:i/>
          <w:iCs/>
        </w:rPr>
        <w:t>V</w:t>
      </w:r>
      <w:r w:rsidRPr="00D67A6B">
        <w:t>)</w:t>
      </w:r>
      <w:r>
        <w:t xml:space="preserve"> with </w:t>
      </w:r>
      <w:r w:rsidRPr="00D67A6B">
        <w:t>susceptible cells (</w:t>
      </w:r>
      <w:r w:rsidRPr="00D67A6B">
        <w:rPr>
          <w:i/>
          <w:iCs/>
        </w:rPr>
        <w:t>S</w:t>
      </w:r>
      <w:r w:rsidRPr="00D67A6B">
        <w:t xml:space="preserve">) </w:t>
      </w:r>
      <w:r>
        <w:t xml:space="preserve">produces </w:t>
      </w:r>
      <w:r w:rsidRPr="00D67A6B">
        <w:t>infected</w:t>
      </w:r>
      <w:r>
        <w:t xml:space="preserve"> cells</w:t>
      </w:r>
      <w:r w:rsidRPr="00D67A6B">
        <w:t xml:space="preserve"> at rate </w:t>
      </w:r>
      <m:oMath>
        <m:r>
          <w:rPr>
            <w:rFonts w:ascii="Cambria Math" w:hAnsi="Cambria Math"/>
            <w:lang w:val="el-GR"/>
          </w:rPr>
          <m:t>βVS</m:t>
        </m:r>
      </m:oMath>
      <w:r>
        <w:t xml:space="preserve"> which then generates</w:t>
      </w:r>
      <w:r w:rsidRPr="00D67A6B">
        <w:t xml:space="preserve"> new virus at a per-capita rate </w:t>
      </w:r>
      <m:oMath>
        <m:r>
          <w:rPr>
            <w:rFonts w:ascii="Cambria Math" w:hAnsi="Cambria Math"/>
          </w:rPr>
          <m:t>π</m:t>
        </m:r>
      </m:oMath>
      <w:r w:rsidRPr="00D67A6B">
        <w:rPr>
          <w:rFonts w:eastAsiaTheme="minorEastAsia"/>
        </w:rPr>
        <w:t xml:space="preserve">. The model also </w:t>
      </w:r>
      <w:r>
        <w:rPr>
          <w:rFonts w:eastAsiaTheme="minorEastAsia"/>
        </w:rPr>
        <w:t xml:space="preserve">incorporates </w:t>
      </w:r>
      <w:r w:rsidRPr="00D67A6B">
        <w:rPr>
          <w:rFonts w:eastAsiaTheme="minorEastAsia"/>
        </w:rPr>
        <w:t xml:space="preserve">the </w:t>
      </w:r>
      <w:r>
        <w:rPr>
          <w:rFonts w:eastAsiaTheme="minorEastAsia"/>
        </w:rPr>
        <w:t>death</w:t>
      </w:r>
      <w:r w:rsidRPr="00D67A6B">
        <w:rPr>
          <w:rFonts w:eastAsiaTheme="minorEastAsia"/>
        </w:rPr>
        <w:t xml:space="preserve"> of infected cells </w:t>
      </w:r>
      <w:r>
        <w:t xml:space="preserve">mediated </w:t>
      </w:r>
      <w:r w:rsidRPr="00D67A6B">
        <w:t>by</w:t>
      </w:r>
      <w:r>
        <w:t xml:space="preserve"> (1) the</w:t>
      </w:r>
      <w:r w:rsidRPr="00D67A6B">
        <w:t xml:space="preserve"> innate response</w:t>
      </w:r>
      <w:r>
        <w:t>s (</w:t>
      </w:r>
      <m:oMath>
        <m:r>
          <w:rPr>
            <w:rFonts w:ascii="Cambria Math" w:hAnsi="Cambria Math"/>
          </w:rPr>
          <m:t>δ</m:t>
        </m:r>
        <m:sSup>
          <m:sSupPr>
            <m:ctrlPr>
              <w:rPr>
                <w:rFonts w:ascii="Cambria Math" w:hAnsi="Cambria Math"/>
                <w:i/>
                <w:sz w:val="22"/>
                <w:szCs w:val="22"/>
              </w:rPr>
            </m:ctrlPr>
          </m:sSupPr>
          <m:e>
            <m:r>
              <w:rPr>
                <w:rFonts w:ascii="Cambria Math" w:hAnsi="Cambria Math"/>
              </w:rPr>
              <m:t>I</m:t>
            </m:r>
          </m:e>
          <m:sup>
            <m:r>
              <w:rPr>
                <w:rFonts w:ascii="Cambria Math" w:hAnsi="Cambria Math"/>
              </w:rPr>
              <m:t>k</m:t>
            </m:r>
          </m:sup>
        </m:sSup>
      </m:oMath>
      <w:r>
        <w:t>) and (2) the acquired immune responses (</w:t>
      </w:r>
      <m:oMath>
        <m:f>
          <m:fPr>
            <m:ctrlPr>
              <w:rPr>
                <w:rFonts w:ascii="Cambria Math" w:hAnsi="Cambria Math"/>
                <w:i/>
                <w:sz w:val="22"/>
                <w:szCs w:val="22"/>
              </w:rPr>
            </m:ctrlPr>
          </m:fPr>
          <m:num>
            <m:r>
              <w:rPr>
                <w:rFonts w:ascii="Cambria Math" w:hAnsi="Cambria Math"/>
              </w:rPr>
              <m:t>m</m:t>
            </m:r>
            <m:sSup>
              <m:sSupPr>
                <m:ctrlPr>
                  <w:rPr>
                    <w:rFonts w:ascii="Cambria Math" w:hAnsi="Cambria Math"/>
                    <w:i/>
                    <w:sz w:val="22"/>
                    <w:szCs w:val="22"/>
                  </w:rPr>
                </m:ctrlPr>
              </m:sSupPr>
              <m:e>
                <m:r>
                  <w:rPr>
                    <w:rFonts w:ascii="Cambria Math" w:hAnsi="Cambria Math"/>
                  </w:rPr>
                  <m:t>E</m:t>
                </m:r>
              </m:e>
              <m:sup>
                <m:r>
                  <w:rPr>
                    <w:rFonts w:ascii="Cambria Math" w:hAnsi="Cambria Math"/>
                  </w:rPr>
                  <m:t>r</m:t>
                </m:r>
              </m:sup>
            </m:sSup>
          </m:num>
          <m:den>
            <m:sSup>
              <m:sSupPr>
                <m:ctrlPr>
                  <w:rPr>
                    <w:rFonts w:ascii="Cambria Math" w:hAnsi="Cambria Math"/>
                    <w:i/>
                    <w:sz w:val="22"/>
                    <w:szCs w:val="22"/>
                  </w:rPr>
                </m:ctrlPr>
              </m:sSupPr>
              <m:e>
                <m:r>
                  <w:rPr>
                    <w:rFonts w:ascii="Cambria Math" w:hAnsi="Cambria Math"/>
                  </w:rPr>
                  <m:t>E</m:t>
                </m:r>
              </m:e>
              <m:sup>
                <m:r>
                  <w:rPr>
                    <w:rFonts w:ascii="Cambria Math" w:hAnsi="Cambria Math"/>
                  </w:rPr>
                  <m:t>r</m:t>
                </m:r>
              </m:sup>
            </m:sSup>
            <m:r>
              <w:rPr>
                <w:rFonts w:ascii="Cambria Math" w:hAnsi="Cambria Math"/>
              </w:rPr>
              <m:t>+</m:t>
            </m:r>
            <m:sSup>
              <m:sSupPr>
                <m:ctrlPr>
                  <w:rPr>
                    <w:rFonts w:ascii="Cambria Math" w:hAnsi="Cambria Math"/>
                    <w:i/>
                    <w:sz w:val="22"/>
                    <w:szCs w:val="22"/>
                  </w:rPr>
                </m:ctrlPr>
              </m:sSupPr>
              <m:e>
                <m:r>
                  <w:rPr>
                    <w:rFonts w:ascii="Cambria Math" w:hAnsi="Cambria Math"/>
                  </w:rPr>
                  <m:t>ϕ</m:t>
                </m:r>
              </m:e>
              <m:sup>
                <m:r>
                  <w:rPr>
                    <w:rFonts w:ascii="Cambria Math" w:hAnsi="Cambria Math"/>
                  </w:rPr>
                  <m:t>r</m:t>
                </m:r>
              </m:sup>
            </m:sSup>
            <m:r>
              <w:rPr>
                <w:rFonts w:ascii="Cambria Math" w:hAnsi="Cambria Math"/>
              </w:rPr>
              <m:t xml:space="preserve"> </m:t>
            </m:r>
          </m:den>
        </m:f>
      </m:oMath>
      <w:r>
        <w:t xml:space="preserve">) by </w:t>
      </w:r>
      <w:r w:rsidRPr="00D67A6B">
        <w:t>SARS-CoV-2-specific effector cells (</w:t>
      </w:r>
      <m:oMath>
        <m:r>
          <w:rPr>
            <w:rFonts w:ascii="Cambria Math" w:eastAsiaTheme="minorEastAsia" w:hAnsi="Cambria Math"/>
          </w:rPr>
          <m:t>E</m:t>
        </m:r>
      </m:oMath>
      <w:r w:rsidRPr="00D67A6B">
        <w:t>).</w:t>
      </w:r>
      <w:r w:rsidRPr="00BD5484">
        <w:t xml:space="preserve"> </w:t>
      </w:r>
      <w:r>
        <w:t xml:space="preserve">The magnitude of the </w:t>
      </w:r>
      <w:r w:rsidRPr="00D67A6B">
        <w:t xml:space="preserve">innate immunity </w:t>
      </w:r>
      <w:r>
        <w:t xml:space="preserve">is </w:t>
      </w:r>
      <w:r w:rsidRPr="00D67A6B">
        <w:t>depend</w:t>
      </w:r>
      <w:r>
        <w:t>ent</w:t>
      </w:r>
      <w:r w:rsidRPr="00D67A6B">
        <w:t xml:space="preserve"> on the infected cell density</w:t>
      </w:r>
      <w:r>
        <w:t xml:space="preserve"> and </w:t>
      </w:r>
      <w:r w:rsidRPr="00D67A6B">
        <w:t xml:space="preserve">the exponent </w:t>
      </w:r>
      <m:oMath>
        <m:r>
          <w:rPr>
            <w:rFonts w:ascii="Cambria Math" w:hAnsi="Cambria Math"/>
          </w:rPr>
          <m:t>k</m:t>
        </m:r>
      </m:oMath>
      <w:r w:rsidRPr="00D67A6B">
        <w:t xml:space="preserve">. </w:t>
      </w:r>
      <w:r>
        <w:t>T</w:t>
      </w:r>
      <w:r w:rsidRPr="00D67A6B">
        <w:t xml:space="preserve">he nonlinearity of the </w:t>
      </w:r>
      <w:r>
        <w:t xml:space="preserve">acquired </w:t>
      </w:r>
      <w:r w:rsidRPr="00D67A6B">
        <w:t>response</w:t>
      </w:r>
      <w:r>
        <w:t>s is captured by the</w:t>
      </w:r>
      <w:r w:rsidRPr="00D67A6B">
        <w:t xml:space="preserve"> Hill coefficient </w:t>
      </w:r>
      <m:oMath>
        <m:r>
          <w:rPr>
            <w:rFonts w:ascii="Cambria Math" w:hAnsi="Cambria Math"/>
          </w:rPr>
          <m:t>r</m:t>
        </m:r>
      </m:oMath>
      <w:r w:rsidRPr="00D67A6B">
        <w:t xml:space="preserve"> </w:t>
      </w:r>
      <w:r>
        <w:t>that</w:t>
      </w:r>
      <w:r w:rsidRPr="00D67A6B">
        <w:t xml:space="preserve"> allows for rapid saturation of the killing. </w:t>
      </w:r>
      <w:r>
        <w:t>Finally, the p</w:t>
      </w:r>
      <w:r w:rsidRPr="00D67A6B">
        <w:t xml:space="preserve">arameter </w:t>
      </w:r>
      <m:oMath>
        <m:r>
          <w:rPr>
            <w:rFonts w:ascii="Cambria Math" w:hAnsi="Cambria Math"/>
          </w:rPr>
          <m:t>ϕ</m:t>
        </m:r>
      </m:oMath>
      <w:r w:rsidRPr="00D67A6B">
        <w:t xml:space="preserve"> defines level</w:t>
      </w:r>
      <w:r>
        <w:t xml:space="preserve"> of </w:t>
      </w:r>
      <w:r w:rsidRPr="00D67A6B">
        <w:t xml:space="preserve">SARS-CoV-2-specific effector cells </w:t>
      </w:r>
      <w:r>
        <w:t>at which</w:t>
      </w:r>
      <w:r w:rsidRPr="00D67A6B">
        <w:t xml:space="preserve"> </w:t>
      </w:r>
      <w:r>
        <w:t>the</w:t>
      </w:r>
      <w:r w:rsidRPr="00D67A6B">
        <w:t xml:space="preserve"> killing of infected cells </w:t>
      </w:r>
      <w:r>
        <w:t>becomes</w:t>
      </w:r>
      <w:r w:rsidRPr="00D67A6B">
        <w:t xml:space="preserve"> half maximal.</w:t>
      </w:r>
      <w:r>
        <w:t xml:space="preserve"> In the model, the rise of </w:t>
      </w:r>
      <w:r w:rsidRPr="00D67A6B">
        <w:t xml:space="preserve">SARS-CoV-2-specific effector cells rise </w:t>
      </w:r>
      <w:r>
        <w:t xml:space="preserve">is described in a two-stage manner. The first stage defines the proliferation of </w:t>
      </w:r>
      <w:r>
        <w:rPr>
          <w:rFonts w:eastAsiaTheme="minorEastAsia"/>
        </w:rPr>
        <w:t>the</w:t>
      </w:r>
      <w:r w:rsidRPr="00D67A6B">
        <w:t xml:space="preserve"> first precursor cell compartment (</w:t>
      </w:r>
      <m:oMath>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1</m:t>
            </m:r>
          </m:sub>
        </m:sSub>
      </m:oMath>
      <w:r w:rsidRPr="00D67A6B">
        <w:t xml:space="preserve">) </w:t>
      </w:r>
      <w:r>
        <w:t>at</w:t>
      </w:r>
      <w:r w:rsidRPr="00D67A6B">
        <w:t xml:space="preserve"> rate</w:t>
      </w:r>
      <m:oMath>
        <m:r>
          <w:rPr>
            <w:rFonts w:ascii="Cambria Math" w:eastAsiaTheme="minorEastAsia" w:hAnsi="Cambria Math"/>
          </w:rPr>
          <m:t xml:space="preserve"> ωI</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1</m:t>
            </m:r>
          </m:sub>
        </m:sSub>
      </m:oMath>
      <w:r w:rsidRPr="00D67A6B">
        <w:t xml:space="preserve"> and differentiat</w:t>
      </w:r>
      <w:r>
        <w:t xml:space="preserve">ion into a second </w:t>
      </w:r>
      <w:r w:rsidRPr="00D67A6B">
        <w:t>precursor cell compartment (</w:t>
      </w:r>
      <m:oMath>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2</m:t>
            </m:r>
          </m:sub>
        </m:sSub>
      </m:oMath>
      <w:r w:rsidRPr="00D67A6B">
        <w:t xml:space="preserve">) at a per capita rate </w:t>
      </w:r>
      <m:oMath>
        <m:r>
          <w:rPr>
            <w:rFonts w:ascii="Cambria Math" w:eastAsiaTheme="minorEastAsia" w:hAnsi="Cambria Math"/>
          </w:rPr>
          <m:t>q</m:t>
        </m:r>
      </m:oMath>
      <w:r>
        <w:t xml:space="preserve">. Finally, second </w:t>
      </w:r>
      <w:r w:rsidRPr="00D67A6B">
        <w:t>precursor cel</w:t>
      </w:r>
      <w:r>
        <w:t>ls</w:t>
      </w:r>
      <w:r w:rsidRPr="008A5324">
        <w:t xml:space="preserve"> </w:t>
      </w:r>
      <w:r w:rsidRPr="00D67A6B">
        <w:t>differentiat</w:t>
      </w:r>
      <w:r>
        <w:t xml:space="preserve">e into effector cells </w:t>
      </w:r>
      <w:r w:rsidRPr="00D67A6B">
        <w:t>a</w:t>
      </w:r>
      <w:r>
        <w:t>t the same</w:t>
      </w:r>
      <w:r w:rsidRPr="00D67A6B">
        <w:t xml:space="preserve"> per capita rate </w:t>
      </w:r>
      <m:oMath>
        <m:r>
          <w:rPr>
            <w:rFonts w:ascii="Cambria Math" w:eastAsiaTheme="minorEastAsia" w:hAnsi="Cambria Math"/>
          </w:rPr>
          <m:t>q</m:t>
        </m:r>
      </m:oMath>
      <w:r w:rsidRPr="00D67A6B">
        <w:t xml:space="preserve"> </w:t>
      </w:r>
      <w:r>
        <w:t>and are cleared</w:t>
      </w:r>
      <w:r w:rsidRPr="00D67A6B">
        <w:t xml:space="preserve"> at rate </w:t>
      </w:r>
      <m:oMath>
        <m:sSub>
          <m:sSubPr>
            <m:ctrlPr>
              <w:rPr>
                <w:rFonts w:ascii="Cambria Math" w:eastAsiaTheme="minorEastAsia" w:hAnsi="Cambria Math"/>
                <w:i/>
                <w:sz w:val="22"/>
                <w:szCs w:val="22"/>
              </w:rPr>
            </m:ctrlPr>
          </m:sSubPr>
          <m:e>
            <m:r>
              <w:rPr>
                <w:rFonts w:ascii="Cambria Math" w:eastAsiaTheme="minorEastAsia" w:hAnsi="Cambria Math"/>
              </w:rPr>
              <m:t>δ</m:t>
            </m:r>
          </m:e>
          <m:sub>
            <m:r>
              <w:rPr>
                <w:rFonts w:ascii="Cambria Math" w:eastAsiaTheme="minorEastAsia" w:hAnsi="Cambria Math"/>
              </w:rPr>
              <m:t>E</m:t>
            </m:r>
          </m:sub>
        </m:sSub>
      </m:oMath>
      <w:r w:rsidRPr="00D67A6B">
        <w:t>.</w:t>
      </w:r>
      <w:r w:rsidRPr="00D67A6B">
        <w:rPr>
          <w:color w:val="000000"/>
        </w:rPr>
        <w:t xml:space="preserve"> </w:t>
      </w:r>
    </w:p>
    <w:p w14:paraId="42F4DA10" w14:textId="77777777" w:rsidR="00A94C0A" w:rsidRDefault="00A94C0A" w:rsidP="007B2E07">
      <w:pPr>
        <w:spacing w:line="360" w:lineRule="auto"/>
        <w:ind w:firstLine="720"/>
        <w:jc w:val="both"/>
        <w:rPr>
          <w:color w:val="000000"/>
        </w:rPr>
      </w:pPr>
      <w:r w:rsidRPr="00D67A6B">
        <w:t>The model is expressed as a system of ordinary differential equations:</w:t>
      </w:r>
      <w:r>
        <w:t xml:space="preserve"> </w:t>
      </w:r>
    </w:p>
    <w:p w14:paraId="465E7ACB" w14:textId="77777777" w:rsidR="00A94C0A" w:rsidRDefault="006329B8" w:rsidP="007B2E07">
      <w:pPr>
        <w:spacing w:line="360" w:lineRule="auto"/>
        <w:jc w:val="both"/>
      </w:pPr>
      <m:oMath>
        <m:m>
          <m:mPr>
            <m:mcs>
              <m:mc>
                <m:mcPr>
                  <m:count m:val="1"/>
                  <m:mcJc m:val="left"/>
                </m:mcPr>
              </m:mc>
            </m:mcs>
            <m:ctrlPr>
              <w:rPr>
                <w:rFonts w:ascii="Cambria Math" w:hAnsi="Cambria Math"/>
                <w:i/>
                <w:sz w:val="22"/>
                <w:szCs w:val="22"/>
              </w:rPr>
            </m:ctrlPr>
          </m:mPr>
          <m:mr>
            <m:e>
              <m:f>
                <m:fPr>
                  <m:ctrlPr>
                    <w:rPr>
                      <w:rFonts w:ascii="Cambria Math" w:hAnsi="Cambria Math"/>
                      <w:i/>
                      <w:sz w:val="22"/>
                      <w:szCs w:val="22"/>
                    </w:rPr>
                  </m:ctrlPr>
                </m:fPr>
                <m:num>
                  <m:r>
                    <w:rPr>
                      <w:rFonts w:ascii="Cambria Math" w:hAnsi="Cambria Math"/>
                    </w:rPr>
                    <m:t>dS</m:t>
                  </m:r>
                </m:num>
                <m:den>
                  <m:r>
                    <w:rPr>
                      <w:rFonts w:ascii="Cambria Math" w:hAnsi="Cambria Math"/>
                    </w:rPr>
                    <m:t>dt</m:t>
                  </m:r>
                </m:den>
              </m:f>
              <m:r>
                <w:rPr>
                  <w:rFonts w:ascii="Cambria Math" w:hAnsi="Cambria Math"/>
                </w:rPr>
                <m:t>=-βVS</m:t>
              </m:r>
            </m:e>
          </m:mr>
          <m:mr>
            <m:e>
              <m:f>
                <m:fPr>
                  <m:ctrlPr>
                    <w:rPr>
                      <w:rFonts w:ascii="Cambria Math" w:hAnsi="Cambria Math"/>
                      <w:i/>
                      <w:sz w:val="22"/>
                      <w:szCs w:val="22"/>
                    </w:rPr>
                  </m:ctrlPr>
                </m:fPr>
                <m:num>
                  <m:r>
                    <w:rPr>
                      <w:rFonts w:ascii="Cambria Math" w:hAnsi="Cambria Math"/>
                    </w:rPr>
                    <m:t>dI</m:t>
                  </m:r>
                </m:num>
                <m:den>
                  <m:r>
                    <w:rPr>
                      <w:rFonts w:ascii="Cambria Math" w:hAnsi="Cambria Math"/>
                    </w:rPr>
                    <m:t>dt</m:t>
                  </m:r>
                </m:den>
              </m:f>
              <m:r>
                <w:rPr>
                  <w:rFonts w:ascii="Cambria Math" w:hAnsi="Cambria Math"/>
                </w:rPr>
                <m:t>=βVS-δ</m:t>
              </m:r>
              <m:sSup>
                <m:sSupPr>
                  <m:ctrlPr>
                    <w:rPr>
                      <w:rFonts w:ascii="Cambria Math" w:hAnsi="Cambria Math"/>
                      <w:i/>
                      <w:sz w:val="22"/>
                      <w:szCs w:val="22"/>
                    </w:rPr>
                  </m:ctrlPr>
                </m:sSupPr>
                <m:e>
                  <m:r>
                    <w:rPr>
                      <w:rFonts w:ascii="Cambria Math" w:hAnsi="Cambria Math"/>
                    </w:rPr>
                    <m:t>I</m:t>
                  </m:r>
                </m:e>
                <m:sup>
                  <m:r>
                    <w:rPr>
                      <w:rFonts w:ascii="Cambria Math" w:hAnsi="Cambria Math"/>
                    </w:rPr>
                    <m:t>k</m:t>
                  </m:r>
                </m:sup>
              </m:sSup>
              <m:r>
                <w:rPr>
                  <w:rFonts w:ascii="Cambria Math" w:hAnsi="Cambria Math"/>
                </w:rPr>
                <m:t>I-m</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rPr>
                        <m:t>E</m:t>
                      </m:r>
                    </m:e>
                    <m:sup>
                      <m:r>
                        <w:rPr>
                          <w:rFonts w:ascii="Cambria Math" w:hAnsi="Cambria Math"/>
                        </w:rPr>
                        <m:t>r</m:t>
                      </m:r>
                    </m:sup>
                  </m:sSup>
                </m:num>
                <m:den>
                  <m:sSup>
                    <m:sSupPr>
                      <m:ctrlPr>
                        <w:rPr>
                          <w:rFonts w:ascii="Cambria Math" w:hAnsi="Cambria Math"/>
                          <w:i/>
                          <w:sz w:val="22"/>
                          <w:szCs w:val="22"/>
                        </w:rPr>
                      </m:ctrlPr>
                    </m:sSupPr>
                    <m:e>
                      <m:r>
                        <w:rPr>
                          <w:rFonts w:ascii="Cambria Math" w:hAnsi="Cambria Math"/>
                        </w:rPr>
                        <m:t>E</m:t>
                      </m:r>
                    </m:e>
                    <m:sup>
                      <m:r>
                        <w:rPr>
                          <w:rFonts w:ascii="Cambria Math" w:hAnsi="Cambria Math"/>
                        </w:rPr>
                        <m:t>r</m:t>
                      </m:r>
                    </m:sup>
                  </m:sSup>
                  <m:r>
                    <w:rPr>
                      <w:rFonts w:ascii="Cambria Math" w:hAnsi="Cambria Math"/>
                    </w:rPr>
                    <m:t>+</m:t>
                  </m:r>
                  <m:sSup>
                    <m:sSupPr>
                      <m:ctrlPr>
                        <w:rPr>
                          <w:rFonts w:ascii="Cambria Math" w:hAnsi="Cambria Math"/>
                          <w:i/>
                          <w:sz w:val="22"/>
                          <w:szCs w:val="22"/>
                        </w:rPr>
                      </m:ctrlPr>
                    </m:sSupPr>
                    <m:e>
                      <m:r>
                        <w:rPr>
                          <w:rFonts w:ascii="Cambria Math" w:hAnsi="Cambria Math"/>
                        </w:rPr>
                        <m:t>ϕ</m:t>
                      </m:r>
                    </m:e>
                    <m:sup>
                      <m:r>
                        <w:rPr>
                          <w:rFonts w:ascii="Cambria Math" w:hAnsi="Cambria Math"/>
                        </w:rPr>
                        <m:t>r</m:t>
                      </m:r>
                    </m:sup>
                  </m:sSup>
                  <m:r>
                    <w:rPr>
                      <w:rFonts w:ascii="Cambria Math" w:hAnsi="Cambria Math"/>
                    </w:rPr>
                    <m:t xml:space="preserve"> </m:t>
                  </m:r>
                </m:den>
              </m:f>
              <m:r>
                <w:rPr>
                  <w:rFonts w:ascii="Cambria Math" w:hAnsi="Cambria Math"/>
                </w:rPr>
                <m:t>I</m:t>
              </m:r>
            </m:e>
          </m:mr>
          <m:mr>
            <m:e>
              <m:f>
                <m:fPr>
                  <m:ctrlPr>
                    <w:rPr>
                      <w:rFonts w:ascii="Cambria Math" w:hAnsi="Cambria Math"/>
                      <w:i/>
                      <w:sz w:val="22"/>
                      <w:szCs w:val="22"/>
                    </w:rPr>
                  </m:ctrlPr>
                </m:fPr>
                <m:num>
                  <m:r>
                    <w:rPr>
                      <w:rFonts w:ascii="Cambria Math" w:hAnsi="Cambria Math"/>
                    </w:rPr>
                    <m:t>dV</m:t>
                  </m:r>
                </m:num>
                <m:den>
                  <m:r>
                    <w:rPr>
                      <w:rFonts w:ascii="Cambria Math" w:hAnsi="Cambria Math"/>
                    </w:rPr>
                    <m:t>dt</m:t>
                  </m:r>
                </m:den>
              </m:f>
              <m:r>
                <w:rPr>
                  <w:rFonts w:ascii="Cambria Math" w:hAnsi="Cambria Math"/>
                </w:rPr>
                <m:t>= πI-γV</m:t>
              </m:r>
              <m:ctrlPr>
                <w:rPr>
                  <w:rFonts w:ascii="Cambria Math" w:eastAsia="Cambria Math" w:hAnsi="Cambria Math"/>
                  <w:i/>
                  <w:sz w:val="22"/>
                  <w:szCs w:val="22"/>
                </w:rPr>
              </m:ctrlPr>
            </m:e>
          </m:mr>
          <m:mr>
            <m:e>
              <m:f>
                <m:fPr>
                  <m:ctrlPr>
                    <w:rPr>
                      <w:rFonts w:ascii="Cambria Math" w:eastAsiaTheme="minorEastAsia" w:hAnsi="Cambria Math"/>
                      <w:i/>
                      <w:sz w:val="22"/>
                      <w:szCs w:val="22"/>
                    </w:rPr>
                  </m:ctrlPr>
                </m:fPr>
                <m:num>
                  <m:r>
                    <w:rPr>
                      <w:rFonts w:ascii="Cambria Math" w:eastAsiaTheme="minorEastAsia" w:hAnsi="Cambria Math"/>
                    </w:rPr>
                    <m:t>d</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1</m:t>
                      </m:r>
                    </m:sub>
                  </m:sSub>
                </m:num>
                <m:den>
                  <m:r>
                    <w:rPr>
                      <w:rFonts w:ascii="Cambria Math" w:eastAsiaTheme="minorEastAsia" w:hAnsi="Cambria Math"/>
                    </w:rPr>
                    <m:t>dt</m:t>
                  </m:r>
                </m:den>
              </m:f>
              <m:r>
                <w:rPr>
                  <w:rFonts w:ascii="Cambria Math" w:eastAsiaTheme="minorEastAsia" w:hAnsi="Cambria Math"/>
                </w:rPr>
                <m:t>=ωI</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1</m:t>
                  </m:r>
                </m:sub>
              </m:sSub>
              <m:r>
                <w:rPr>
                  <w:rFonts w:ascii="Cambria Math" w:eastAsiaTheme="minorEastAsia" w:hAnsi="Cambria Math"/>
                </w:rPr>
                <m:t>-q</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1</m:t>
                  </m:r>
                </m:sub>
              </m:sSub>
              <m:ctrlPr>
                <w:rPr>
                  <w:rFonts w:ascii="Cambria Math" w:eastAsia="Cambria Math" w:hAnsi="Cambria Math"/>
                  <w:i/>
                  <w:sz w:val="22"/>
                  <w:szCs w:val="22"/>
                </w:rPr>
              </m:ctrlPr>
            </m:e>
          </m:mr>
          <m:mr>
            <m:e>
              <m:f>
                <m:fPr>
                  <m:ctrlPr>
                    <w:rPr>
                      <w:rFonts w:ascii="Cambria Math" w:eastAsiaTheme="minorEastAsia" w:hAnsi="Cambria Math"/>
                      <w:i/>
                      <w:sz w:val="22"/>
                      <w:szCs w:val="22"/>
                    </w:rPr>
                  </m:ctrlPr>
                </m:fPr>
                <m:num>
                  <m:r>
                    <w:rPr>
                      <w:rFonts w:ascii="Cambria Math" w:eastAsiaTheme="minorEastAsia" w:hAnsi="Cambria Math"/>
                    </w:rPr>
                    <m:t>d</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2</m:t>
                      </m:r>
                    </m:sub>
                  </m:sSub>
                </m:num>
                <m:den>
                  <m:r>
                    <w:rPr>
                      <w:rFonts w:ascii="Cambria Math" w:eastAsiaTheme="minorEastAsia" w:hAnsi="Cambria Math"/>
                    </w:rPr>
                    <m:t>dt</m:t>
                  </m:r>
                </m:den>
              </m:f>
              <m:r>
                <w:rPr>
                  <w:rFonts w:ascii="Cambria Math" w:eastAsiaTheme="minorEastAsia" w:hAnsi="Cambria Math"/>
                </w:rPr>
                <m:t>=q(</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2</m:t>
                  </m:r>
                </m:sub>
              </m:sSub>
              <m:r>
                <w:rPr>
                  <w:rFonts w:ascii="Cambria Math" w:eastAsiaTheme="minorEastAsia" w:hAnsi="Cambria Math"/>
                </w:rPr>
                <m:t>)</m:t>
              </m:r>
              <m:ctrlPr>
                <w:rPr>
                  <w:rFonts w:ascii="Cambria Math" w:eastAsia="Cambria Math" w:hAnsi="Cambria Math"/>
                  <w:i/>
                  <w:sz w:val="22"/>
                  <w:szCs w:val="22"/>
                  <w:vertAlign w:val="subscript"/>
                </w:rPr>
              </m:ctrlPr>
            </m:e>
          </m:mr>
          <m:mr>
            <m:e>
              <m:f>
                <m:fPr>
                  <m:ctrlPr>
                    <w:rPr>
                      <w:rFonts w:ascii="Cambria Math" w:eastAsiaTheme="minorEastAsia" w:hAnsi="Cambria Math"/>
                      <w:i/>
                      <w:sz w:val="22"/>
                      <w:szCs w:val="22"/>
                    </w:rPr>
                  </m:ctrlPr>
                </m:fPr>
                <m:num>
                  <m:r>
                    <w:rPr>
                      <w:rFonts w:ascii="Cambria Math" w:eastAsiaTheme="minorEastAsia" w:hAnsi="Cambria Math"/>
                    </w:rPr>
                    <m:t>dE</m:t>
                  </m:r>
                </m:num>
                <m:den>
                  <m:r>
                    <w:rPr>
                      <w:rFonts w:ascii="Cambria Math" w:eastAsiaTheme="minorEastAsia" w:hAnsi="Cambria Math"/>
                    </w:rPr>
                    <m:t>dt</m:t>
                  </m:r>
                </m:den>
              </m:f>
              <m:r>
                <w:rPr>
                  <w:rFonts w:ascii="Cambria Math" w:eastAsiaTheme="minorEastAsia" w:hAnsi="Cambria Math"/>
                </w:rPr>
                <m:t>=q</m:t>
              </m:r>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sz w:val="22"/>
                      <w:szCs w:val="22"/>
                    </w:rPr>
                  </m:ctrlPr>
                </m:sSubPr>
                <m:e>
                  <m:r>
                    <w:rPr>
                      <w:rFonts w:ascii="Cambria Math" w:eastAsiaTheme="minorEastAsia" w:hAnsi="Cambria Math"/>
                    </w:rPr>
                    <m:t>δ</m:t>
                  </m:r>
                </m:e>
                <m:sub>
                  <m:r>
                    <w:rPr>
                      <w:rFonts w:ascii="Cambria Math" w:eastAsiaTheme="minorEastAsia" w:hAnsi="Cambria Math"/>
                    </w:rPr>
                    <m:t>E</m:t>
                  </m:r>
                </m:sub>
              </m:sSub>
              <m:r>
                <w:rPr>
                  <w:rFonts w:ascii="Cambria Math" w:eastAsiaTheme="minorEastAsia" w:hAnsi="Cambria Math"/>
                </w:rPr>
                <m:t>E</m:t>
              </m:r>
            </m:e>
          </m:mr>
        </m:m>
      </m:oMath>
      <w:r w:rsidR="00A94C0A">
        <w:rPr>
          <w:rFonts w:eastAsiaTheme="minorEastAsia"/>
          <w:sz w:val="22"/>
          <w:szCs w:val="22"/>
        </w:rPr>
        <w:tab/>
      </w:r>
      <w:r w:rsidR="00A94C0A">
        <w:rPr>
          <w:rFonts w:eastAsiaTheme="minorEastAsia"/>
          <w:sz w:val="22"/>
          <w:szCs w:val="22"/>
        </w:rPr>
        <w:tab/>
      </w:r>
      <w:r w:rsidR="00A94C0A">
        <w:rPr>
          <w:rFonts w:eastAsiaTheme="minorEastAsia"/>
          <w:sz w:val="22"/>
          <w:szCs w:val="22"/>
        </w:rPr>
        <w:tab/>
      </w:r>
      <w:r w:rsidR="00A94C0A" w:rsidRPr="002A5E72">
        <w:rPr>
          <w:rFonts w:eastAsiaTheme="minorEastAsia"/>
          <w:b/>
          <w:bCs/>
        </w:rPr>
        <w:t>(1)</w:t>
      </w:r>
    </w:p>
    <w:p w14:paraId="31999590" w14:textId="77777777" w:rsidR="00A94C0A" w:rsidRDefault="00A94C0A" w:rsidP="007B2E07">
      <w:pPr>
        <w:spacing w:line="360" w:lineRule="auto"/>
        <w:jc w:val="both"/>
      </w:pPr>
    </w:p>
    <w:p w14:paraId="6C0B8AA7" w14:textId="77777777" w:rsidR="00A94C0A" w:rsidRPr="00D67A6B" w:rsidRDefault="00A94C0A" w:rsidP="007B2E07">
      <w:pPr>
        <w:spacing w:line="360" w:lineRule="auto"/>
        <w:ind w:firstLine="720"/>
        <w:jc w:val="both"/>
        <w:rPr>
          <w:rFonts w:eastAsiaTheme="minorEastAsia"/>
        </w:rPr>
      </w:pPr>
      <w:r>
        <w:t xml:space="preserve">The initial conditions for the model were </w:t>
      </w:r>
      <w:r w:rsidRPr="00D67A6B">
        <w:t>assumed</w:t>
      </w:r>
      <w:r>
        <w:t xml:space="preserve"> as</w:t>
      </w:r>
      <w:r w:rsidRPr="00D67A6B">
        <w:t xml:space="preserve"> </w:t>
      </w:r>
      <m:oMath>
        <m:r>
          <w:rPr>
            <w:rFonts w:ascii="Cambria Math" w:hAnsi="Cambria Math"/>
          </w:rPr>
          <m:t>S</m:t>
        </m:r>
        <m:d>
          <m:dPr>
            <m:ctrlPr>
              <w:rPr>
                <w:rFonts w:ascii="Cambria Math" w:hAnsi="Cambria Math"/>
                <w:i/>
                <w:sz w:val="22"/>
                <w:szCs w:val="22"/>
              </w:rPr>
            </m:ctrlPr>
          </m:dPr>
          <m:e>
            <m:r>
              <w:rPr>
                <w:rFonts w:ascii="Cambria Math" w:hAnsi="Cambria Math"/>
              </w:rPr>
              <m:t>0</m:t>
            </m:r>
          </m:e>
        </m:d>
        <m:r>
          <w:rPr>
            <w:rFonts w:ascii="Cambria Math" w:hAnsi="Cambria Math"/>
          </w:rPr>
          <m:t>=</m:t>
        </m:r>
        <m:sSup>
          <m:sSupPr>
            <m:ctrlPr>
              <w:rPr>
                <w:rFonts w:ascii="Cambria Math" w:hAnsi="Cambria Math"/>
                <w:i/>
                <w:sz w:val="22"/>
                <w:szCs w:val="22"/>
              </w:rPr>
            </m:ctrlPr>
          </m:sSupPr>
          <m:e>
            <m:r>
              <w:rPr>
                <w:rFonts w:ascii="Cambria Math" w:hAnsi="Cambria Math"/>
              </w:rPr>
              <m:t>10</m:t>
            </m:r>
          </m:e>
          <m:sup>
            <m:r>
              <w:rPr>
                <w:rFonts w:ascii="Cambria Math" w:hAnsi="Cambria Math"/>
              </w:rPr>
              <m:t>7</m:t>
            </m:r>
          </m:sup>
        </m:sSup>
      </m:oMath>
      <w:r w:rsidRPr="00D67A6B">
        <w:rPr>
          <w:rFonts w:eastAsiaTheme="minorEastAsia"/>
        </w:rPr>
        <w:t xml:space="preserve"> cells/mL, </w:t>
      </w:r>
      <m:oMath>
        <m:r>
          <w:rPr>
            <w:rFonts w:ascii="Cambria Math" w:eastAsiaTheme="minorEastAsia" w:hAnsi="Cambria Math"/>
          </w:rPr>
          <m:t>I</m:t>
        </m:r>
        <m:d>
          <m:dPr>
            <m:ctrlPr>
              <w:rPr>
                <w:rFonts w:ascii="Cambria Math" w:eastAsiaTheme="minorEastAsia" w:hAnsi="Cambria Math"/>
                <w:i/>
                <w:sz w:val="22"/>
                <w:szCs w:val="22"/>
              </w:rPr>
            </m:ctrlPr>
          </m:dPr>
          <m:e>
            <m:r>
              <w:rPr>
                <w:rFonts w:ascii="Cambria Math" w:eastAsiaTheme="minorEastAsia" w:hAnsi="Cambria Math"/>
              </w:rPr>
              <m:t>0</m:t>
            </m:r>
          </m:e>
        </m:d>
        <m:r>
          <w:rPr>
            <w:rFonts w:ascii="Cambria Math" w:eastAsiaTheme="minorEastAsia" w:hAnsi="Cambria Math"/>
          </w:rPr>
          <m:t>=1</m:t>
        </m:r>
      </m:oMath>
      <w:r w:rsidRPr="00D67A6B">
        <w:rPr>
          <w:rFonts w:eastAsiaTheme="minorEastAsia"/>
        </w:rPr>
        <w:t xml:space="preserve"> cells/mL, </w:t>
      </w:r>
      <m:oMath>
        <m:r>
          <w:rPr>
            <w:rFonts w:ascii="Cambria Math" w:eastAsiaTheme="minorEastAsia" w:hAnsi="Cambria Math"/>
          </w:rPr>
          <m:t>V</m:t>
        </m:r>
        <m:d>
          <m:dPr>
            <m:ctrlPr>
              <w:rPr>
                <w:rFonts w:ascii="Cambria Math" w:eastAsiaTheme="minorEastAsia" w:hAnsi="Cambria Math"/>
                <w:i/>
                <w:sz w:val="22"/>
                <w:szCs w:val="22"/>
              </w:rPr>
            </m:ctrlPr>
          </m:dPr>
          <m:e>
            <m:r>
              <w:rPr>
                <w:rFonts w:ascii="Cambria Math" w:eastAsiaTheme="minorEastAsia" w:hAnsi="Cambria Math"/>
              </w:rPr>
              <m:t>0</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πI</m:t>
            </m:r>
            <m:d>
              <m:dPr>
                <m:ctrlPr>
                  <w:rPr>
                    <w:rFonts w:ascii="Cambria Math" w:eastAsiaTheme="minorEastAsia" w:hAnsi="Cambria Math"/>
                    <w:i/>
                  </w:rPr>
                </m:ctrlPr>
              </m:dPr>
              <m:e>
                <m:r>
                  <w:rPr>
                    <w:rFonts w:ascii="Cambria Math" w:eastAsiaTheme="minorEastAsia" w:hAnsi="Cambria Math"/>
                  </w:rPr>
                  <m:t>0</m:t>
                </m:r>
              </m:e>
            </m:d>
          </m:num>
          <m:den>
            <m:r>
              <w:rPr>
                <w:rFonts w:ascii="Cambria Math" w:eastAsiaTheme="minorEastAsia" w:hAnsi="Cambria Math"/>
              </w:rPr>
              <m:t>c</m:t>
            </m:r>
          </m:den>
        </m:f>
      </m:oMath>
      <w:r w:rsidRPr="00D67A6B">
        <w:rPr>
          <w:rFonts w:eastAsiaTheme="minorEastAsia"/>
        </w:rPr>
        <w:t xml:space="preserve"> copies/mL, </w:t>
      </w:r>
      <m:oMath>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1</m:t>
            </m:r>
          </m:sub>
        </m:sSub>
        <m:d>
          <m:dPr>
            <m:ctrlPr>
              <w:rPr>
                <w:rFonts w:ascii="Cambria Math" w:eastAsiaTheme="minorEastAsia" w:hAnsi="Cambria Math"/>
                <w:i/>
                <w:sz w:val="22"/>
                <w:szCs w:val="22"/>
              </w:rPr>
            </m:ctrlPr>
          </m:dPr>
          <m:e>
            <m:r>
              <w:rPr>
                <w:rFonts w:ascii="Cambria Math" w:eastAsiaTheme="minorEastAsia" w:hAnsi="Cambria Math"/>
              </w:rPr>
              <m:t>0</m:t>
            </m:r>
          </m:e>
        </m:d>
        <m:r>
          <w:rPr>
            <w:rFonts w:ascii="Cambria Math" w:eastAsiaTheme="minorEastAsia" w:hAnsi="Cambria Math"/>
          </w:rPr>
          <m:t>=1</m:t>
        </m:r>
      </m:oMath>
      <w:r w:rsidRPr="00D67A6B">
        <w:rPr>
          <w:rFonts w:eastAsiaTheme="minorEastAsia"/>
        </w:rPr>
        <w:t xml:space="preserve">, </w:t>
      </w:r>
      <m:oMath>
        <m:sSub>
          <m:sSubPr>
            <m:ctrlPr>
              <w:rPr>
                <w:rFonts w:ascii="Cambria Math" w:eastAsiaTheme="minorEastAsia" w:hAnsi="Cambria Math"/>
                <w:i/>
                <w:sz w:val="22"/>
                <w:szCs w:val="22"/>
              </w:rPr>
            </m:ctrlPr>
          </m:sSubPr>
          <m:e>
            <m:r>
              <w:rPr>
                <w:rFonts w:ascii="Cambria Math" w:eastAsiaTheme="minorEastAsia" w:hAnsi="Cambria Math"/>
              </w:rPr>
              <m:t>M</m:t>
            </m:r>
          </m:e>
          <m:sub>
            <m:r>
              <w:rPr>
                <w:rFonts w:ascii="Cambria Math" w:eastAsiaTheme="minorEastAsia" w:hAnsi="Cambria Math"/>
              </w:rPr>
              <m:t>2</m:t>
            </m:r>
          </m:sub>
        </m:sSub>
        <m:d>
          <m:dPr>
            <m:ctrlPr>
              <w:rPr>
                <w:rFonts w:ascii="Cambria Math" w:eastAsiaTheme="minorEastAsia" w:hAnsi="Cambria Math"/>
                <w:i/>
                <w:sz w:val="22"/>
                <w:szCs w:val="22"/>
              </w:rPr>
            </m:ctrlPr>
          </m:dPr>
          <m:e>
            <m:r>
              <w:rPr>
                <w:rFonts w:ascii="Cambria Math" w:eastAsiaTheme="minorEastAsia" w:hAnsi="Cambria Math"/>
              </w:rPr>
              <m:t>0</m:t>
            </m:r>
          </m:e>
        </m:d>
        <m:r>
          <w:rPr>
            <w:rFonts w:ascii="Cambria Math" w:eastAsiaTheme="minorEastAsia" w:hAnsi="Cambria Math"/>
          </w:rPr>
          <m:t>=0</m:t>
        </m:r>
      </m:oMath>
      <w:r w:rsidRPr="00D67A6B">
        <w:rPr>
          <w:rFonts w:eastAsiaTheme="minorEastAsia"/>
        </w:rPr>
        <w:t xml:space="preserve"> and </w:t>
      </w:r>
      <m:oMath>
        <m:sSub>
          <m:sSubPr>
            <m:ctrlPr>
              <w:rPr>
                <w:rFonts w:ascii="Cambria Math" w:eastAsiaTheme="minorEastAsia" w:hAnsi="Cambria Math"/>
                <w:i/>
                <w:sz w:val="22"/>
                <w:szCs w:val="22"/>
              </w:rPr>
            </m:ctrlPr>
          </m:sSubPr>
          <m:e>
            <m:r>
              <w:rPr>
                <w:rFonts w:ascii="Cambria Math" w:eastAsiaTheme="minorEastAsia" w:hAnsi="Cambria Math"/>
              </w:rPr>
              <m:t>E</m:t>
            </m:r>
          </m:e>
          <m:sub>
            <m:r>
              <w:rPr>
                <w:rFonts w:ascii="Cambria Math" w:eastAsiaTheme="minorEastAsia" w:hAnsi="Cambria Math"/>
              </w:rPr>
              <m:t>0</m:t>
            </m:r>
          </m:sub>
        </m:sSub>
        <m:r>
          <w:rPr>
            <w:rFonts w:ascii="Cambria Math" w:eastAsiaTheme="minorEastAsia" w:hAnsi="Cambria Math"/>
          </w:rPr>
          <m:t>=0</m:t>
        </m:r>
      </m:oMath>
      <w:r w:rsidRPr="00D67A6B">
        <w:rPr>
          <w:rFonts w:eastAsiaTheme="minorEastAsia"/>
        </w:rPr>
        <w:t xml:space="preserve">. </w:t>
      </w:r>
      <w:r>
        <w:rPr>
          <w:rFonts w:eastAsiaTheme="minorEastAsia"/>
        </w:rPr>
        <w:t xml:space="preserve">For simulations we sampled parameter values from a nonlinear mixed-effect model as described in </w:t>
      </w:r>
      <w:r>
        <w:rPr>
          <w:rFonts w:eastAsiaTheme="minorEastAsia"/>
        </w:rPr>
        <w:fldChar w:fldCharType="begin"/>
      </w:r>
      <w:r>
        <w:rPr>
          <w:rFonts w:eastAsiaTheme="minorEastAsia"/>
        </w:rPr>
        <w:instrText xml:space="preserve"> ADDIN EN.CITE &lt;EndNote&gt;&lt;Cite&gt;&lt;Author&gt;Goyal&lt;/Author&gt;&lt;Year&gt;2020&lt;/Year&gt;&lt;IDText&gt;Wrong person, place and time: viral load and contact network structure predict SARS-CoV-2 transmission and super-spreading events&lt;/IDText&gt;&lt;DisplayText&gt;(Goyal et al., 2020b)&lt;/DisplayText&gt;&lt;record&gt;&lt;urls&gt;&lt;related-urls&gt;&lt;url&gt;https://www.medrxiv.org/content/medrxiv/early/2020/08/07/2020.08.07.20169920.1.full.pdf&lt;/url&gt;&lt;/related-urls&gt;&lt;/urls&gt;&lt;titles&gt;&lt;title&gt;Wrong person, place and time: viral load and contact network structure predict SARS-CoV-2 transmission and super-spreading events&lt;/title&gt;&lt;secondary-title&gt;medRxiv&lt;/secondary-title&gt;&lt;/titles&gt;&lt;pages&gt;2020.08.07.20169920&lt;/pages&gt;&lt;contributors&gt;&lt;authors&gt;&lt;author&gt;Goyal, Ashish&lt;/author&gt;&lt;author&gt;Reeves, Daniel B&lt;/author&gt;&lt;author&gt;Cardozo-Ojeda, E. Fabian&lt;/author&gt;&lt;author&gt;Schiffer, Joshua T&lt;/author&gt;&lt;author&gt;Mayer, Bryan T.&lt;/author&gt;&lt;/authors&gt;&lt;/contributors&gt;&lt;added-date format="utc"&gt;1599844846&lt;/added-date&gt;&lt;ref-type name="Journal Article"&gt;17&lt;/ref-type&gt;&lt;dates&gt;&lt;year&gt;2020&lt;/year&gt;&lt;/dates&gt;&lt;rec-number&gt;687&lt;/rec-number&gt;&lt;last-updated-date format="utc"&gt;1599844846&lt;/last-updated-date&gt;&lt;electronic-resource-num&gt;10.1101/2020.08.07.20169920&lt;/electronic-resource-num&gt;&lt;/record&gt;&lt;/Cite&gt;&lt;/EndNote&gt;</w:instrText>
      </w:r>
      <w:r>
        <w:rPr>
          <w:rFonts w:eastAsiaTheme="minorEastAsia"/>
        </w:rPr>
        <w:fldChar w:fldCharType="separate"/>
      </w:r>
      <w:r>
        <w:rPr>
          <w:rFonts w:eastAsiaTheme="minorEastAsia"/>
          <w:noProof/>
        </w:rPr>
        <w:t>(Goyal et al., 2020b)</w:t>
      </w:r>
      <w:r>
        <w:rPr>
          <w:rFonts w:eastAsiaTheme="minorEastAsia"/>
        </w:rPr>
        <w:fldChar w:fldCharType="end"/>
      </w:r>
      <w:r>
        <w:rPr>
          <w:rFonts w:eastAsiaTheme="minorEastAsia"/>
        </w:rPr>
        <w:t xml:space="preserve">, with the following fixed effects and </w:t>
      </w:r>
      <w:r>
        <w:rPr>
          <w:rFonts w:eastAsia="Times New Roman"/>
          <w:bCs/>
          <w:color w:val="000000"/>
        </w:rPr>
        <w:t>standard deviation</w:t>
      </w:r>
      <w:r w:rsidRPr="00224B50">
        <w:rPr>
          <w:rFonts w:eastAsia="Times New Roman"/>
          <w:bCs/>
          <w:color w:val="000000"/>
        </w:rPr>
        <w:t xml:space="preserve"> of the random effects</w:t>
      </w:r>
      <w:r>
        <w:rPr>
          <w:rFonts w:eastAsia="Times New Roman"/>
          <w:bCs/>
          <w:color w:val="000000"/>
        </w:rPr>
        <w:t xml:space="preserve"> (in parenthesis): Log</w:t>
      </w:r>
      <w:r w:rsidRPr="002A5E72">
        <w:rPr>
          <w:rFonts w:eastAsia="Times New Roman"/>
          <w:bCs/>
          <w:color w:val="000000"/>
          <w:vertAlign w:val="subscript"/>
        </w:rPr>
        <w:t>10</w:t>
      </w:r>
      <m:oMath>
        <m:r>
          <w:rPr>
            <w:rFonts w:ascii="Cambria Math" w:eastAsia="Times New Roman" w:hAnsi="Cambria Math"/>
            <w:color w:val="000000"/>
          </w:rPr>
          <m:t>β</m:t>
        </m:r>
      </m:oMath>
      <w:r>
        <w:rPr>
          <w:rFonts w:eastAsia="Times New Roman"/>
          <w:bCs/>
          <w:color w:val="000000"/>
        </w:rPr>
        <w:t>: -7.23 (0.2) virions</w:t>
      </w:r>
      <w:r w:rsidRPr="00F229C4">
        <w:rPr>
          <w:rFonts w:eastAsia="Times New Roman"/>
          <w:bCs/>
          <w:color w:val="000000"/>
          <w:vertAlign w:val="superscript"/>
        </w:rPr>
        <w:t>-1</w:t>
      </w:r>
      <w:r>
        <w:rPr>
          <w:rFonts w:eastAsia="Times New Roman"/>
          <w:bCs/>
          <w:color w:val="000000"/>
        </w:rPr>
        <w:t xml:space="preserve"> day</w:t>
      </w:r>
      <w:r w:rsidRPr="00F229C4">
        <w:rPr>
          <w:rFonts w:eastAsia="Times New Roman"/>
          <w:bCs/>
          <w:color w:val="000000"/>
          <w:vertAlign w:val="superscript"/>
        </w:rPr>
        <w:t>-1</w:t>
      </w:r>
      <w:r>
        <w:rPr>
          <w:rFonts w:eastAsia="Times New Roman"/>
          <w:bCs/>
          <w:color w:val="000000"/>
        </w:rPr>
        <w:t xml:space="preserve">; </w:t>
      </w:r>
      <m:oMath>
        <m:r>
          <w:rPr>
            <w:rFonts w:ascii="Cambria Math" w:eastAsia="Times New Roman" w:hAnsi="Cambria Math"/>
            <w:color w:val="000000"/>
          </w:rPr>
          <m:t>δ</m:t>
        </m:r>
      </m:oMath>
      <w:r>
        <w:rPr>
          <w:rFonts w:eastAsia="Times New Roman"/>
          <w:bCs/>
          <w:color w:val="000000"/>
        </w:rPr>
        <w:t>: 3.13 (0.02) day</w:t>
      </w:r>
      <w:r w:rsidRPr="00F229C4">
        <w:rPr>
          <w:rFonts w:eastAsia="Times New Roman"/>
          <w:bCs/>
          <w:color w:val="000000"/>
          <w:vertAlign w:val="superscript"/>
        </w:rPr>
        <w:t>-1</w:t>
      </w:r>
      <w:r>
        <w:rPr>
          <w:rFonts w:eastAsia="Times New Roman"/>
          <w:bCs/>
          <w:color w:val="000000"/>
        </w:rPr>
        <w:t xml:space="preserve"> cells</w:t>
      </w:r>
      <w:r w:rsidRPr="00F229C4">
        <w:rPr>
          <w:rFonts w:eastAsia="Times New Roman"/>
          <w:bCs/>
          <w:color w:val="000000"/>
          <w:vertAlign w:val="superscript"/>
        </w:rPr>
        <w:t>-k</w:t>
      </w:r>
      <w:r>
        <w:rPr>
          <w:rFonts w:eastAsia="Times New Roman"/>
          <w:bCs/>
          <w:color w:val="000000"/>
        </w:rPr>
        <w:t xml:space="preserve">; </w:t>
      </w:r>
      <m:oMath>
        <m:r>
          <w:rPr>
            <w:rFonts w:ascii="Cambria Math" w:eastAsia="Times New Roman" w:hAnsi="Cambria Math"/>
            <w:color w:val="000000"/>
          </w:rPr>
          <m:t>k</m:t>
        </m:r>
      </m:oMath>
      <w:r>
        <w:rPr>
          <w:rFonts w:eastAsia="Times New Roman"/>
          <w:bCs/>
          <w:color w:val="000000"/>
        </w:rPr>
        <w:t xml:space="preserve">: 0.08 (0.02); </w:t>
      </w:r>
      <w:r>
        <w:rPr>
          <w:rFonts w:eastAsia="Times New Roman"/>
          <w:bCs/>
          <w:color w:val="000000"/>
        </w:rPr>
        <w:lastRenderedPageBreak/>
        <w:t>Log10</w:t>
      </w:r>
      <m:oMath>
        <m:r>
          <w:rPr>
            <w:rFonts w:ascii="Cambria Math" w:eastAsia="Times New Roman" w:hAnsi="Cambria Math"/>
            <w:color w:val="000000"/>
          </w:rPr>
          <m:t>(π</m:t>
        </m:r>
      </m:oMath>
      <w:r>
        <w:rPr>
          <w:rFonts w:eastAsia="Times New Roman"/>
          <w:bCs/>
          <w:color w:val="000000"/>
        </w:rPr>
        <w:t>): 2.59 (0.05) day</w:t>
      </w:r>
      <w:r w:rsidRPr="00F229C4">
        <w:rPr>
          <w:rFonts w:eastAsia="Times New Roman"/>
          <w:bCs/>
          <w:color w:val="000000"/>
          <w:vertAlign w:val="superscript"/>
        </w:rPr>
        <w:t>-1</w:t>
      </w:r>
      <w:r>
        <w:rPr>
          <w:rFonts w:eastAsia="Times New Roman"/>
          <w:bCs/>
          <w:color w:val="000000"/>
        </w:rPr>
        <w:t xml:space="preserve">; </w:t>
      </w:r>
      <m:oMath>
        <m:r>
          <w:rPr>
            <w:rFonts w:ascii="Cambria Math" w:eastAsia="Times New Roman" w:hAnsi="Cambria Math"/>
            <w:color w:val="000000"/>
          </w:rPr>
          <m:t>m</m:t>
        </m:r>
      </m:oMath>
      <w:r>
        <w:rPr>
          <w:rFonts w:eastAsia="Times New Roman"/>
          <w:bCs/>
          <w:color w:val="000000"/>
        </w:rPr>
        <w:t>: 3.21 (0.33) days</w:t>
      </w:r>
      <w:r w:rsidRPr="00F229C4">
        <w:rPr>
          <w:rFonts w:eastAsia="Times New Roman"/>
          <w:bCs/>
          <w:color w:val="000000"/>
          <w:vertAlign w:val="superscript"/>
        </w:rPr>
        <w:t>-1</w:t>
      </w:r>
      <w:r>
        <w:rPr>
          <w:rFonts w:eastAsia="Times New Roman"/>
          <w:bCs/>
          <w:color w:val="000000"/>
        </w:rPr>
        <w:t>cells</w:t>
      </w:r>
      <w:r w:rsidRPr="00F229C4">
        <w:rPr>
          <w:rFonts w:eastAsia="Times New Roman"/>
          <w:bCs/>
          <w:color w:val="000000"/>
          <w:vertAlign w:val="superscript"/>
        </w:rPr>
        <w:t>-1</w:t>
      </w:r>
      <w:r>
        <w:rPr>
          <w:rFonts w:eastAsia="Times New Roman"/>
          <w:bCs/>
          <w:color w:val="000000"/>
        </w:rPr>
        <w:t>; Log10(</w:t>
      </w:r>
      <m:oMath>
        <m:r>
          <w:rPr>
            <w:rFonts w:ascii="Cambria Math" w:eastAsia="Times New Roman" w:hAnsi="Cambria Math"/>
            <w:color w:val="000000"/>
          </w:rPr>
          <m:t>ω</m:t>
        </m:r>
      </m:oMath>
      <w:r>
        <w:rPr>
          <w:rFonts w:eastAsia="Times New Roman"/>
          <w:bCs/>
          <w:color w:val="000000"/>
        </w:rPr>
        <w:t>): -4.55 (0.01)  days</w:t>
      </w:r>
      <w:r w:rsidRPr="00F229C4">
        <w:rPr>
          <w:rFonts w:eastAsia="Times New Roman"/>
          <w:bCs/>
          <w:color w:val="000000"/>
          <w:vertAlign w:val="superscript"/>
        </w:rPr>
        <w:t>-1</w:t>
      </w:r>
      <w:r>
        <w:rPr>
          <w:rFonts w:eastAsia="Times New Roman"/>
          <w:bCs/>
          <w:color w:val="000000"/>
        </w:rPr>
        <w:t>cells</w:t>
      </w:r>
      <w:r w:rsidRPr="00F229C4">
        <w:rPr>
          <w:rFonts w:eastAsia="Times New Roman"/>
          <w:bCs/>
          <w:color w:val="000000"/>
          <w:vertAlign w:val="superscript"/>
        </w:rPr>
        <w:t>-1</w:t>
      </w:r>
      <w:r>
        <w:rPr>
          <w:rFonts w:eastAsia="Times New Roman"/>
          <w:bCs/>
          <w:color w:val="000000"/>
        </w:rPr>
        <w:t xml:space="preserve">. We also assumed </w:t>
      </w:r>
      <m:oMath>
        <m:r>
          <w:rPr>
            <w:rFonts w:ascii="Cambria Math" w:eastAsia="Times New Roman" w:hAnsi="Cambria Math"/>
            <w:color w:val="000000"/>
          </w:rPr>
          <m:t>r=10</m:t>
        </m:r>
      </m:oMath>
      <w:r>
        <w:rPr>
          <w:rFonts w:eastAsia="Times New Roman"/>
          <w:bCs/>
          <w:color w:val="000000"/>
        </w:rPr>
        <w:t xml:space="preserve">; </w:t>
      </w:r>
      <m:oMath>
        <m:sSub>
          <m:sSubPr>
            <m:ctrlPr>
              <w:rPr>
                <w:rFonts w:ascii="Cambria Math" w:eastAsia="Times New Roman" w:hAnsi="Cambria Math"/>
                <w:bCs/>
                <w:i/>
                <w:color w:val="000000"/>
              </w:rPr>
            </m:ctrlPr>
          </m:sSubPr>
          <m:e>
            <m:r>
              <w:rPr>
                <w:rFonts w:ascii="Cambria Math" w:eastAsia="Times New Roman" w:hAnsi="Cambria Math"/>
                <w:color w:val="000000"/>
              </w:rPr>
              <m:t>δ</m:t>
            </m:r>
          </m:e>
          <m:sub>
            <m:r>
              <w:rPr>
                <w:rFonts w:ascii="Cambria Math" w:eastAsia="Times New Roman" w:hAnsi="Cambria Math"/>
                <w:color w:val="000000"/>
              </w:rPr>
              <m:t>E</m:t>
            </m:r>
          </m:sub>
        </m:sSub>
        <m:r>
          <w:rPr>
            <w:rFonts w:ascii="Cambria Math" w:eastAsia="Times New Roman" w:hAnsi="Cambria Math"/>
            <w:color w:val="000000"/>
          </w:rPr>
          <m:t>=1</m:t>
        </m:r>
      </m:oMath>
      <w:r>
        <w:rPr>
          <w:rFonts w:eastAsia="Times New Roman"/>
          <w:bCs/>
          <w:color w:val="000000"/>
        </w:rPr>
        <w:t xml:space="preserve"> day</w:t>
      </w:r>
      <w:r w:rsidRPr="00F229C4">
        <w:rPr>
          <w:rFonts w:eastAsia="Times New Roman"/>
          <w:bCs/>
          <w:color w:val="000000"/>
          <w:vertAlign w:val="superscript"/>
        </w:rPr>
        <w:t>-1</w:t>
      </w:r>
      <w:r>
        <w:rPr>
          <w:rFonts w:eastAsia="Times New Roman"/>
          <w:bCs/>
          <w:color w:val="000000"/>
        </w:rPr>
        <w:t xml:space="preserve">; </w:t>
      </w:r>
      <m:oMath>
        <m:r>
          <w:rPr>
            <w:rFonts w:ascii="Cambria Math" w:eastAsia="Times New Roman" w:hAnsi="Cambria Math"/>
            <w:color w:val="000000"/>
          </w:rPr>
          <m:t>q=2.4×</m:t>
        </m:r>
        <m:sSup>
          <m:sSupPr>
            <m:ctrlPr>
              <w:rPr>
                <w:rFonts w:ascii="Cambria Math" w:eastAsia="Times New Roman" w:hAnsi="Cambria Math"/>
                <w:bCs/>
                <w:i/>
                <w:color w:val="000000"/>
              </w:rPr>
            </m:ctrlPr>
          </m:sSupPr>
          <m:e>
            <m:r>
              <w:rPr>
                <w:rFonts w:ascii="Cambria Math" w:eastAsia="Times New Roman" w:hAnsi="Cambria Math"/>
                <w:color w:val="000000"/>
              </w:rPr>
              <m:t>10</m:t>
            </m:r>
          </m:e>
          <m:sup>
            <m:r>
              <w:rPr>
                <w:rFonts w:ascii="Cambria Math" w:eastAsia="Times New Roman" w:hAnsi="Cambria Math"/>
                <w:color w:val="000000"/>
              </w:rPr>
              <m:t>-5</m:t>
            </m:r>
          </m:sup>
        </m:sSup>
      </m:oMath>
      <w:r>
        <w:rPr>
          <w:rFonts w:eastAsia="Times New Roman"/>
          <w:bCs/>
          <w:color w:val="000000"/>
        </w:rPr>
        <w:t xml:space="preserve"> day</w:t>
      </w:r>
      <w:r w:rsidRPr="00F229C4">
        <w:rPr>
          <w:rFonts w:eastAsia="Times New Roman"/>
          <w:bCs/>
          <w:color w:val="000000"/>
          <w:vertAlign w:val="superscript"/>
        </w:rPr>
        <w:t>-1</w:t>
      </w:r>
      <w:r>
        <w:rPr>
          <w:rFonts w:eastAsia="Times New Roman"/>
          <w:bCs/>
          <w:color w:val="000000"/>
        </w:rPr>
        <w:t xml:space="preserve"> and </w:t>
      </w:r>
      <m:oMath>
        <m:r>
          <w:rPr>
            <w:rFonts w:ascii="Cambria Math" w:eastAsia="Times New Roman" w:hAnsi="Cambria Math"/>
            <w:color w:val="000000"/>
          </w:rPr>
          <m:t>c=15</m:t>
        </m:r>
      </m:oMath>
      <w:r>
        <w:rPr>
          <w:rFonts w:eastAsia="Times New Roman"/>
          <w:bCs/>
          <w:color w:val="000000"/>
        </w:rPr>
        <w:t xml:space="preserve"> day</w:t>
      </w:r>
      <w:r w:rsidRPr="00F229C4">
        <w:rPr>
          <w:rFonts w:eastAsia="Times New Roman"/>
          <w:bCs/>
          <w:color w:val="000000"/>
          <w:vertAlign w:val="superscript"/>
        </w:rPr>
        <w:t>-1</w:t>
      </w:r>
      <w:r>
        <w:rPr>
          <w:rFonts w:eastAsia="Times New Roman"/>
          <w:bCs/>
          <w:color w:val="000000"/>
        </w:rPr>
        <w:t xml:space="preserve">. </w:t>
      </w:r>
    </w:p>
    <w:p w14:paraId="11D3249A" w14:textId="77777777" w:rsidR="00A94C0A" w:rsidRDefault="00A94C0A" w:rsidP="007B2E07">
      <w:pPr>
        <w:spacing w:line="360" w:lineRule="auto"/>
        <w:jc w:val="both"/>
        <w:rPr>
          <w:rFonts w:eastAsia="Times New Roman"/>
          <w:bCs/>
          <w:color w:val="000000"/>
        </w:rPr>
      </w:pPr>
    </w:p>
    <w:p w14:paraId="6C2FEC34" w14:textId="61F0059E" w:rsidR="00A94C0A" w:rsidRPr="003A7705" w:rsidRDefault="00A94C0A" w:rsidP="007B2E07">
      <w:pPr>
        <w:spacing w:line="360" w:lineRule="auto"/>
        <w:jc w:val="both"/>
        <w:rPr>
          <w:b/>
          <w:bCs/>
          <w:i/>
        </w:rPr>
      </w:pPr>
      <w:r w:rsidRPr="003A7705">
        <w:rPr>
          <w:b/>
          <w:bCs/>
          <w:i/>
        </w:rPr>
        <w:t xml:space="preserve">Dose-response </w:t>
      </w:r>
      <w:r>
        <w:rPr>
          <w:b/>
          <w:bCs/>
          <w:i/>
        </w:rPr>
        <w:t xml:space="preserve">model. </w:t>
      </w:r>
      <w:r>
        <w:rPr>
          <w:b/>
          <w:bCs/>
        </w:rPr>
        <w:t xml:space="preserve"> </w:t>
      </w:r>
      <w:r w:rsidRPr="007620FB">
        <w:rPr>
          <w:rFonts w:eastAsiaTheme="minorEastAsia"/>
        </w:rPr>
        <w:t>W</w:t>
      </w:r>
      <w:r>
        <w:rPr>
          <w:rFonts w:eastAsiaTheme="minorEastAsia"/>
        </w:rPr>
        <w:t>e</w:t>
      </w:r>
      <w:r w:rsidRPr="007620FB">
        <w:rPr>
          <w:rFonts w:eastAsiaTheme="minorEastAsia"/>
        </w:rPr>
        <w:t xml:space="preserve"> employed </w:t>
      </w:r>
      <w:r>
        <w:rPr>
          <w:rFonts w:eastAsiaTheme="minorEastAsia"/>
        </w:rPr>
        <w:t>our previously developed dose-response model to</w:t>
      </w:r>
      <w:r w:rsidRPr="007F03C9">
        <w:rPr>
          <w:rFonts w:eastAsiaTheme="minorEastAsia"/>
        </w:rPr>
        <w:t xml:space="preserve"> </w:t>
      </w:r>
      <w:r w:rsidRPr="009B235F">
        <w:rPr>
          <w:rFonts w:eastAsiaTheme="minorEastAsia"/>
        </w:rPr>
        <w:t xml:space="preserve">estimate the </w:t>
      </w:r>
      <w:r w:rsidRPr="008C730D">
        <w:rPr>
          <w:rFonts w:eastAsiaTheme="minorEastAsia"/>
        </w:rPr>
        <w:t xml:space="preserve">probability of </w:t>
      </w:r>
      <w:r>
        <w:rPr>
          <w:rFonts w:eastAsiaTheme="minorEastAsia"/>
        </w:rPr>
        <w:t xml:space="preserve">virus entering the airway given a transmitter viral load (i.e., contagiousness) and the probability of </w:t>
      </w:r>
      <w:r w:rsidRPr="008C730D">
        <w:rPr>
          <w:rFonts w:eastAsiaTheme="minorEastAsia"/>
        </w:rPr>
        <w:t xml:space="preserve">cellular infection given </w:t>
      </w:r>
      <w:r>
        <w:rPr>
          <w:rFonts w:eastAsiaTheme="minorEastAsia"/>
        </w:rPr>
        <w:t>a transmitter viral load, (i.e., infectiousness)</w:t>
      </w:r>
      <w:r w:rsidRPr="009B235F">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[V(t)]</m:t>
        </m:r>
      </m:oMath>
      <w:r w:rsidRPr="009B235F">
        <w:rPr>
          <w:rFonts w:eastAsiaTheme="minorEastAsia"/>
        </w:rPr>
        <w:t xml:space="preserve"> (response) based on viral loads </w:t>
      </w:r>
      <m:oMath>
        <m:r>
          <w:rPr>
            <w:rFonts w:ascii="Cambria Math" w:eastAsiaTheme="minorEastAsia" w:hAnsi="Cambria Math"/>
          </w:rPr>
          <m:t>V(t)</m:t>
        </m:r>
      </m:oMath>
      <w:r w:rsidRPr="009B235F">
        <w:rPr>
          <w:rFonts w:eastAsiaTheme="minorEastAsia"/>
        </w:rPr>
        <w:t xml:space="preserve"> (dose)</w:t>
      </w:r>
      <w:r>
        <w:rPr>
          <w:rFonts w:eastAsiaTheme="minorEastAsia"/>
        </w:rPr>
        <w:t xml:space="preserve"> </w:t>
      </w:r>
      <w:r>
        <w:rPr>
          <w:rFonts w:eastAsiaTheme="minorEastAsia"/>
        </w:rPr>
        <w:fldChar w:fldCharType="begin"/>
      </w:r>
      <w:r>
        <w:rPr>
          <w:rFonts w:eastAsiaTheme="minorEastAsia"/>
        </w:rPr>
        <w:instrText xml:space="preserve"> ADDIN EN.CITE &lt;EndNote&gt;&lt;Cite&gt;&lt;Author&gt;Goyal&lt;/Author&gt;&lt;Year&gt;2020&lt;/Year&gt;&lt;IDText&gt;Wrong person, place and time: viral load and contact network structure predict SARS-CoV-2 transmission and super-spreading events&lt;/IDText&gt;&lt;DisplayText&gt;(Goyal et al., 2020b)&lt;/DisplayText&gt;&lt;record&gt;&lt;urls&gt;&lt;related-urls&gt;&lt;url&gt;https://www.medrxiv.org/content/medrxiv/early/2020/08/07/2020.08.07.20169920.1.full.pdf&lt;/url&gt;&lt;/related-urls&gt;&lt;/urls&gt;&lt;titles&gt;&lt;title&gt;Wrong person, place and time: viral load and contact network structure predict SARS-CoV-2 transmission and super-spreading events&lt;/title&gt;&lt;secondary-title&gt;medRxiv&lt;/secondary-title&gt;&lt;/titles&gt;&lt;pages&gt;2020.08.07.20169920&lt;/pages&gt;&lt;contributors&gt;&lt;authors&gt;&lt;author&gt;Goyal, Ashish&lt;/author&gt;&lt;author&gt;Reeves, Daniel B&lt;/author&gt;&lt;author&gt;Cardozo-Ojeda, E. Fabian&lt;/author&gt;&lt;author&gt;Schiffer, Joshua T&lt;/author&gt;&lt;author&gt;Mayer, Bryan T.&lt;/author&gt;&lt;/authors&gt;&lt;/contributors&gt;&lt;added-date format="utc"&gt;1599844846&lt;/added-date&gt;&lt;ref-type name="Journal Article"&gt;17&lt;/ref-type&gt;&lt;dates&gt;&lt;year&gt;2020&lt;/year&gt;&lt;/dates&gt;&lt;rec-number&gt;687&lt;/rec-number&gt;&lt;last-updated-date format="utc"&gt;1599844846&lt;/last-updated-date&gt;&lt;electronic-resource-num&gt;10.1101/2020.08.07.20169920&lt;/electronic-resource-num&gt;&lt;/record&gt;&lt;/Cite&gt;&lt;/EndNote&gt;</w:instrText>
      </w:r>
      <w:r>
        <w:rPr>
          <w:rFonts w:eastAsiaTheme="minorEastAsia"/>
        </w:rPr>
        <w:fldChar w:fldCharType="separate"/>
      </w:r>
      <w:r>
        <w:rPr>
          <w:rFonts w:eastAsiaTheme="minorEastAsia"/>
          <w:noProof/>
        </w:rPr>
        <w:t>(Goyal et al.</w:t>
      </w:r>
      <w:r w:rsidR="007B2E07">
        <w:rPr>
          <w:rFonts w:eastAsiaTheme="minorEastAsia"/>
          <w:noProof/>
        </w:rPr>
        <w:t xml:space="preserve"> eLife 2020</w:t>
      </w:r>
      <w:r>
        <w:rPr>
          <w:rFonts w:eastAsiaTheme="minorEastAsia"/>
          <w:noProof/>
        </w:rPr>
        <w:t>)</w:t>
      </w:r>
      <w:r>
        <w:rPr>
          <w:rFonts w:eastAsiaTheme="minorEastAsia"/>
        </w:rPr>
        <w:fldChar w:fldCharType="end"/>
      </w:r>
      <w:r>
        <w:rPr>
          <w:rFonts w:eastAsiaTheme="minorEastAsia"/>
        </w:rPr>
        <w:t xml:space="preserve">. </w:t>
      </w:r>
      <w:r w:rsidRPr="007620FB">
        <w:rPr>
          <w:rFonts w:eastAsiaTheme="minorEastAsia"/>
        </w:rPr>
        <w:t xml:space="preserve"> </w:t>
      </w:r>
      <w:r>
        <w:rPr>
          <w:rFonts w:eastAsiaTheme="minorEastAsia"/>
        </w:rPr>
        <w:t>The relation between the response and the dose follows</w:t>
      </w:r>
      <w:r w:rsidRPr="009B235F">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;λ,α]=</m:t>
        </m:r>
        <m:f>
          <m:fPr>
            <m:ctrlPr>
              <w:rPr>
                <w:rFonts w:ascii="Cambria Math" w:eastAsiaTheme="minorEastAsia" w:hAnsi="Cambria Math"/>
                <w:i/>
              </w:rPr>
            </m:ctrlPr>
          </m:fPr>
          <m:num>
            <m:r>
              <w:rPr>
                <w:rFonts w:ascii="Cambria Math" w:eastAsiaTheme="minorEastAsia" w:hAnsi="Cambria Math"/>
              </w:rPr>
              <m:t>V</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t</m:t>
                    </m:r>
                  </m:e>
                </m:d>
              </m:e>
              <m:sup>
                <m:r>
                  <w:rPr>
                    <w:rFonts w:ascii="Cambria Math" w:eastAsiaTheme="minorEastAsia" w:hAnsi="Cambria Math"/>
                  </w:rPr>
                  <m:t>α</m:t>
                </m:r>
              </m:sup>
            </m:sSup>
          </m:num>
          <m:den>
            <m:sSup>
              <m:sSupPr>
                <m:ctrlPr>
                  <w:rPr>
                    <w:rFonts w:ascii="Cambria Math" w:eastAsiaTheme="minorEastAsia" w:hAnsi="Cambria Math"/>
                    <w:i/>
                  </w:rPr>
                </m:ctrlPr>
              </m:sSupPr>
              <m:e>
                <m:r>
                  <w:rPr>
                    <w:rFonts w:ascii="Cambria Math" w:eastAsiaTheme="minorEastAsia" w:hAnsi="Cambria Math"/>
                  </w:rPr>
                  <m:t>λ</m:t>
                </m:r>
              </m:e>
              <m:sup>
                <m:r>
                  <w:rPr>
                    <w:rFonts w:ascii="Cambria Math" w:eastAsiaTheme="minorEastAsia" w:hAnsi="Cambria Math"/>
                  </w:rPr>
                  <m:t>α</m:t>
                </m:r>
              </m:sup>
            </m:sSup>
            <m:r>
              <w:rPr>
                <w:rFonts w:ascii="Cambria Math" w:eastAsiaTheme="minorEastAsia" w:hAnsi="Cambria Math"/>
              </w:rPr>
              <m:t>+V</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t</m:t>
                    </m:r>
                  </m:e>
                </m:d>
              </m:e>
              <m:sup>
                <m:r>
                  <w:rPr>
                    <w:rFonts w:ascii="Cambria Math" w:eastAsiaTheme="minorEastAsia" w:hAnsi="Cambria Math"/>
                  </w:rPr>
                  <m:t>α</m:t>
                </m:r>
              </m:sup>
            </m:sSup>
          </m:den>
        </m:f>
      </m:oMath>
      <w:r w:rsidRPr="009B235F">
        <w:rPr>
          <w:rFonts w:eastAsiaTheme="minorEastAsia"/>
        </w:rPr>
        <w:t xml:space="preserve"> </w:t>
      </w:r>
      <w:r>
        <w:rPr>
          <w:rFonts w:eastAsiaTheme="minorEastAsia"/>
        </w:rPr>
        <w:t>, being</w:t>
      </w:r>
      <w:r w:rsidRPr="009B235F">
        <w:rPr>
          <w:rFonts w:eastAsiaTheme="minorEastAsia"/>
        </w:rPr>
        <w:t xml:space="preserve"> </w:t>
      </w:r>
      <m:oMath>
        <m:r>
          <w:rPr>
            <w:rFonts w:ascii="Cambria Math" w:eastAsiaTheme="minorEastAsia" w:hAnsi="Cambria Math"/>
          </w:rPr>
          <m:t>λ</m:t>
        </m:r>
      </m:oMath>
      <w:r w:rsidRPr="009B235F">
        <w:rPr>
          <w:rFonts w:eastAsiaTheme="minorEastAsia"/>
        </w:rPr>
        <w:t xml:space="preserve"> the viral load that corresponds to 50% </w:t>
      </w:r>
      <w:r>
        <w:rPr>
          <w:rFonts w:eastAsiaTheme="minorEastAsia"/>
        </w:rPr>
        <w:t>infectiousness and 50% contagiousness</w:t>
      </w:r>
      <w:r w:rsidRPr="009B235F">
        <w:rPr>
          <w:rFonts w:eastAsiaTheme="minorEastAsia"/>
        </w:rPr>
        <w:t xml:space="preserve"> and </w:t>
      </w:r>
      <m:oMath>
        <m:r>
          <w:rPr>
            <w:rFonts w:ascii="Cambria Math" w:eastAsiaTheme="minorEastAsia" w:hAnsi="Cambria Math"/>
          </w:rPr>
          <m:t>α</m:t>
        </m:r>
      </m:oMath>
      <w:r w:rsidRPr="009B235F">
        <w:rPr>
          <w:rFonts w:eastAsiaTheme="minorEastAsia"/>
        </w:rPr>
        <w:t xml:space="preserve"> the </w:t>
      </w:r>
      <w:r>
        <w:rPr>
          <w:rFonts w:eastAsiaTheme="minorEastAsia"/>
        </w:rPr>
        <w:t>H</w:t>
      </w:r>
      <w:r w:rsidRPr="009B235F">
        <w:rPr>
          <w:rFonts w:eastAsiaTheme="minorEastAsia"/>
        </w:rPr>
        <w:t xml:space="preserve">ill coefficient that controls the sharpness in the dose-response curve. </w:t>
      </w:r>
      <w:r>
        <w:rPr>
          <w:rFonts w:eastAsiaTheme="minorEastAsia"/>
        </w:rPr>
        <w:t xml:space="preserve">We assumed that the </w:t>
      </w:r>
      <w:r w:rsidRPr="008C730D">
        <w:rPr>
          <w:rFonts w:eastAsiaTheme="minorEastAsia"/>
        </w:rPr>
        <w:t>viral load</w:t>
      </w:r>
      <w:r>
        <w:rPr>
          <w:rFonts w:eastAsiaTheme="minorEastAsia"/>
        </w:rPr>
        <w:t>-dependent</w:t>
      </w:r>
      <w:r w:rsidRPr="008C730D">
        <w:rPr>
          <w:rFonts w:eastAsiaTheme="minorEastAsia"/>
        </w:rPr>
        <w:t xml:space="preserve"> contagiousness</w:t>
      </w:r>
      <w:r>
        <w:rPr>
          <w:rFonts w:eastAsiaTheme="minorEastAsia"/>
        </w:rPr>
        <w:t xml:space="preserve"> (i.e.,</w:t>
      </w:r>
      <w:r w:rsidRPr="008C730D">
        <w:rPr>
          <w:rFonts w:eastAsiaTheme="minorEastAsia"/>
        </w:rPr>
        <w:t xml:space="preserve"> the probability that virus is passaged to the exposed person’s airway</w:t>
      </w:r>
      <w:r>
        <w:rPr>
          <w:rFonts w:eastAsiaTheme="minorEastAsia"/>
        </w:rPr>
        <w:t xml:space="preserve">) is the same as </w:t>
      </w:r>
      <w:r w:rsidRPr="008C730D">
        <w:rPr>
          <w:rFonts w:eastAsiaTheme="minorEastAsia"/>
        </w:rPr>
        <w:t>infectiousness</w:t>
      </w:r>
      <w:r>
        <w:rPr>
          <w:rFonts w:eastAsiaTheme="minorEastAsia"/>
        </w:rPr>
        <w:t xml:space="preserve">. We estimate the transmission risk as the product of the infectiousness and contagiousness </w:t>
      </w:r>
      <w:r>
        <w:rPr>
          <w:rFonts w:eastAsiaTheme="minorEastAsia"/>
        </w:rPr>
        <w:fldChar w:fldCharType="begin"/>
      </w:r>
      <w:r>
        <w:rPr>
          <w:rFonts w:eastAsiaTheme="minorEastAsia"/>
        </w:rPr>
        <w:instrText xml:space="preserve"> ADDIN EN.CITE &lt;EndNote&gt;&lt;Cite&gt;&lt;Author&gt;Goyal&lt;/Author&gt;&lt;Year&gt;2020&lt;/Year&gt;&lt;IDText&gt;Wrong person, place and time: viral load and contact network structure predict SARS-CoV-2 transmission and super-spreading events&lt;/IDText&gt;&lt;DisplayText&gt;(Goyal et al., 2020b)&lt;/DisplayText&gt;&lt;record&gt;&lt;urls&gt;&lt;related-urls&gt;&lt;url&gt;https://www.medrxiv.org/content/medrxiv/early/2020/08/07/2020.08.07.20169920.1.full.pdf&lt;/url&gt;&lt;/related-urls&gt;&lt;/urls&gt;&lt;titles&gt;&lt;title&gt;Wrong person, place and time: viral load and contact network structure predict SARS-CoV-2 transmission and super-spreading events&lt;/title&gt;&lt;secondary-title&gt;medRxiv&lt;/secondary-title&gt;&lt;/titles&gt;&lt;pages&gt;2020.08.07.20169920&lt;/pages&gt;&lt;contributors&gt;&lt;authors&gt;&lt;author&gt;Goyal, Ashish&lt;/author&gt;&lt;author&gt;Reeves, Daniel B&lt;/author&gt;&lt;author&gt;Cardozo-Ojeda, E. Fabian&lt;/author&gt;&lt;author&gt;Schiffer, Joshua T&lt;/author&gt;&lt;author&gt;Mayer, Bryan T.&lt;/author&gt;&lt;/authors&gt;&lt;/contributors&gt;&lt;added-date format="utc"&gt;1599844846&lt;/added-date&gt;&lt;ref-type name="Journal Article"&gt;17&lt;/ref-type&gt;&lt;dates&gt;&lt;year&gt;2020&lt;/year&gt;&lt;/dates&gt;&lt;rec-number&gt;687&lt;/rec-number&gt;&lt;last-updated-date format="utc"&gt;1599844846&lt;/last-updated-date&gt;&lt;electronic-resource-num&gt;10.1101/2020.08.07.20169920&lt;/electronic-resource-num&gt;&lt;/record&gt;&lt;/Cite&gt;&lt;/EndNote&gt;</w:instrText>
      </w:r>
      <w:r>
        <w:rPr>
          <w:rFonts w:eastAsiaTheme="minorEastAsia"/>
        </w:rPr>
        <w:fldChar w:fldCharType="separate"/>
      </w:r>
      <w:r>
        <w:rPr>
          <w:rFonts w:eastAsiaTheme="minorEastAsia"/>
          <w:noProof/>
        </w:rPr>
        <w:t>(Goyal et al.</w:t>
      </w:r>
      <w:r w:rsidR="007B2E07">
        <w:rPr>
          <w:rFonts w:eastAsiaTheme="minorEastAsia"/>
          <w:noProof/>
        </w:rPr>
        <w:t xml:space="preserve"> eLife 2020</w:t>
      </w:r>
      <w:r>
        <w:rPr>
          <w:rFonts w:eastAsiaTheme="minorEastAsia"/>
          <w:noProof/>
        </w:rPr>
        <w:t>)</w:t>
      </w:r>
      <w:r>
        <w:rPr>
          <w:rFonts w:eastAsiaTheme="minorEastAsia"/>
        </w:rPr>
        <w:fldChar w:fldCharType="end"/>
      </w:r>
      <w:r>
        <w:rPr>
          <w:rFonts w:eastAsiaTheme="minorEastAsia"/>
        </w:rPr>
        <w:t xml:space="preserve">. </w:t>
      </w:r>
    </w:p>
    <w:p w14:paraId="058572F1" w14:textId="77777777" w:rsidR="00A94C0A" w:rsidRPr="009B235F" w:rsidRDefault="00A94C0A" w:rsidP="007B2E07">
      <w:pPr>
        <w:spacing w:line="360" w:lineRule="auto"/>
        <w:jc w:val="both"/>
        <w:rPr>
          <w:rFonts w:eastAsiaTheme="minorEastAsia"/>
        </w:rPr>
      </w:pPr>
    </w:p>
    <w:p w14:paraId="6B973854" w14:textId="7A5DCC08" w:rsidR="00A94C0A" w:rsidRDefault="00A94C0A" w:rsidP="007B2E07">
      <w:pPr>
        <w:spacing w:line="360" w:lineRule="auto"/>
        <w:jc w:val="both"/>
        <w:rPr>
          <w:rFonts w:eastAsiaTheme="minorEastAsia"/>
        </w:rPr>
      </w:pPr>
      <w:r w:rsidRPr="003A7705">
        <w:rPr>
          <w:b/>
          <w:bCs/>
          <w:i/>
        </w:rPr>
        <w:t xml:space="preserve">Transmission </w:t>
      </w:r>
      <w:r>
        <w:rPr>
          <w:b/>
          <w:bCs/>
          <w:i/>
        </w:rPr>
        <w:t>m</w:t>
      </w:r>
      <w:r w:rsidRPr="003A7705">
        <w:rPr>
          <w:b/>
          <w:bCs/>
          <w:i/>
        </w:rPr>
        <w:t xml:space="preserve">odel and </w:t>
      </w:r>
      <w:r>
        <w:rPr>
          <w:b/>
          <w:bCs/>
          <w:i/>
        </w:rPr>
        <w:t>r</w:t>
      </w:r>
      <w:r w:rsidRPr="003A7705">
        <w:rPr>
          <w:b/>
          <w:bCs/>
          <w:i/>
        </w:rPr>
        <w:t>eproduction number.</w:t>
      </w:r>
      <w:r>
        <w:rPr>
          <w:i/>
        </w:rPr>
        <w:t xml:space="preserve"> </w:t>
      </w:r>
      <w:r>
        <w:rPr>
          <w:rFonts w:eastAsiaTheme="minorEastAsia"/>
        </w:rPr>
        <w:t xml:space="preserve">As in our previous model </w:t>
      </w:r>
      <w:r>
        <w:rPr>
          <w:rFonts w:eastAsiaTheme="minorEastAsia"/>
        </w:rPr>
        <w:fldChar w:fldCharType="begin"/>
      </w:r>
      <w:r>
        <w:rPr>
          <w:rFonts w:eastAsiaTheme="minorEastAsia"/>
        </w:rPr>
        <w:instrText xml:space="preserve"> ADDIN EN.CITE &lt;EndNote&gt;&lt;Cite&gt;&lt;Author&gt;Goyal&lt;/Author&gt;&lt;Year&gt;2020&lt;/Year&gt;&lt;IDText&gt;Wrong person, place and time: viral load and contact network structure predict SARS-CoV-2 transmission and super-spreading events&lt;/IDText&gt;&lt;DisplayText&gt;(Goyal et al., 2020b)&lt;/DisplayText&gt;&lt;record&gt;&lt;urls&gt;&lt;related-urls&gt;&lt;url&gt;https://www.medrxiv.org/content/medrxiv/early/2020/08/07/2020.08.07.20169920.1.full.pdf&lt;/url&gt;&lt;/related-urls&gt;&lt;/urls&gt;&lt;titles&gt;&lt;title&gt;Wrong person, place and time: viral load and contact network structure predict SARS-CoV-2 transmission and super-spreading events&lt;/title&gt;&lt;secondary-title&gt;medRxiv&lt;/secondary-title&gt;&lt;/titles&gt;&lt;pages&gt;2020.08.07.20169920&lt;/pages&gt;&lt;contributors&gt;&lt;authors&gt;&lt;author&gt;Goyal, Ashish&lt;/author&gt;&lt;author&gt;Reeves, Daniel B&lt;/author&gt;&lt;author&gt;Cardozo-Ojeda, E. Fabian&lt;/author&gt;&lt;author&gt;Schiffer, Joshua T&lt;/author&gt;&lt;author&gt;Mayer, Bryan T.&lt;/author&gt;&lt;/authors&gt;&lt;/contributors&gt;&lt;added-date format="utc"&gt;1599844846&lt;/added-date&gt;&lt;ref-type name="Journal Article"&gt;17&lt;/ref-type&gt;&lt;dates&gt;&lt;year&gt;2020&lt;/year&gt;&lt;/dates&gt;&lt;rec-number&gt;687&lt;/rec-number&gt;&lt;last-updated-date format="utc"&gt;1599844846&lt;/last-updated-date&gt;&lt;electronic-resource-num&gt;10.1101/2020.08.07.20169920&lt;/electronic-resource-num&gt;&lt;/record&gt;&lt;/Cite&gt;&lt;/EndNote&gt;</w:instrText>
      </w:r>
      <w:r>
        <w:rPr>
          <w:rFonts w:eastAsiaTheme="minorEastAsia"/>
        </w:rPr>
        <w:fldChar w:fldCharType="separate"/>
      </w:r>
      <w:r>
        <w:rPr>
          <w:rFonts w:eastAsiaTheme="minorEastAsia"/>
          <w:noProof/>
        </w:rPr>
        <w:t>(Goyal et al.</w:t>
      </w:r>
      <w:r w:rsidR="007B2E07">
        <w:rPr>
          <w:rFonts w:eastAsiaTheme="minorEastAsia"/>
          <w:noProof/>
        </w:rPr>
        <w:t xml:space="preserve"> eLife 2020</w:t>
      </w:r>
      <w:r>
        <w:rPr>
          <w:rFonts w:eastAsiaTheme="minorEastAsia"/>
          <w:noProof/>
        </w:rPr>
        <w:t>)</w:t>
      </w:r>
      <w:r>
        <w:rPr>
          <w:rFonts w:eastAsiaTheme="minorEastAsia"/>
        </w:rPr>
        <w:fldChar w:fldCharType="end"/>
      </w:r>
      <w:r>
        <w:rPr>
          <w:rFonts w:eastAsiaTheme="minorEastAsia"/>
        </w:rPr>
        <w:t>, we determined t</w:t>
      </w:r>
      <w:r w:rsidRPr="006D6BD7">
        <w:rPr>
          <w:rFonts w:eastAsiaTheme="minorEastAsia"/>
        </w:rPr>
        <w:t>he total exposed contacts</w:t>
      </w:r>
      <w:r>
        <w:rPr>
          <w:rFonts w:eastAsiaTheme="minorEastAsia"/>
        </w:rPr>
        <w:t xml:space="preserve"> of a transmitter </w:t>
      </w:r>
      <w:r w:rsidRPr="00D80BD5">
        <w:rPr>
          <w:rFonts w:eastAsiaTheme="minorEastAsia"/>
        </w:rPr>
        <w:t>within a time step</w:t>
      </w:r>
      <w:r>
        <w:rPr>
          <w:rFonts w:eastAsiaTheme="minorEastAsia"/>
        </w:rPr>
        <w:t xml:space="preserve"> </w:t>
      </w:r>
      <m:oMath>
        <m:r>
          <w:rPr>
            <w:rFonts w:ascii="Cambria Math" w:eastAsiaTheme="minorEastAsia" w:hAnsi="Cambria Math"/>
          </w:rPr>
          <m:t>(</m:t>
        </m:r>
        <m:sSub>
          <m:sSubPr>
            <m:ctrlPr>
              <w:rPr>
                <w:rFonts w:ascii="Cambria Math" w:hAnsi="Cambria Math"/>
                <w:i/>
              </w:rPr>
            </m:ctrlPr>
          </m:sSubPr>
          <m:e>
            <m:r>
              <m:rPr>
                <m:sty m:val="p"/>
              </m:rPr>
              <w:rPr>
                <w:rFonts w:ascii="Cambria Math" w:hAnsi="Cambria Math"/>
              </w:rPr>
              <m:t>Δ</m:t>
            </m:r>
            <m:ctrlPr>
              <w:rPr>
                <w:rFonts w:ascii="Cambria Math" w:eastAsiaTheme="minorEastAsia" w:hAnsi="Cambria Math"/>
                <w:i/>
              </w:rPr>
            </m:ctrlPr>
          </m:e>
          <m:sub>
            <m:r>
              <w:rPr>
                <w:rFonts w:ascii="Cambria Math" w:hAnsi="Cambria Math"/>
              </w:rPr>
              <m:t>t</m:t>
            </m:r>
          </m:sub>
        </m:sSub>
        <m:r>
          <w:rPr>
            <w:rFonts w:ascii="Cambria Math" w:hAnsi="Cambria Math"/>
          </w:rPr>
          <m:t>)</m:t>
        </m:r>
      </m:oMath>
      <w:r w:rsidRPr="006D6BD7">
        <w:rPr>
          <w:rFonts w:eastAsiaTheme="minorEastAsia"/>
        </w:rPr>
        <w:t xml:space="preserve"> </w:t>
      </w:r>
      <w:r>
        <w:rPr>
          <w:rFonts w:eastAsiaTheme="minorEastAsia"/>
        </w:rPr>
        <w:t xml:space="preserve">using a gamma distribution, i.e.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eastAsiaTheme="minorEastAsia" w:hAnsi="Cambria Math"/>
          </w:rPr>
          <m:t>~Γ</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ρ</m:t>
                </m:r>
              </m:den>
            </m:f>
            <m:r>
              <w:rPr>
                <w:rFonts w:ascii="Cambria Math" w:eastAsiaTheme="minorEastAsia" w:hAnsi="Cambria Math"/>
              </w:rPr>
              <m:t>,ρ</m:t>
            </m:r>
          </m:e>
        </m:d>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Pr>
          <w:rFonts w:eastAsiaTheme="minorEastAsia"/>
        </w:rPr>
        <w:t xml:space="preserve">, where </w:t>
      </w:r>
      <m:oMath>
        <m:r>
          <w:rPr>
            <w:rFonts w:ascii="Cambria Math" w:eastAsiaTheme="minorEastAsia" w:hAnsi="Cambria Math"/>
          </w:rPr>
          <m:t>θ</m:t>
        </m:r>
      </m:oMath>
      <w:r>
        <w:rPr>
          <w:rFonts w:eastAsiaTheme="minorEastAsia"/>
        </w:rPr>
        <w:t xml:space="preserve"> a</w:t>
      </w:r>
      <w:proofErr w:type="spellStart"/>
      <w:r w:rsidRPr="006D6BD7">
        <w:rPr>
          <w:rFonts w:eastAsiaTheme="minorEastAsia"/>
        </w:rPr>
        <w:t>nd</w:t>
      </w:r>
      <w:proofErr w:type="spellEnd"/>
      <w:r w:rsidRPr="006D6BD7">
        <w:rPr>
          <w:rFonts w:eastAsiaTheme="minorEastAsia"/>
        </w:rPr>
        <w:t xml:space="preserve"> </w:t>
      </w:r>
      <m:oMath>
        <m:r>
          <w:rPr>
            <w:rFonts w:ascii="Cambria Math" w:eastAsiaTheme="minorEastAsia" w:hAnsi="Cambria Math"/>
          </w:rPr>
          <m:t>ρ</m:t>
        </m:r>
      </m:oMath>
      <w:r>
        <w:rPr>
          <w:rFonts w:eastAsiaTheme="minorEastAsia"/>
        </w:rPr>
        <w:t xml:space="preserve"> represent </w:t>
      </w:r>
      <w:r w:rsidRPr="006D6BD7">
        <w:rPr>
          <w:rFonts w:eastAsiaTheme="minorEastAsia"/>
        </w:rPr>
        <w:t>the average daily contact rate</w:t>
      </w:r>
      <w:r>
        <w:rPr>
          <w:rFonts w:eastAsiaTheme="minorEastAsia"/>
        </w:rPr>
        <w:t xml:space="preserve"> and </w:t>
      </w:r>
      <w:r w:rsidRPr="006D6BD7">
        <w:rPr>
          <w:rFonts w:eastAsiaTheme="minorEastAsia"/>
        </w:rPr>
        <w:t>the dispersion parameter</w:t>
      </w:r>
      <w:r>
        <w:rPr>
          <w:rFonts w:eastAsiaTheme="minorEastAsia"/>
        </w:rPr>
        <w:t xml:space="preserve">, respectively. The true number of exposure contacts (with viral airway exposure) was then obtained by multiplying the </w:t>
      </w:r>
      <w:r w:rsidRPr="006D6BD7">
        <w:rPr>
          <w:rFonts w:eastAsiaTheme="minorEastAsia"/>
        </w:rPr>
        <w:t>total exposed contacts</w:t>
      </w:r>
      <w:r>
        <w:rPr>
          <w:rFonts w:eastAsiaTheme="minorEastAsia"/>
        </w:rPr>
        <w:t xml:space="preserve"> and the contagiousness of the transmitter (i.e., </w:t>
      </w:r>
      <m:oMath>
        <m:sSub>
          <m:sSubPr>
            <m:ctrlPr>
              <w:rPr>
                <w:rFonts w:ascii="Cambria Math" w:eastAsiaTheme="minorEastAsia" w:hAnsi="Cambria Math"/>
                <w:i/>
              </w:rPr>
            </m:ctrlPr>
          </m:sSubPr>
          <m:e>
            <m:r>
              <w:rPr>
                <w:rFonts w:ascii="Cambria Math" w:eastAsiaTheme="minorEastAsia" w:hAnsi="Cambria Math"/>
              </w:rPr>
              <m:t>ζ</m:t>
            </m:r>
          </m:e>
          <m:sub>
            <m:r>
              <w:rPr>
                <w:rFonts w:ascii="Cambria Math" w:eastAsiaTheme="minorEastAsia" w:hAnsi="Cambria Math"/>
              </w:rPr>
              <m:t>t</m:t>
            </m:r>
          </m:sub>
        </m:sSub>
        <m:r>
          <w:rPr>
            <w:rFonts w:ascii="Cambria Math" w:eastAsiaTheme="minorEastAsia" w:hAnsi="Cambria Math"/>
          </w:rPr>
          <m:t>=</m:t>
        </m:r>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sSub>
          <m:sSubPr>
            <m:ctrlPr>
              <w:rPr>
                <w:rFonts w:ascii="Cambria Math" w:hAnsi="Cambria Math"/>
                <w:i/>
              </w:rPr>
            </m:ctrlPr>
          </m:sSubPr>
          <m:e>
            <m:r>
              <w:rPr>
                <w:rFonts w:ascii="Cambria Math" w:hAnsi="Cambria Math"/>
              </w:rPr>
              <m:t>P</m:t>
            </m:r>
          </m:e>
          <m:sub>
            <m:r>
              <w:rPr>
                <w:rFonts w:ascii="Cambria Math" w:hAnsi="Cambria Math"/>
              </w:rPr>
              <m:t>t</m:t>
            </m:r>
          </m:sub>
        </m:sSub>
      </m:oMath>
      <w:r>
        <w:rPr>
          <w:rFonts w:eastAsiaTheme="minorEastAsia"/>
        </w:rPr>
        <w:t>)</w:t>
      </w:r>
      <w:r w:rsidRPr="009B235F">
        <w:rPr>
          <w:rFonts w:eastAsiaTheme="minorEastAsia"/>
        </w:rPr>
        <w:t>.</w:t>
      </w:r>
      <w:r>
        <w:rPr>
          <w:rFonts w:eastAsiaTheme="minorEastAsia"/>
        </w:rPr>
        <w:t xml:space="preserve">  We</w:t>
      </w:r>
      <w:r w:rsidRPr="009B235F">
        <w:rPr>
          <w:rFonts w:eastAsiaTheme="minorEastAsia"/>
        </w:rPr>
        <w:t xml:space="preserve"> modelled </w:t>
      </w:r>
      <w:r>
        <w:rPr>
          <w:rFonts w:eastAsiaTheme="minorEastAsia"/>
        </w:rPr>
        <w:t xml:space="preserve">infectiousness as a Bernoulli event with mean </w:t>
      </w:r>
      <m:oMath>
        <m:sSub>
          <m:sSubPr>
            <m:ctrlPr>
              <w:rPr>
                <w:rFonts w:ascii="Cambria Math" w:hAnsi="Cambria Math"/>
                <w:i/>
              </w:rPr>
            </m:ctrlPr>
          </m:sSubPr>
          <m:e>
            <m:r>
              <w:rPr>
                <w:rFonts w:ascii="Cambria Math" w:hAnsi="Cambria Math"/>
              </w:rPr>
              <m:t>P</m:t>
            </m:r>
          </m:e>
          <m:sub>
            <m:r>
              <w:rPr>
                <w:rFonts w:ascii="Cambria Math" w:hAnsi="Cambria Math"/>
              </w:rPr>
              <m:t>t</m:t>
            </m:r>
          </m:sub>
        </m:sSub>
      </m:oMath>
      <w:r>
        <w:rPr>
          <w:rFonts w:eastAsiaTheme="minorEastAsia"/>
        </w:rPr>
        <w:t>, yielding th</w:t>
      </w:r>
      <w:r w:rsidRPr="009B235F">
        <w:rPr>
          <w:rFonts w:eastAsiaTheme="minorEastAsia"/>
        </w:rPr>
        <w:t xml:space="preserve">e number of secondary infections within </w:t>
      </w:r>
      <w:r>
        <w:rPr>
          <w:rFonts w:eastAsiaTheme="minorEastAsia"/>
        </w:rPr>
        <w:t>a</w:t>
      </w:r>
      <w:r w:rsidRPr="009B235F">
        <w:rPr>
          <w:rFonts w:eastAsiaTheme="minorEastAsia"/>
        </w:rPr>
        <w:t xml:space="preserve"> time step</w:t>
      </w:r>
      <w:r>
        <w:rPr>
          <w:rFonts w:eastAsiaTheme="minorEastAsia"/>
        </w:rPr>
        <w:t xml:space="preserve"> as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r>
          <w:rPr>
            <w:rFonts w:ascii="Cambria Math" w:eastAsiaTheme="minorEastAsia" w:hAnsi="Cambria Math"/>
          </w:rPr>
          <m:t>=</m:t>
        </m:r>
        <m:r>
          <w:rPr>
            <w:rFonts w:ascii="Cambria Math" w:hAnsi="Cambria Math"/>
          </w:rPr>
          <m:t>Ber(</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oMath>
      <w:r>
        <w:rPr>
          <w:rFonts w:eastAsiaTheme="minorEastAsia"/>
        </w:rPr>
        <w:t>. Finally, we</w:t>
      </w:r>
      <w:r w:rsidRPr="00156FBF">
        <w:rPr>
          <w:rFonts w:eastAsiaTheme="minorEastAsia"/>
        </w:rPr>
        <w:t xml:space="preserve"> </w:t>
      </w:r>
      <w:r>
        <w:rPr>
          <w:rFonts w:eastAsiaTheme="minorEastAsia"/>
        </w:rPr>
        <w:t>summed</w:t>
      </w:r>
      <w:r w:rsidRPr="00156FBF">
        <w:rPr>
          <w:rFonts w:eastAsiaTheme="minorEastAsia"/>
        </w:rPr>
        <w:t xml:space="preserve"> up the number of secondary infections over 30 days since the time of exposure to obtain the individual reproduction number</w:t>
      </w:r>
      <w:r>
        <w:rPr>
          <w:rFonts w:eastAsiaTheme="minorEastAsia"/>
        </w:rPr>
        <w:t>, i.e.</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r>
          <w:rPr>
            <w:rFonts w:ascii="Cambria Math" w:eastAsiaTheme="minorEastAsia" w:hAnsi="Cambria Math"/>
          </w:rPr>
          <m:t>=</m:t>
        </m:r>
        <m:nary>
          <m:naryPr>
            <m:chr m:val="∑"/>
            <m:supHide m:val="1"/>
            <m:ctrlPr>
              <w:rPr>
                <w:rFonts w:ascii="Cambria Math" w:eastAsiaTheme="minorEastAsia" w:hAnsi="Cambria Math"/>
                <w:i/>
              </w:rPr>
            </m:ctrlPr>
          </m:naryPr>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up/>
          <m:e>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e>
        </m:nary>
      </m:oMath>
      <w:r w:rsidRPr="00C7703B">
        <w:rPr>
          <w:rFonts w:eastAsiaTheme="minorEastAsia"/>
        </w:rPr>
        <w:t>.</w:t>
      </w:r>
      <w:r>
        <w:rPr>
          <w:rFonts w:eastAsiaTheme="minorEastAsia"/>
        </w:rPr>
        <w:t xml:space="preserve"> </w:t>
      </w:r>
      <w:r w:rsidRPr="00156FBF">
        <w:rPr>
          <w:rFonts w:eastAsiaTheme="minorEastAsia"/>
        </w:rPr>
        <w:t xml:space="preserve"> </w:t>
      </w:r>
      <w:r w:rsidRPr="00BB085B">
        <w:rPr>
          <w:rFonts w:eastAsiaTheme="minorEastAsia"/>
        </w:rPr>
        <w:t xml:space="preserve">For each successful transmission, we </w:t>
      </w:r>
      <w:r>
        <w:rPr>
          <w:rFonts w:eastAsiaTheme="minorEastAsia"/>
        </w:rPr>
        <w:t xml:space="preserve">further </w:t>
      </w:r>
      <w:r w:rsidRPr="00BB085B">
        <w:rPr>
          <w:rFonts w:eastAsiaTheme="minorEastAsia"/>
        </w:rPr>
        <w:t>assume</w:t>
      </w:r>
      <w:r>
        <w:rPr>
          <w:rFonts w:eastAsiaTheme="minorEastAsia"/>
        </w:rPr>
        <w:t>d that it</w:t>
      </w:r>
      <w:r w:rsidRPr="00BB085B">
        <w:rPr>
          <w:rFonts w:eastAsiaTheme="minorEastAsia"/>
        </w:rPr>
        <w:t xml:space="preserve"> takes</w:t>
      </w:r>
      <w:r>
        <w:rPr>
          <w:rFonts w:eastAsiaTheme="minorEastAsia"/>
        </w:rPr>
        <w:t xml:space="preserve"> </w:t>
      </w:r>
      <m:oMath>
        <m:r>
          <w:rPr>
            <w:rFonts w:ascii="Cambria Math" w:eastAsiaTheme="minorEastAsia" w:hAnsi="Cambria Math"/>
          </w:rPr>
          <m:t>τ</m:t>
        </m:r>
      </m:oMath>
      <w:r w:rsidRPr="00BB085B">
        <w:rPr>
          <w:rFonts w:eastAsiaTheme="minorEastAsia"/>
        </w:rPr>
        <w:t xml:space="preserve"> days</w:t>
      </w:r>
      <w:r>
        <w:rPr>
          <w:rFonts w:eastAsiaTheme="minorEastAsia"/>
        </w:rPr>
        <w:t xml:space="preserve"> for the first</w:t>
      </w:r>
      <w:r w:rsidRPr="00BB085B">
        <w:rPr>
          <w:rFonts w:eastAsiaTheme="minorEastAsia"/>
        </w:rPr>
        <w:t xml:space="preserve"> infected cell to produce virus.</w:t>
      </w:r>
      <w:r w:rsidRPr="003C7244">
        <w:rPr>
          <w:rFonts w:eastAsiaTheme="minorEastAsia"/>
        </w:rPr>
        <w:t xml:space="preserve"> </w:t>
      </w:r>
    </w:p>
    <w:p w14:paraId="2358D1DF" w14:textId="77777777" w:rsidR="00A94C0A" w:rsidRDefault="00A94C0A" w:rsidP="007B2E07">
      <w:pPr>
        <w:snapToGrid w:val="0"/>
        <w:spacing w:line="360" w:lineRule="auto"/>
        <w:ind w:firstLine="720"/>
        <w:jc w:val="both"/>
        <w:rPr>
          <w:rFonts w:eastAsiaTheme="minorEastAsia"/>
        </w:rPr>
      </w:pPr>
      <w:r>
        <w:rPr>
          <w:rFonts w:eastAsiaTheme="minorEastAsia"/>
        </w:rPr>
        <w:t>In simple steps, we followed the procedure below to estimate R</w:t>
      </w:r>
      <w:r>
        <w:rPr>
          <w:rFonts w:eastAsiaTheme="minorEastAsia"/>
          <w:vertAlign w:val="subscript"/>
        </w:rPr>
        <w:t>e</w:t>
      </w:r>
      <w:r>
        <w:rPr>
          <w:rFonts w:eastAsiaTheme="minorEastAsia"/>
        </w:rPr>
        <w:t>,</w:t>
      </w:r>
    </w:p>
    <w:p w14:paraId="21782C75" w14:textId="77777777" w:rsidR="00A94C0A" w:rsidRDefault="00A94C0A" w:rsidP="007B2E07">
      <w:pPr>
        <w:pStyle w:val="ListParagraph"/>
        <w:numPr>
          <w:ilvl w:val="0"/>
          <w:numId w:val="2"/>
        </w:numPr>
        <w:snapToGrid w:val="0"/>
        <w:spacing w:line="360" w:lineRule="auto"/>
        <w:contextualSpacing w:val="0"/>
        <w:jc w:val="both"/>
        <w:rPr>
          <w:color w:val="000000"/>
        </w:rPr>
      </w:pPr>
      <w:r>
        <w:rPr>
          <w:color w:val="000000"/>
        </w:rPr>
        <w:t xml:space="preserve">Simulate viral load </w:t>
      </w:r>
      <m:oMath>
        <m:r>
          <w:rPr>
            <w:rFonts w:ascii="Cambria Math" w:hAnsi="Cambria Math"/>
            <w:color w:val="000000"/>
          </w:rPr>
          <m:t>V</m:t>
        </m:r>
        <m:d>
          <m:dPr>
            <m:ctrlPr>
              <w:rPr>
                <w:rFonts w:ascii="Cambria Math" w:hAnsi="Cambria Math"/>
                <w:i/>
                <w:color w:val="000000"/>
              </w:rPr>
            </m:ctrlPr>
          </m:dPr>
          <m:e>
            <m:r>
              <w:rPr>
                <w:rFonts w:ascii="Cambria Math" w:hAnsi="Cambria Math"/>
                <w:color w:val="000000"/>
              </w:rPr>
              <m:t>t</m:t>
            </m:r>
          </m:e>
        </m:d>
      </m:oMath>
      <w:r>
        <w:rPr>
          <w:color w:val="000000"/>
        </w:rPr>
        <w:t xml:space="preserve"> of a simulated infected individual using </w:t>
      </w:r>
      <w:r>
        <w:rPr>
          <w:b/>
          <w:bCs/>
          <w:color w:val="000000"/>
        </w:rPr>
        <w:t>the within-host model.</w:t>
      </w:r>
      <w:r>
        <w:rPr>
          <w:color w:val="000000"/>
        </w:rPr>
        <w:t xml:space="preserve"> </w:t>
      </w:r>
    </w:p>
    <w:p w14:paraId="1A4E532E" w14:textId="77777777" w:rsidR="00A94C0A" w:rsidRPr="00D62C19" w:rsidRDefault="00A94C0A" w:rsidP="007B2E07">
      <w:pPr>
        <w:pStyle w:val="ListParagraph"/>
        <w:numPr>
          <w:ilvl w:val="0"/>
          <w:numId w:val="2"/>
        </w:numPr>
        <w:snapToGrid w:val="0"/>
        <w:spacing w:line="360" w:lineRule="auto"/>
        <w:contextualSpacing w:val="0"/>
        <w:jc w:val="both"/>
        <w:rPr>
          <w:color w:val="000000"/>
        </w:rPr>
      </w:pPr>
      <w:r>
        <w:rPr>
          <w:color w:val="000000"/>
        </w:rPr>
        <w:t xml:space="preserve">For a given </w:t>
      </w:r>
      <w:r w:rsidRPr="00D62C19">
        <w:rPr>
          <w:color w:val="000000"/>
        </w:rPr>
        <w:t>combination of (</w:t>
      </w:r>
      <m:oMath>
        <m:r>
          <w:rPr>
            <w:rFonts w:ascii="Cambria Math" w:hAnsi="Cambria Math"/>
            <w:color w:val="000000"/>
          </w:rPr>
          <m:t>λ, τ, α, θ,ρ</m:t>
        </m:r>
      </m:oMath>
      <w:r w:rsidRPr="00D62C19">
        <w:rPr>
          <w:color w:val="000000"/>
        </w:rPr>
        <w:t xml:space="preserve">) </w:t>
      </w:r>
    </w:p>
    <w:p w14:paraId="49D9DAE9" w14:textId="77777777" w:rsidR="00A94C0A" w:rsidRPr="00D62C19" w:rsidRDefault="00A94C0A" w:rsidP="007B2E07">
      <w:pPr>
        <w:pStyle w:val="ListParagraph"/>
        <w:numPr>
          <w:ilvl w:val="1"/>
          <w:numId w:val="2"/>
        </w:numPr>
        <w:snapToGrid w:val="0"/>
        <w:spacing w:line="360" w:lineRule="auto"/>
        <w:contextualSpacing w:val="0"/>
        <w:jc w:val="both"/>
        <w:rPr>
          <w:color w:val="000000"/>
        </w:rPr>
      </w:pPr>
      <w:r w:rsidRPr="00D62C19">
        <w:rPr>
          <w:color w:val="000000"/>
        </w:rPr>
        <w:t xml:space="preserve">For each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p>
    <w:p w14:paraId="45AFF642" w14:textId="77777777" w:rsidR="00A94C0A" w:rsidRPr="00D62C19" w:rsidRDefault="00A94C0A" w:rsidP="007B2E07">
      <w:pPr>
        <w:pStyle w:val="ListParagraph"/>
        <w:numPr>
          <w:ilvl w:val="2"/>
          <w:numId w:val="2"/>
        </w:numPr>
        <w:snapToGrid w:val="0"/>
        <w:spacing w:line="360" w:lineRule="auto"/>
        <w:contextualSpacing w:val="0"/>
        <w:jc w:val="both"/>
        <w:rPr>
          <w:color w:val="000000"/>
        </w:rPr>
      </w:pPr>
      <w:r w:rsidRPr="00D62C19">
        <w:rPr>
          <w:color w:val="000000"/>
        </w:rPr>
        <w:lastRenderedPageBreak/>
        <w:t xml:space="preserve">Compute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d>
          <m:dPr>
            <m:begChr m:val="["/>
            <m:endChr m:val="]"/>
            <m:ctrlPr>
              <w:rPr>
                <w:rFonts w:ascii="Cambria Math" w:eastAsiaTheme="minorEastAsia" w:hAnsi="Cambria Math"/>
                <w:i/>
              </w:rPr>
            </m:ctrlPr>
          </m:dPr>
          <m:e>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0A87251C" w14:textId="77777777" w:rsidR="00A94C0A" w:rsidRPr="00D62C19" w:rsidRDefault="00A94C0A" w:rsidP="007B2E07">
      <w:pPr>
        <w:pStyle w:val="ListParagraph"/>
        <w:numPr>
          <w:ilvl w:val="2"/>
          <w:numId w:val="2"/>
        </w:numPr>
        <w:snapToGrid w:val="0"/>
        <w:spacing w:line="360" w:lineRule="auto"/>
        <w:contextualSpacing w:val="0"/>
        <w:jc w:val="both"/>
        <w:rPr>
          <w:color w:val="000000"/>
        </w:rPr>
      </w:pPr>
      <w:r w:rsidRPr="00D62C19">
        <w:rPr>
          <w:color w:val="000000"/>
        </w:rPr>
        <w:t xml:space="preserve">Draw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eastAsiaTheme="minorEastAsia" w:hAnsi="Cambria Math"/>
          </w:rPr>
          <m:t>~Γ</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ρ</m:t>
                </m:r>
              </m:den>
            </m:f>
            <m:r>
              <w:rPr>
                <w:rFonts w:ascii="Cambria Math" w:eastAsiaTheme="minorEastAsia" w:hAnsi="Cambria Math"/>
              </w:rPr>
              <m:t>,ρ</m:t>
            </m:r>
          </m:e>
        </m:d>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p>
    <w:p w14:paraId="7DA7628F" w14:textId="77777777" w:rsidR="00A94C0A" w:rsidRPr="008B026D" w:rsidRDefault="00A94C0A" w:rsidP="007B2E07">
      <w:pPr>
        <w:pStyle w:val="ListParagraph"/>
        <w:numPr>
          <w:ilvl w:val="2"/>
          <w:numId w:val="2"/>
        </w:numPr>
        <w:snapToGrid w:val="0"/>
        <w:spacing w:line="360" w:lineRule="auto"/>
        <w:contextualSpacing w:val="0"/>
        <w:jc w:val="both"/>
        <w:rPr>
          <w:color w:val="000000"/>
          <w:lang w:val="es-ES"/>
        </w:rPr>
      </w:pPr>
      <w:proofErr w:type="spellStart"/>
      <w:r w:rsidRPr="00D62C19">
        <w:rPr>
          <w:color w:val="000000"/>
          <w:lang w:val="es-ES"/>
        </w:rPr>
        <w:t>Calculate</w:t>
      </w:r>
      <w:proofErr w:type="spellEnd"/>
      <w:r w:rsidRPr="00D62C19">
        <w:rPr>
          <w:color w:val="000000"/>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t</m:t>
                </m:r>
              </m:sub>
            </m:sSub>
          </m:e>
        </m:d>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oMath>
    </w:p>
    <w:p w14:paraId="197CFB6B" w14:textId="77777777" w:rsidR="00A94C0A" w:rsidRPr="003C0999" w:rsidRDefault="00A94C0A" w:rsidP="007B2E07">
      <w:pPr>
        <w:pStyle w:val="ListParagraph"/>
        <w:numPr>
          <w:ilvl w:val="1"/>
          <w:numId w:val="2"/>
        </w:numPr>
        <w:snapToGrid w:val="0"/>
        <w:spacing w:line="360" w:lineRule="auto"/>
        <w:contextualSpacing w:val="0"/>
        <w:jc w:val="both"/>
        <w:rPr>
          <w:color w:val="000000"/>
          <w:lang w:val="es-ES"/>
        </w:rPr>
      </w:pPr>
      <w:proofErr w:type="spellStart"/>
      <w:r w:rsidRPr="003C0999">
        <w:rPr>
          <w:color w:val="000000"/>
          <w:lang w:val="es-ES"/>
        </w:rPr>
        <w:t>Calculate</w:t>
      </w:r>
      <w:proofErr w:type="spellEnd"/>
      <w:r w:rsidRPr="003C0999">
        <w:rPr>
          <w:color w:val="000000"/>
          <w:lang w:val="es-ES"/>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lang w:val="es-ES"/>
              </w:rPr>
              <m:t>e</m:t>
            </m:r>
          </m:sub>
        </m:sSub>
        <m:r>
          <w:rPr>
            <w:rFonts w:ascii="Cambria Math" w:eastAsiaTheme="minorEastAsia" w:hAnsi="Cambria Math"/>
            <w:lang w:val="es-ES"/>
          </w:rPr>
          <m:t>=</m:t>
        </m:r>
        <m:nary>
          <m:naryPr>
            <m:chr m:val="∑"/>
            <m:supHide m:val="1"/>
            <m:ctrlPr>
              <w:rPr>
                <w:rFonts w:ascii="Cambria Math" w:eastAsiaTheme="minorEastAsia" w:hAnsi="Cambria Math"/>
                <w:i/>
              </w:rPr>
            </m:ctrlPr>
          </m:naryPr>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up/>
          <m:e>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e>
        </m:nary>
      </m:oMath>
    </w:p>
    <w:p w14:paraId="6AC5E7E6" w14:textId="77777777" w:rsidR="00A94C0A" w:rsidRPr="002A5E72" w:rsidRDefault="00A94C0A" w:rsidP="007B2E07">
      <w:pPr>
        <w:pStyle w:val="ListParagraph"/>
        <w:numPr>
          <w:ilvl w:val="0"/>
          <w:numId w:val="2"/>
        </w:numPr>
        <w:snapToGrid w:val="0"/>
        <w:spacing w:line="360" w:lineRule="auto"/>
        <w:contextualSpacing w:val="0"/>
        <w:jc w:val="both"/>
        <w:rPr>
          <w:rFonts w:eastAsiaTheme="minorEastAsia"/>
        </w:rPr>
      </w:pPr>
      <w:r>
        <w:rPr>
          <w:color w:val="000000"/>
        </w:rPr>
        <w:t xml:space="preserve">Repeat Steps 1 and 2 to estimate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m:t>
            </m:r>
          </m:sub>
        </m:sSub>
      </m:oMath>
      <w:r>
        <w:rPr>
          <w:color w:val="000000"/>
        </w:rPr>
        <w:t xml:space="preserve"> for 3,000 infected individuals. The population level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oMath>
      <w:r>
        <w:rPr>
          <w:color w:val="000000"/>
        </w:rPr>
        <w:t xml:space="preserve"> can then be calculating by taking the mean of 3,000 individual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e</m:t>
            </m:r>
          </m:sub>
        </m:sSub>
      </m:oMath>
      <w:r>
        <w:rPr>
          <w:color w:val="000000"/>
        </w:rPr>
        <w:t xml:space="preserve"> values.</w:t>
      </w:r>
    </w:p>
    <w:p w14:paraId="455E4CF4" w14:textId="77777777" w:rsidR="00A94C0A" w:rsidRPr="009B44EF" w:rsidRDefault="00A94C0A" w:rsidP="007B2E07">
      <w:pPr>
        <w:spacing w:line="360" w:lineRule="auto"/>
        <w:jc w:val="both"/>
        <w:rPr>
          <w:rFonts w:eastAsiaTheme="minorEastAsia"/>
        </w:rPr>
      </w:pPr>
    </w:p>
    <w:p w14:paraId="4DBB03C8" w14:textId="7B694524" w:rsidR="00A94C0A" w:rsidRDefault="00A94C0A" w:rsidP="007B2E07">
      <w:pPr>
        <w:spacing w:line="360" w:lineRule="auto"/>
        <w:jc w:val="both"/>
        <w:rPr>
          <w:rFonts w:eastAsiaTheme="minorEastAsia"/>
        </w:rPr>
      </w:pPr>
      <w:r w:rsidRPr="001A303B">
        <w:rPr>
          <w:rFonts w:eastAsiaTheme="minorEastAsia"/>
          <w:b/>
          <w:i/>
        </w:rPr>
        <w:t xml:space="preserve">Parameter </w:t>
      </w:r>
      <w:r>
        <w:rPr>
          <w:rFonts w:eastAsiaTheme="minorEastAsia"/>
          <w:b/>
          <w:i/>
        </w:rPr>
        <w:t>values for the transmission model.</w:t>
      </w:r>
      <w:r w:rsidRPr="001A303B">
        <w:rPr>
          <w:rFonts w:eastAsiaTheme="minorEastAsia"/>
          <w:b/>
          <w:i/>
        </w:rPr>
        <w:t xml:space="preserve"> </w:t>
      </w:r>
      <w:r>
        <w:rPr>
          <w:rFonts w:eastAsiaTheme="minorEastAsia"/>
        </w:rPr>
        <w:t xml:space="preserve">For simulations, we used the </w:t>
      </w:r>
      <w:r w:rsidRPr="00C3345A">
        <w:rPr>
          <w:rFonts w:eastAsiaTheme="minorEastAsia"/>
        </w:rPr>
        <w:t>parameter set</w:t>
      </w:r>
      <w:r>
        <w:rPr>
          <w:rFonts w:eastAsiaTheme="minorEastAsia"/>
        </w:rPr>
        <w:t xml:space="preserve"> [</w:t>
      </w:r>
      <m:oMath>
        <m:r>
          <w:rPr>
            <w:rFonts w:ascii="Cambria Math" w:eastAsiaTheme="minorEastAsia" w:hAnsi="Cambria Math"/>
          </w:rPr>
          <m:t>α</m:t>
        </m:r>
      </m:oMath>
      <w:r>
        <w:rPr>
          <w:rFonts w:eastAsiaTheme="minorEastAsia"/>
        </w:rPr>
        <w:t xml:space="preserve">, </w:t>
      </w:r>
      <m:oMath>
        <m:r>
          <w:rPr>
            <w:rFonts w:ascii="Cambria Math" w:eastAsiaTheme="minorEastAsia" w:hAnsi="Cambria Math"/>
          </w:rPr>
          <m:t>λ</m:t>
        </m:r>
      </m:oMath>
      <w:r>
        <w:rPr>
          <w:rFonts w:eastAsiaTheme="minorEastAsia"/>
        </w:rPr>
        <w:t xml:space="preserve">, </w:t>
      </w:r>
      <m:oMath>
        <m:r>
          <w:rPr>
            <w:rFonts w:ascii="Cambria Math" w:eastAsiaTheme="minorEastAsia" w:hAnsi="Cambria Math"/>
          </w:rPr>
          <m:t>τ</m:t>
        </m:r>
      </m:oMath>
      <w:r>
        <w:rPr>
          <w:rFonts w:eastAsiaTheme="minorEastAsia"/>
        </w:rPr>
        <w:t xml:space="preserve">, </w:t>
      </w:r>
      <m:oMath>
        <m:r>
          <w:rPr>
            <w:rFonts w:ascii="Cambria Math" w:eastAsiaTheme="minorEastAsia" w:hAnsi="Cambria Math"/>
          </w:rPr>
          <m:t>θ</m:t>
        </m:r>
      </m:oMath>
      <w:r>
        <w:rPr>
          <w:rFonts w:eastAsiaTheme="minorEastAsia"/>
        </w:rPr>
        <w:t xml:space="preserve">, </w:t>
      </w:r>
      <m:oMath>
        <m:r>
          <w:rPr>
            <w:rFonts w:ascii="Cambria Math" w:eastAsiaTheme="minorEastAsia" w:hAnsi="Cambria Math"/>
          </w:rPr>
          <m:t>ρ</m:t>
        </m:r>
      </m:oMath>
      <w:r w:rsidRPr="00C3345A">
        <w:rPr>
          <w:rFonts w:eastAsiaTheme="minorEastAsia"/>
        </w:rPr>
        <w:t>] = [0.8, 10</w:t>
      </w:r>
      <w:r w:rsidRPr="0029717B">
        <w:rPr>
          <w:rFonts w:eastAsiaTheme="minorEastAsia"/>
          <w:vertAlign w:val="superscript"/>
        </w:rPr>
        <w:t>7</w:t>
      </w:r>
      <w:r w:rsidRPr="00C3345A">
        <w:rPr>
          <w:rFonts w:eastAsiaTheme="minorEastAsia"/>
        </w:rPr>
        <w:t xml:space="preserve">, 0.5, 4, 40]) </w:t>
      </w:r>
      <w:r>
        <w:rPr>
          <w:rFonts w:eastAsiaTheme="minorEastAsia"/>
        </w:rPr>
        <w:t xml:space="preserve">as they </w:t>
      </w:r>
      <w:r w:rsidRPr="00C3345A">
        <w:rPr>
          <w:rFonts w:eastAsiaTheme="minorEastAsia"/>
        </w:rPr>
        <w:t xml:space="preserve">most closely reproduces empirically observed individual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oMath>
      <w:r w:rsidRPr="00C3345A">
        <w:rPr>
          <w:rFonts w:eastAsiaTheme="minorEastAsia"/>
        </w:rPr>
        <w:t xml:space="preserve"> and serial interval histograms</w:t>
      </w:r>
      <w:r>
        <w:rPr>
          <w:rFonts w:eastAsiaTheme="minorEastAsia"/>
        </w:rPr>
        <w:t xml:space="preserve"> as well as </w:t>
      </w:r>
      <w:r w:rsidRPr="00491341">
        <w:rPr>
          <w:rFonts w:eastAsiaTheme="minorEastAsia"/>
        </w:rPr>
        <w:t xml:space="preserve">mean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oMath>
      <w:r w:rsidRPr="00491341">
        <w:rPr>
          <w:rFonts w:eastAsiaTheme="minorEastAsia"/>
        </w:rPr>
        <w:t xml:space="preserve"> across individuals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r>
          <w:rPr>
            <w:rFonts w:ascii="Cambria Math" w:eastAsiaTheme="minorEastAsia" w:hAnsi="Cambria Math"/>
          </w:rPr>
          <m:t>∈[1.4, 2.5]</m:t>
        </m:r>
      </m:oMath>
      <w:r>
        <w:rPr>
          <w:rFonts w:eastAsiaTheme="minorEastAsia"/>
        </w:rPr>
        <w:t>) and</w:t>
      </w:r>
      <w:r w:rsidRPr="00491341">
        <w:rPr>
          <w:rFonts w:eastAsiaTheme="minorEastAsia"/>
        </w:rPr>
        <w:t xml:space="preserve"> mean serial interval across individuals (SI </w:t>
      </w:r>
      <m:oMath>
        <m:r>
          <w:rPr>
            <w:rFonts w:ascii="Cambria Math" w:eastAsiaTheme="minorEastAsia" w:hAnsi="Cambria Math"/>
          </w:rPr>
          <m:t>∈[4.0, 4.5]</m:t>
        </m:r>
      </m:oMath>
      <w:r w:rsidRPr="00491341">
        <w:rPr>
          <w:rFonts w:eastAsiaTheme="minorEastAsia"/>
        </w:rPr>
        <w:t>) early during the pandemic</w:t>
      </w:r>
      <w:r>
        <w:rPr>
          <w:rFonts w:eastAsiaTheme="minorEastAsia"/>
        </w:rPr>
        <w:t xml:space="preserve"> </w:t>
      </w:r>
      <w:r>
        <w:rPr>
          <w:rFonts w:eastAsiaTheme="minorEastAsia"/>
        </w:rPr>
        <w:fldChar w:fldCharType="begin">
          <w:fldData xml:space="preserve">PEVuZE5vdGU+PENpdGU+PEF1dGhvcj5CaTwvQXV0aG9yPjxZZWFyPjIwMjA8L1llYXI+PElEVGV4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</w:fldData>
        </w:fldChar>
      </w:r>
      <w:r w:rsidR="00B240B5">
        <w:rPr>
          <w:rFonts w:eastAsiaTheme="minorEastAsia"/>
        </w:rPr>
        <w:instrText xml:space="preserve"> ADDIN EN.CITE </w:instrText>
      </w:r>
      <w:r w:rsidR="00B240B5">
        <w:rPr>
          <w:rFonts w:eastAsiaTheme="minorEastAsia"/>
        </w:rPr>
        <w:fldChar w:fldCharType="begin">
          <w:fldData xml:space="preserve">PEVuZE5vdGU+PENpdGU+PEF1dGhvcj5CaTwvQXV0aG9yPjxZZWFyPjIwMjA8L1llYXI+PElEVGV4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</w:fldData>
        </w:fldChar>
      </w:r>
      <w:r w:rsidR="00B240B5">
        <w:rPr>
          <w:rFonts w:eastAsiaTheme="minorEastAsia"/>
        </w:rPr>
        <w:instrText xml:space="preserve"> ADDIN EN.CITE.DATA </w:instrText>
      </w:r>
      <w:r w:rsidR="00B240B5">
        <w:rPr>
          <w:rFonts w:eastAsiaTheme="minorEastAsia"/>
        </w:rPr>
      </w:r>
      <w:r w:rsidR="00B240B5">
        <w:rPr>
          <w:rFonts w:eastAsiaTheme="minorEastAsia"/>
        </w:rPr>
        <w:fldChar w:fldCharType="end"/>
      </w:r>
      <w:r>
        <w:rPr>
          <w:rFonts w:eastAsiaTheme="minorEastAsia"/>
        </w:rPr>
      </w:r>
      <w:r>
        <w:rPr>
          <w:rFonts w:eastAsiaTheme="minorEastAsia"/>
        </w:rPr>
        <w:fldChar w:fldCharType="separate"/>
      </w:r>
      <w:r w:rsidR="00B240B5">
        <w:rPr>
          <w:rFonts w:eastAsiaTheme="minorEastAsia"/>
          <w:noProof/>
        </w:rPr>
        <w:t>(Adam et al., 2020; Bi et al., 2020; Du et al., 2020; Endo et al., 2020; Zhang et al., 2020)</w:t>
      </w:r>
      <w:r>
        <w:rPr>
          <w:rFonts w:eastAsiaTheme="minorEastAsia"/>
        </w:rPr>
        <w:fldChar w:fldCharType="end"/>
      </w:r>
      <w:r w:rsidRPr="00491341">
        <w:rPr>
          <w:rFonts w:eastAsiaTheme="minorEastAsia"/>
        </w:rPr>
        <w:t>.</w:t>
      </w:r>
      <w:r>
        <w:rPr>
          <w:rFonts w:eastAsiaTheme="minorEastAsia"/>
        </w:rPr>
        <w:t xml:space="preserve"> </w:t>
      </w:r>
    </w:p>
    <w:p w14:paraId="1A8CF304" w14:textId="77777777" w:rsidR="00A94C0A" w:rsidRDefault="00A94C0A" w:rsidP="007B2E07">
      <w:pPr>
        <w:spacing w:line="360" w:lineRule="auto"/>
        <w:jc w:val="both"/>
        <w:rPr>
          <w:rFonts w:eastAsiaTheme="minorEastAsia"/>
        </w:rPr>
      </w:pPr>
    </w:p>
    <w:p w14:paraId="2C538E63" w14:textId="77777777" w:rsidR="00A94C0A" w:rsidRDefault="00A94C0A" w:rsidP="007B2E07">
      <w:pPr>
        <w:snapToGrid w:val="0"/>
        <w:spacing w:line="360" w:lineRule="auto"/>
        <w:jc w:val="both"/>
        <w:rPr>
          <w:rFonts w:eastAsiaTheme="minorEastAsia"/>
        </w:rPr>
      </w:pPr>
      <w:r>
        <w:rPr>
          <w:rFonts w:eastAsiaTheme="minorEastAsia"/>
          <w:b/>
          <w:i/>
        </w:rPr>
        <w:t>Modeling mask use.</w:t>
      </w:r>
      <w:r w:rsidRPr="001A303B">
        <w:rPr>
          <w:rFonts w:eastAsiaTheme="minorEastAsia"/>
          <w:b/>
          <w:i/>
        </w:rPr>
        <w:t xml:space="preserve"> </w:t>
      </w:r>
      <w:r>
        <w:rPr>
          <w:rFonts w:eastAsiaTheme="minorEastAsia"/>
        </w:rPr>
        <w:t>To evaluate the impact of the use of mask on epidemics, we</w:t>
      </w:r>
      <w:r w:rsidRPr="00E241F4">
        <w:rPr>
          <w:rFonts w:eastAsiaTheme="minorEastAsia"/>
        </w:rPr>
        <w:t xml:space="preserve"> </w:t>
      </w:r>
      <w:r>
        <w:rPr>
          <w:rFonts w:eastAsiaTheme="minorEastAsia"/>
        </w:rPr>
        <w:t xml:space="preserve">first </w:t>
      </w:r>
      <w:r w:rsidRPr="00E241F4">
        <w:rPr>
          <w:rFonts w:eastAsiaTheme="minorEastAsia"/>
        </w:rPr>
        <w:t>assum</w:t>
      </w:r>
      <w:r>
        <w:rPr>
          <w:rFonts w:eastAsiaTheme="minorEastAsia"/>
        </w:rPr>
        <w:t>ed</w:t>
      </w:r>
      <w:r w:rsidRPr="00E241F4">
        <w:rPr>
          <w:rFonts w:eastAsiaTheme="minorEastAsia"/>
        </w:rPr>
        <w:t xml:space="preserve"> that a mask decreases the exposure viral load by a </w:t>
      </w:r>
      <w:r>
        <w:rPr>
          <w:rFonts w:eastAsiaTheme="minorEastAsia"/>
        </w:rPr>
        <w:t xml:space="preserve">fraction </w:t>
      </w:r>
      <m:oMath>
        <m:r>
          <w:rPr>
            <w:rFonts w:ascii="Cambria Math" w:eastAsiaTheme="minorEastAsia" w:hAnsi="Cambria Math"/>
          </w:rPr>
          <m:t>(1-ϵ)</m:t>
        </m:r>
      </m:oMath>
      <w:r>
        <w:rPr>
          <w:rFonts w:eastAsiaTheme="minorEastAsia"/>
        </w:rPr>
        <w:t xml:space="preserve">, being </w:t>
      </w:r>
      <m:oMath>
        <m:r>
          <w:rPr>
            <w:rFonts w:ascii="Cambria Math" w:eastAsiaTheme="minorEastAsia" w:hAnsi="Cambria Math"/>
          </w:rPr>
          <m:t>ϵ</m:t>
        </m:r>
      </m:oMath>
      <w:r w:rsidRPr="00E241F4">
        <w:rPr>
          <w:rFonts w:eastAsiaTheme="minorEastAsia"/>
        </w:rPr>
        <w:t xml:space="preserve"> the mask efficacy</w:t>
      </w:r>
      <w:r>
        <w:rPr>
          <w:rFonts w:eastAsiaTheme="minorEastAsia"/>
        </w:rPr>
        <w:t xml:space="preserve"> or</w:t>
      </w:r>
      <w:r w:rsidRPr="00E241F4">
        <w:rPr>
          <w:rFonts w:eastAsiaTheme="minorEastAsia"/>
        </w:rPr>
        <w:t xml:space="preserve"> the proportion of viruses filtered by the mask</w:t>
      </w:r>
      <w:r>
        <w:rPr>
          <w:rFonts w:eastAsiaTheme="minorEastAsia"/>
        </w:rPr>
        <w:t xml:space="preserve"> of transmitter or exposed individuals</w:t>
      </w:r>
      <w:r w:rsidRPr="00E241F4">
        <w:rPr>
          <w:rFonts w:eastAsiaTheme="minorEastAsia"/>
        </w:rPr>
        <w:t xml:space="preserve">. If the transmitter is wearing mask with efficacy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m:t>
            </m:r>
          </m:sub>
        </m:sSub>
      </m:oMath>
      <w:r w:rsidRPr="00E241F4">
        <w:rPr>
          <w:rFonts w:eastAsiaTheme="minorEastAsia"/>
        </w:rPr>
        <w:t xml:space="preserve"> and the exposed person is wearing a mask with efficacy</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E</m:t>
            </m:r>
          </m:sub>
        </m:sSub>
      </m:oMath>
      <w:r w:rsidRPr="00E241F4">
        <w:rPr>
          <w:rFonts w:eastAsiaTheme="minorEastAsia"/>
        </w:rPr>
        <w:t>, then the</w:t>
      </w:r>
      <w:r>
        <w:rPr>
          <w:rFonts w:eastAsiaTheme="minorEastAsia"/>
        </w:rPr>
        <w:t xml:space="preserve"> combined mask efficacy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C</m:t>
            </m:r>
          </m:sub>
        </m:sSub>
        <m:r>
          <m:rPr>
            <m:sty m:val="p"/>
          </m:rPr>
          <w:rPr>
            <w:rFonts w:ascii="Cambria Math" w:eastAsiaTheme="minorEastAsia" w:hAnsi="Cambria Math"/>
          </w:rPr>
          <m:t>,  is given by</m:t>
        </m:r>
      </m:oMath>
      <w:r>
        <w:rPr>
          <w:rFonts w:eastAsiaTheme="minorEastAsia"/>
        </w:rPr>
        <w:t xml:space="preserve"> </w:t>
      </w:r>
      <m:oMath>
        <m:r>
          <w:rPr>
            <w:rFonts w:ascii="Cambria Math" w:eastAsiaTheme="minorEastAsia" w:hAnsi="Cambria Math"/>
          </w:rPr>
          <m:t>1-(1-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m:t>
            </m:r>
          </m:sub>
        </m:sSub>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E</m:t>
            </m:r>
          </m:sub>
        </m:sSub>
        <m:r>
          <w:rPr>
            <w:rFonts w:ascii="Cambria Math" w:eastAsiaTheme="minorEastAsia" w:hAnsi="Cambria Math"/>
          </w:rPr>
          <m:t>)</m:t>
        </m:r>
      </m:oMath>
      <w:r>
        <w:rPr>
          <w:rFonts w:eastAsiaTheme="minorEastAsia"/>
        </w:rPr>
        <w:t>. Infectiousness or contagiousness reduction by the use of mask can be computed as:</w:t>
      </w:r>
    </w:p>
    <w:p w14:paraId="1C8A2CB5" w14:textId="77777777" w:rsidR="00A94C0A" w:rsidRPr="009A15D7" w:rsidRDefault="00A94C0A" w:rsidP="007B2E07">
      <w:pPr>
        <w:snapToGrid w:val="0"/>
        <w:spacing w:line="360" w:lineRule="auto"/>
        <w:jc w:val="both"/>
        <w:rPr>
          <w:rFonts w:eastAsiaTheme="minorEastAsia"/>
        </w:rPr>
      </w:pPr>
      <m:oMath>
        <m:r>
          <w:rPr>
            <w:rFonts w:ascii="Cambria Math" w:hAnsi="Cambria Math"/>
          </w:rPr>
          <m:t>ξ=1-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(ϵ &gt; 0)</m:t>
            </m:r>
          </m:num>
          <m:den>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(ϵ=0)</m:t>
            </m:r>
          </m:den>
        </m:f>
        <m:r>
          <w:rPr>
            <w:rFonts w:ascii="Cambria Math" w:hAnsi="Cambria Math"/>
          </w:rPr>
          <m:t>=</m:t>
        </m:r>
        <m:f>
          <m:fPr>
            <m:ctrlPr>
              <w:rPr>
                <w:rFonts w:ascii="Cambria Math" w:hAnsi="Cambria Math"/>
                <w:i/>
              </w:rPr>
            </m:ctrlPr>
          </m:fPr>
          <m:num>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T</m:t>
                        </m:r>
                      </m:sub>
                    </m:sSub>
                  </m:e>
                </m:d>
              </m:e>
              <m:sup>
                <m:r>
                  <w:rPr>
                    <w:rFonts w:ascii="Cambria Math" w:hAnsi="Cambria Math"/>
                  </w:rPr>
                  <m:t>α</m:t>
                </m:r>
              </m:sup>
            </m:s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E</m:t>
                        </m:r>
                      </m:sub>
                    </m:sSub>
                  </m:e>
                </m:d>
              </m:e>
              <m:sup>
                <m:r>
                  <w:rPr>
                    <w:rFonts w:ascii="Cambria Math" w:hAnsi="Cambria Math"/>
                  </w:rPr>
                  <m:t>α</m:t>
                </m:r>
              </m:sup>
            </m:sSup>
          </m:num>
          <m:den>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T</m:t>
                        </m:r>
                      </m:sub>
                    </m:sSub>
                  </m:e>
                </m:d>
              </m:e>
              <m:sup>
                <m:r>
                  <w:rPr>
                    <w:rFonts w:ascii="Cambria Math" w:hAnsi="Cambria Math"/>
                  </w:rPr>
                  <m:t>α</m:t>
                </m:r>
              </m:sup>
            </m:s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E</m:t>
                        </m:r>
                      </m:sub>
                    </m:sSub>
                  </m:e>
                </m:d>
              </m:e>
              <m:sup>
                <m:r>
                  <w:rPr>
                    <w:rFonts w:ascii="Cambria Math" w:hAnsi="Cambria Math"/>
                  </w:rPr>
                  <m:t>α</m:t>
                </m:r>
              </m:sup>
            </m:sSup>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t</m:t>
                    </m:r>
                  </m:sub>
                  <m:sup>
                    <m:r>
                      <w:rPr>
                        <w:rFonts w:ascii="Cambria Math" w:hAnsi="Cambria Math"/>
                      </w:rPr>
                      <m:t>α</m:t>
                    </m:r>
                  </m:sup>
                </m:sSubSup>
              </m:num>
              <m:den>
                <m:sSup>
                  <m:sSupPr>
                    <m:ctrlPr>
                      <w:rPr>
                        <w:rFonts w:ascii="Cambria Math" w:hAnsi="Cambria Math"/>
                        <w:i/>
                      </w:rPr>
                    </m:ctrlPr>
                  </m:sSupPr>
                  <m:e>
                    <m:r>
                      <w:rPr>
                        <w:rFonts w:ascii="Cambria Math" w:hAnsi="Cambria Math"/>
                      </w:rPr>
                      <m:t>λ</m:t>
                    </m:r>
                  </m:e>
                  <m:sup>
                    <m:r>
                      <w:rPr>
                        <w:rFonts w:ascii="Cambria Math" w:hAnsi="Cambria Math"/>
                      </w:rPr>
                      <m:t>α</m:t>
                    </m:r>
                  </m:sup>
                </m:sSup>
              </m:den>
            </m:f>
          </m:den>
        </m:f>
      </m:oMath>
      <w:r>
        <w:rPr>
          <w:rFonts w:eastAsiaTheme="minorEastAsia"/>
        </w:rPr>
        <w:tab/>
      </w:r>
      <w:r>
        <w:rPr>
          <w:rFonts w:eastAsiaTheme="minorEastAsia"/>
        </w:rPr>
        <w:tab/>
      </w:r>
      <w:r w:rsidRPr="002601C4">
        <w:rPr>
          <w:rFonts w:eastAsiaTheme="minorEastAsia"/>
          <w:b/>
          <w:bCs/>
        </w:rPr>
        <w:t>(2)</w:t>
      </w:r>
    </w:p>
    <w:p w14:paraId="7BE1CCD4" w14:textId="77777777" w:rsidR="00A94C0A" w:rsidRDefault="00A94C0A" w:rsidP="007B2E07">
      <w:pPr>
        <w:snapToGrid w:val="0"/>
        <w:spacing w:line="360" w:lineRule="auto"/>
        <w:ind w:firstLine="720"/>
        <w:jc w:val="both"/>
        <w:rPr>
          <w:rFonts w:eastAsiaTheme="minorEastAsia"/>
        </w:rPr>
      </w:pPr>
      <w:r>
        <w:rPr>
          <w:rFonts w:eastAsiaTheme="minorEastAsia"/>
        </w:rPr>
        <w:t>Similarly, the transmission risk reduction using mask can be computed as:</w:t>
      </w:r>
    </w:p>
    <w:p w14:paraId="207BE03F" w14:textId="77777777" w:rsidR="00A94C0A" w:rsidRDefault="006329B8" w:rsidP="007B2E07">
      <w:pPr>
        <w:snapToGrid w:val="0"/>
        <w:spacing w:line="360" w:lineRule="auto"/>
        <w:ind w:firstLine="720"/>
        <w:jc w:val="both"/>
        <w:rPr>
          <w:rFonts w:eastAsiaTheme="minorEastAsia"/>
        </w:rPr>
      </w:pPr>
      <m:oMath>
        <m:sSup>
          <m:sSupPr>
            <m:ctrlPr>
              <w:rPr>
                <w:rFonts w:ascii="Cambria Math" w:hAnsi="Cambria Math"/>
                <w:i/>
              </w:rPr>
            </m:ctrlPr>
          </m:sSupPr>
          <m:e>
            <m:r>
              <w:rPr>
                <w:rFonts w:ascii="Cambria Math" w:hAnsi="Cambria Math"/>
              </w:rPr>
              <m:t>ξ</m:t>
            </m:r>
          </m:e>
          <m:sup>
            <m:r>
              <w:rPr>
                <w:rFonts w:ascii="Cambria Math" w:hAnsi="Cambria Math"/>
              </w:rPr>
              <m:t>'</m:t>
            </m:r>
          </m:sup>
        </m:sSup>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(ϵ&gt;0)</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(ϵ&gt;0)</m:t>
            </m:r>
          </m:num>
          <m:den>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(ϵ=0)</m:t>
            </m:r>
            <m:sSub>
              <m:sSubPr>
                <m:ctrlPr>
                  <w:rPr>
                    <w:rFonts w:ascii="Cambria Math" w:hAnsi="Cambria Math"/>
                    <w:i/>
                  </w:rPr>
                </m:ctrlPr>
              </m:sSubPr>
              <m:e>
                <m:r>
                  <w:rPr>
                    <w:rFonts w:ascii="Cambria Math" w:hAnsi="Cambria Math"/>
                  </w:rPr>
                  <m:t>P</m:t>
                </m:r>
              </m:e>
              <m:sub>
                <m:r>
                  <w:rPr>
                    <w:rFonts w:ascii="Cambria Math" w:hAnsi="Cambria Math"/>
                  </w:rPr>
                  <m:t>t</m:t>
                </m:r>
              </m:sub>
            </m:sSub>
            <m:r>
              <w:rPr>
                <w:rFonts w:ascii="Cambria Math" w:hAnsi="Cambria Math"/>
              </w:rPr>
              <m:t>(ϵ=0)</m:t>
            </m:r>
          </m:den>
        </m:f>
        <m:r>
          <w:rPr>
            <w:rFonts w:ascii="Cambria Math" w:hAnsi="Cambria Math"/>
          </w:rPr>
          <m:t>=</m:t>
        </m:r>
        <m:sSup>
          <m:sSupPr>
            <m:ctrlPr>
              <w:rPr>
                <w:rFonts w:ascii="Cambria Math" w:hAnsi="Cambria Math"/>
                <w:i/>
              </w:rPr>
            </m:ctrlPr>
          </m:sSupPr>
          <m:e>
            <m:r>
              <w:rPr>
                <w:rFonts w:ascii="Cambria Math" w:hAnsi="Cambria Math"/>
              </w:rPr>
              <m:t>ξ</m:t>
            </m:r>
          </m:e>
          <m:sup>
            <m:r>
              <w:rPr>
                <w:rFonts w:ascii="Cambria Math" w:hAnsi="Cambria Math"/>
              </w:rPr>
              <m:t>2</m:t>
            </m:r>
          </m:sup>
        </m:sSup>
        <m:r>
          <w:rPr>
            <w:rFonts w:ascii="Cambria Math" w:hAnsi="Cambria Math"/>
          </w:rPr>
          <m:t>+2ξ</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T</m:t>
                        </m:r>
                      </m:sub>
                    </m:sSub>
                  </m:e>
                </m:d>
              </m:e>
              <m:sup>
                <m:r>
                  <w:rPr>
                    <w:rFonts w:ascii="Cambria Math" w:hAnsi="Cambria Math"/>
                  </w:rPr>
                  <m:t>α</m:t>
                </m:r>
              </m:sup>
            </m:s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E</m:t>
                        </m:r>
                      </m:sub>
                    </m:sSub>
                  </m:e>
                </m:d>
              </m:e>
              <m:sup>
                <m:r>
                  <w:rPr>
                    <w:rFonts w:ascii="Cambria Math" w:hAnsi="Cambria Math"/>
                  </w:rPr>
                  <m:t>α</m:t>
                </m:r>
              </m:sup>
            </m:sSup>
            <m:d>
              <m:dPr>
                <m:ctrlPr>
                  <w:rPr>
                    <w:rFonts w:ascii="Cambria Math" w:hAnsi="Cambria Math"/>
                    <w:i/>
                  </w:rPr>
                </m:ctrlPr>
              </m:dPr>
              <m:e>
                <m:sSubSup>
                  <m:sSubSupPr>
                    <m:ctrlPr>
                      <w:rPr>
                        <w:rFonts w:ascii="Cambria Math" w:hAnsi="Cambria Math"/>
                        <w:i/>
                      </w:rPr>
                    </m:ctrlPr>
                  </m:sSubSupPr>
                  <m:e>
                    <m:r>
                      <w:rPr>
                        <w:rFonts w:ascii="Cambria Math" w:hAnsi="Cambria Math"/>
                      </w:rPr>
                      <m:t>V</m:t>
                    </m:r>
                  </m:e>
                  <m:sub>
                    <m:r>
                      <w:rPr>
                        <w:rFonts w:ascii="Cambria Math" w:hAnsi="Cambria Math"/>
                      </w:rPr>
                      <m:t>t</m:t>
                    </m:r>
                  </m:sub>
                  <m:sup>
                    <m:r>
                      <w:rPr>
                        <w:rFonts w:ascii="Cambria Math" w:hAnsi="Cambria Math"/>
                      </w:rPr>
                      <m:t>α</m:t>
                    </m:r>
                  </m:sup>
                </m:sSubSup>
                <m:r>
                  <w:rPr>
                    <w:rFonts w:ascii="Cambria Math" w:hAnsi="Cambria Math"/>
                  </w:rPr>
                  <m:t>+</m:t>
                </m:r>
                <m:sSup>
                  <m:sSupPr>
                    <m:ctrlPr>
                      <w:rPr>
                        <w:rFonts w:ascii="Cambria Math" w:hAnsi="Cambria Math"/>
                        <w:i/>
                      </w:rPr>
                    </m:ctrlPr>
                  </m:sSupPr>
                  <m:e>
                    <m:r>
                      <w:rPr>
                        <w:rFonts w:ascii="Cambria Math" w:hAnsi="Cambria Math"/>
                      </w:rPr>
                      <m:t>λ</m:t>
                    </m:r>
                  </m:e>
                  <m:sup>
                    <m:r>
                      <w:rPr>
                        <w:rFonts w:ascii="Cambria Math" w:hAnsi="Cambria Math"/>
                      </w:rPr>
                      <m:t>α</m:t>
                    </m:r>
                  </m:sup>
                </m:sSup>
              </m:e>
            </m:d>
          </m:num>
          <m:den>
            <m:sSubSup>
              <m:sSubSupPr>
                <m:ctrlPr>
                  <w:rPr>
                    <w:rFonts w:ascii="Cambria Math" w:hAnsi="Cambria Math"/>
                    <w:i/>
                  </w:rPr>
                </m:ctrlPr>
              </m:sSubSupPr>
              <m:e>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T</m:t>
                            </m:r>
                          </m:sub>
                        </m:sSub>
                      </m:e>
                    </m:d>
                  </m:e>
                  <m:sup>
                    <m:r>
                      <w:rPr>
                        <w:rFonts w:ascii="Cambria Math" w:hAnsi="Cambria Math"/>
                      </w:rPr>
                      <m:t>α</m:t>
                    </m:r>
                  </m:sup>
                </m:sSup>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ϵ</m:t>
                            </m:r>
                          </m:e>
                          <m:sub>
                            <m:r>
                              <w:rPr>
                                <w:rFonts w:ascii="Cambria Math" w:hAnsi="Cambria Math"/>
                              </w:rPr>
                              <m:t>E</m:t>
                            </m:r>
                          </m:sub>
                        </m:sSub>
                      </m:e>
                    </m:d>
                  </m:e>
                  <m:sup>
                    <m:r>
                      <w:rPr>
                        <w:rFonts w:ascii="Cambria Math" w:hAnsi="Cambria Math"/>
                      </w:rPr>
                      <m:t>α</m:t>
                    </m:r>
                  </m:sup>
                </m:sSup>
                <m:r>
                  <w:rPr>
                    <w:rFonts w:ascii="Cambria Math" w:hAnsi="Cambria Math"/>
                  </w:rPr>
                  <m:t>V</m:t>
                </m:r>
              </m:e>
              <m:sub>
                <m:r>
                  <w:rPr>
                    <w:rFonts w:ascii="Cambria Math" w:hAnsi="Cambria Math"/>
                  </w:rPr>
                  <m:t>t</m:t>
                </m:r>
              </m:sub>
              <m:sup>
                <m:r>
                  <w:rPr>
                    <w:rFonts w:ascii="Cambria Math" w:hAnsi="Cambria Math"/>
                  </w:rPr>
                  <m:t>α</m:t>
                </m:r>
              </m:sup>
            </m:sSubSup>
            <m:r>
              <w:rPr>
                <w:rFonts w:ascii="Cambria Math" w:hAnsi="Cambria Math"/>
              </w:rPr>
              <m:t>+</m:t>
            </m:r>
            <m:sSup>
              <m:sSupPr>
                <m:ctrlPr>
                  <w:rPr>
                    <w:rFonts w:ascii="Cambria Math" w:hAnsi="Cambria Math"/>
                    <w:i/>
                  </w:rPr>
                </m:ctrlPr>
              </m:sSupPr>
              <m:e>
                <m:r>
                  <w:rPr>
                    <w:rFonts w:ascii="Cambria Math" w:hAnsi="Cambria Math"/>
                  </w:rPr>
                  <m:t>λ</m:t>
                </m:r>
              </m:e>
              <m:sup>
                <m:r>
                  <w:rPr>
                    <w:rFonts w:ascii="Cambria Math" w:hAnsi="Cambria Math"/>
                  </w:rPr>
                  <m:t>α</m:t>
                </m:r>
              </m:sup>
            </m:sSup>
          </m:den>
        </m:f>
        <m:r>
          <w:rPr>
            <w:rFonts w:ascii="Cambria Math" w:hAnsi="Cambria Math"/>
          </w:rPr>
          <m:t>.</m:t>
        </m:r>
      </m:oMath>
      <w:r w:rsidR="00A94C0A">
        <w:rPr>
          <w:rFonts w:eastAsiaTheme="minorEastAsia"/>
        </w:rPr>
        <w:tab/>
      </w:r>
      <w:r w:rsidR="00A94C0A">
        <w:rPr>
          <w:rFonts w:eastAsiaTheme="minorEastAsia"/>
        </w:rPr>
        <w:tab/>
      </w:r>
      <w:r w:rsidR="00A94C0A" w:rsidRPr="002601C4">
        <w:rPr>
          <w:rFonts w:eastAsiaTheme="minorEastAsia"/>
          <w:b/>
          <w:bCs/>
        </w:rPr>
        <w:t>(</w:t>
      </w:r>
      <w:r w:rsidR="00A94C0A">
        <w:rPr>
          <w:rFonts w:eastAsiaTheme="minorEastAsia"/>
          <w:b/>
          <w:bCs/>
        </w:rPr>
        <w:t>3</w:t>
      </w:r>
      <w:r w:rsidR="00A94C0A" w:rsidRPr="002601C4">
        <w:rPr>
          <w:rFonts w:eastAsiaTheme="minorEastAsia"/>
          <w:b/>
          <w:bCs/>
        </w:rPr>
        <w:t>)</w:t>
      </w:r>
    </w:p>
    <w:p w14:paraId="4B5694D9" w14:textId="77777777" w:rsidR="00A94C0A" w:rsidRDefault="00A94C0A" w:rsidP="007B2E07">
      <w:pPr>
        <w:snapToGrid w:val="0"/>
        <w:spacing w:line="360" w:lineRule="auto"/>
        <w:ind w:firstLine="720"/>
        <w:jc w:val="both"/>
        <w:rPr>
          <w:rFonts w:eastAsiaTheme="minorEastAsia"/>
        </w:rPr>
      </w:pPr>
      <w:r>
        <w:rPr>
          <w:rFonts w:eastAsiaTheme="minorEastAsia"/>
        </w:rPr>
        <w:t xml:space="preserve">Finally, we modeled the </w:t>
      </w:r>
      <w:r w:rsidRPr="00697B5B">
        <w:rPr>
          <w:rFonts w:eastAsiaTheme="minorEastAsia"/>
          <w:i/>
          <w:iCs/>
        </w:rPr>
        <w:t>compliance</w:t>
      </w:r>
      <w:r w:rsidRPr="006D4501">
        <w:rPr>
          <w:rFonts w:eastAsiaTheme="minorEastAsia"/>
        </w:rPr>
        <w:t xml:space="preserve"> </w:t>
      </w:r>
      <w:r>
        <w:rPr>
          <w:rFonts w:eastAsiaTheme="minorEastAsia"/>
        </w:rPr>
        <w:t xml:space="preserve">of an individual </w:t>
      </w:r>
      <w:r w:rsidRPr="006D4501">
        <w:rPr>
          <w:rFonts w:eastAsiaTheme="minorEastAsia"/>
        </w:rPr>
        <w:t>wearing mask</w:t>
      </w:r>
      <w:r>
        <w:rPr>
          <w:rFonts w:eastAsiaTheme="minorEastAsia"/>
        </w:rPr>
        <w:t xml:space="preserve"> in the population as a Bernoulli event with mean </w:t>
      </w:r>
      <m:oMath>
        <m:r>
          <w:rPr>
            <w:rFonts w:ascii="Cambria Math" w:eastAsiaTheme="minorEastAsia" w:hAnsi="Cambria Math"/>
          </w:rPr>
          <m:t>σ</m:t>
        </m:r>
      </m:oMath>
      <w:r>
        <w:rPr>
          <w:rFonts w:eastAsiaTheme="minorEastAsia"/>
        </w:rPr>
        <w:t xml:space="preserve"> and the </w:t>
      </w:r>
      <w:r>
        <w:rPr>
          <w:rFonts w:eastAsiaTheme="minorEastAsia"/>
          <w:i/>
          <w:iCs/>
        </w:rPr>
        <w:t>adherence</w:t>
      </w:r>
      <w:r>
        <w:rPr>
          <w:rFonts w:eastAsiaTheme="minorEastAsia"/>
        </w:rPr>
        <w:t xml:space="preserve"> of wearing it </w:t>
      </w:r>
      <w:r w:rsidRPr="00C77D9A">
        <w:rPr>
          <w:rFonts w:eastAsiaTheme="minorEastAsia"/>
        </w:rPr>
        <w:t xml:space="preserve">at </w:t>
      </w:r>
      <w:r w:rsidRPr="00697B5B">
        <w:rPr>
          <w:color w:val="000000"/>
        </w:rPr>
        <w:t xml:space="preserve">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sidRPr="00C77D9A">
        <w:rPr>
          <w:rFonts w:eastAsiaTheme="minorEastAsia"/>
        </w:rPr>
        <w:t xml:space="preserve"> </w:t>
      </w:r>
      <w:r>
        <w:rPr>
          <w:rFonts w:eastAsiaTheme="minorEastAsia"/>
        </w:rPr>
        <w:t>as a Bernoulli event with mean</w:t>
      </w:r>
      <w:r w:rsidRPr="00C77D9A">
        <w:rPr>
          <w:rFonts w:eastAsiaTheme="minorEastAsia"/>
        </w:rPr>
        <w:t xml:space="preserve"> </w:t>
      </w:r>
      <m:oMath>
        <m:r>
          <w:rPr>
            <w:rFonts w:ascii="Cambria Math" w:eastAsiaTheme="minorEastAsia" w:hAnsi="Cambria Math"/>
          </w:rPr>
          <m:t>ϑ</m:t>
        </m:r>
      </m:oMath>
      <w:r>
        <w:rPr>
          <w:rFonts w:eastAsiaTheme="minorEastAsia"/>
        </w:rPr>
        <w:t>.</w:t>
      </w:r>
      <w:r w:rsidRPr="00C77D9A">
        <w:rPr>
          <w:rFonts w:eastAsiaTheme="minorEastAsia"/>
        </w:rPr>
        <w:t xml:space="preserve"> </w:t>
      </w:r>
      <w:r>
        <w:rPr>
          <w:rFonts w:eastAsiaTheme="minorEastAsia"/>
        </w:rPr>
        <w:t>Compliance is defined as whether the person ever wears a mask. Adherence is the percentage of time that a mask wearer wears a mask.</w:t>
      </w:r>
    </w:p>
    <w:p w14:paraId="53991901" w14:textId="77777777" w:rsidR="00A94C0A" w:rsidRDefault="00A94C0A" w:rsidP="007B2E07">
      <w:pPr>
        <w:snapToGrid w:val="0"/>
        <w:spacing w:line="360" w:lineRule="auto"/>
        <w:ind w:firstLine="720"/>
        <w:jc w:val="both"/>
        <w:rPr>
          <w:rFonts w:eastAsiaTheme="minorEastAsia"/>
        </w:rPr>
      </w:pPr>
    </w:p>
    <w:p w14:paraId="336122D7" w14:textId="77777777" w:rsidR="00A94C0A" w:rsidRPr="00C77D9A" w:rsidRDefault="00A94C0A" w:rsidP="007B2E07">
      <w:pPr>
        <w:snapToGrid w:val="0"/>
        <w:spacing w:line="360" w:lineRule="auto"/>
        <w:rPr>
          <w:rFonts w:eastAsiaTheme="minorEastAsia"/>
        </w:rPr>
      </w:pPr>
      <w:r w:rsidRPr="00697B5B">
        <w:rPr>
          <w:rFonts w:eastAsiaTheme="minorEastAsia"/>
          <w:b/>
          <w:bCs/>
          <w:i/>
          <w:iCs/>
        </w:rPr>
        <w:t>Simulating secondary transmission</w:t>
      </w:r>
      <w:r>
        <w:rPr>
          <w:rFonts w:eastAsiaTheme="minorEastAsia"/>
          <w:b/>
          <w:bCs/>
          <w:i/>
          <w:iCs/>
        </w:rPr>
        <w:t>s</w:t>
      </w:r>
      <w:r w:rsidRPr="00697B5B">
        <w:rPr>
          <w:rFonts w:eastAsiaTheme="minorEastAsia"/>
          <w:b/>
          <w:bCs/>
          <w:i/>
          <w:iCs/>
        </w:rPr>
        <w:t xml:space="preserve"> with mask use.</w:t>
      </w:r>
      <w:r>
        <w:rPr>
          <w:rFonts w:eastAsiaTheme="minorEastAsia"/>
          <w:b/>
          <w:bCs/>
        </w:rPr>
        <w:t xml:space="preserve"> </w:t>
      </w:r>
      <w:r>
        <w:rPr>
          <w:rFonts w:eastAsiaTheme="minorEastAsia"/>
        </w:rPr>
        <w:t xml:space="preserve">For a specific scenario with selected </w:t>
      </w:r>
      <m:oMath>
        <m:r>
          <w:rPr>
            <w:rFonts w:ascii="Cambria Math" w:eastAsiaTheme="minorEastAsia" w:hAnsi="Cambria Math"/>
          </w:rPr>
          <m:t>σ</m:t>
        </m:r>
      </m:oMath>
      <w:r>
        <w:rPr>
          <w:rFonts w:eastAsiaTheme="minorEastAsia"/>
        </w:rPr>
        <w:t xml:space="preserve"> and </w:t>
      </w:r>
      <m:oMath>
        <m:r>
          <w:rPr>
            <w:rFonts w:ascii="Cambria Math" w:eastAsiaTheme="minorEastAsia" w:hAnsi="Cambria Math"/>
          </w:rPr>
          <m:t>ϑ</m:t>
        </m:r>
      </m:oMath>
      <w:r>
        <w:rPr>
          <w:rFonts w:eastAsiaTheme="minorEastAsia"/>
        </w:rPr>
        <w:t xml:space="preserve">, we </w:t>
      </w:r>
      <w:r w:rsidRPr="00C77D9A">
        <w:rPr>
          <w:rFonts w:eastAsiaTheme="minorEastAsia"/>
        </w:rPr>
        <w:t>follow</w:t>
      </w:r>
      <w:r>
        <w:rPr>
          <w:rFonts w:eastAsiaTheme="minorEastAsia"/>
        </w:rPr>
        <w:t>ed</w:t>
      </w:r>
      <w:r w:rsidRPr="00C77D9A">
        <w:rPr>
          <w:rFonts w:eastAsiaTheme="minorEastAsia"/>
        </w:rPr>
        <w:t xml:space="preserve"> the procedure below to estimate the population level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oMath>
      <w:r w:rsidRPr="00C77D9A">
        <w:rPr>
          <w:rFonts w:eastAsiaTheme="minorEastAsia"/>
        </w:rPr>
        <w:t>:</w:t>
      </w:r>
    </w:p>
    <w:p w14:paraId="30826607" w14:textId="77777777" w:rsidR="00A94C0A" w:rsidRPr="00C77D9A" w:rsidRDefault="00A94C0A" w:rsidP="007B2E07">
      <w:pPr>
        <w:pStyle w:val="ListParagraph"/>
        <w:numPr>
          <w:ilvl w:val="0"/>
          <w:numId w:val="4"/>
        </w:numPr>
        <w:snapToGrid w:val="0"/>
        <w:spacing w:line="360" w:lineRule="auto"/>
        <w:ind w:left="360"/>
        <w:contextualSpacing w:val="0"/>
        <w:rPr>
          <w:color w:val="000000"/>
        </w:rPr>
      </w:pPr>
      <w:r w:rsidRPr="00C77D9A">
        <w:rPr>
          <w:color w:val="000000"/>
        </w:rPr>
        <w:t xml:space="preserve">Simulate </w:t>
      </w:r>
      <m:oMath>
        <m:r>
          <w:rPr>
            <w:rFonts w:ascii="Cambria Math" w:hAnsi="Cambria Math"/>
            <w:color w:val="000000"/>
          </w:rPr>
          <m:t>V</m:t>
        </m:r>
        <m:d>
          <m:dPr>
            <m:ctrlPr>
              <w:rPr>
                <w:rFonts w:ascii="Cambria Math" w:hAnsi="Cambria Math"/>
                <w:i/>
                <w:color w:val="000000"/>
              </w:rPr>
            </m:ctrlPr>
          </m:dPr>
          <m:e>
            <m:r>
              <w:rPr>
                <w:rFonts w:ascii="Cambria Math" w:hAnsi="Cambria Math"/>
                <w:color w:val="000000"/>
              </w:rPr>
              <m:t>t</m:t>
            </m:r>
          </m:e>
        </m:d>
      </m:oMath>
      <w:r w:rsidRPr="00C77D9A">
        <w:rPr>
          <w:color w:val="000000"/>
        </w:rPr>
        <w:t xml:space="preserve"> for a transmitter using the within-host model in </w:t>
      </w:r>
      <w:r w:rsidRPr="00C77D9A">
        <w:rPr>
          <w:b/>
          <w:bCs/>
          <w:color w:val="000000"/>
        </w:rPr>
        <w:t>eq. 1.</w:t>
      </w:r>
      <w:r w:rsidRPr="00C77D9A">
        <w:rPr>
          <w:color w:val="000000"/>
        </w:rPr>
        <w:t xml:space="preserve"> </w:t>
      </w:r>
    </w:p>
    <w:p w14:paraId="1590DECE" w14:textId="77777777" w:rsidR="00A94C0A" w:rsidRPr="00C77D9A" w:rsidRDefault="00A94C0A" w:rsidP="007B2E07">
      <w:pPr>
        <w:pStyle w:val="ListParagraph"/>
        <w:numPr>
          <w:ilvl w:val="0"/>
          <w:numId w:val="4"/>
        </w:numPr>
        <w:snapToGrid w:val="0"/>
        <w:spacing w:line="360" w:lineRule="auto"/>
        <w:ind w:left="360"/>
        <w:contextualSpacing w:val="0"/>
        <w:rPr>
          <w:color w:val="000000"/>
        </w:rPr>
      </w:pPr>
      <w:r w:rsidRPr="00C77D9A">
        <w:rPr>
          <w:color w:val="000000"/>
        </w:rPr>
        <w:t xml:space="preserve">Simulate </w:t>
      </w:r>
      <w:r>
        <w:rPr>
          <w:color w:val="000000"/>
        </w:rPr>
        <w:t xml:space="preserve">transmitter </w:t>
      </w:r>
      <w:r w:rsidRPr="00C77D9A">
        <w:rPr>
          <w:color w:val="000000"/>
        </w:rPr>
        <w:t>mask</w:t>
      </w:r>
      <w:r>
        <w:rPr>
          <w:color w:val="000000"/>
        </w:rPr>
        <w:t xml:space="preserve"> compliance</w:t>
      </w:r>
      <w:r w:rsidRPr="00C77D9A">
        <w:rPr>
          <w:color w:val="000000"/>
        </w:rPr>
        <w:t xml:space="preserve"> using </w:t>
      </w:r>
      <m:oMath>
        <m:r>
          <w:rPr>
            <w:rFonts w:ascii="Cambria Math" w:hAnsi="Cambria Math"/>
            <w:color w:val="000000"/>
          </w:rPr>
          <m:t>Ber(p=</m:t>
        </m:r>
        <m:r>
          <w:rPr>
            <w:rFonts w:ascii="Cambria Math" w:eastAsiaTheme="minorEastAsia" w:hAnsi="Cambria Math"/>
          </w:rPr>
          <m:t>σ</m:t>
        </m:r>
        <m:r>
          <w:rPr>
            <w:rFonts w:ascii="Cambria Math" w:hAnsi="Cambria Math"/>
            <w:color w:val="000000"/>
          </w:rPr>
          <m:t>)</m:t>
        </m:r>
      </m:oMath>
      <w:r w:rsidRPr="00C77D9A">
        <w:rPr>
          <w:color w:val="000000"/>
        </w:rPr>
        <w:t xml:space="preserve">. </w:t>
      </w:r>
    </w:p>
    <w:p w14:paraId="71C04A84" w14:textId="77777777" w:rsidR="00A94C0A" w:rsidRPr="00C77D9A" w:rsidRDefault="00A94C0A" w:rsidP="007B2E07">
      <w:pPr>
        <w:pStyle w:val="ListParagraph"/>
        <w:numPr>
          <w:ilvl w:val="0"/>
          <w:numId w:val="4"/>
        </w:numPr>
        <w:snapToGrid w:val="0"/>
        <w:spacing w:line="360" w:lineRule="auto"/>
        <w:ind w:left="360"/>
        <w:contextualSpacing w:val="0"/>
        <w:rPr>
          <w:color w:val="000000"/>
        </w:rPr>
      </w:pPr>
      <w:r w:rsidRPr="00C77D9A">
        <w:rPr>
          <w:color w:val="000000"/>
        </w:rPr>
        <w:t xml:space="preserve">Discretize the time-space of 30 days over time steps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sidRPr="00C77D9A">
        <w:t>. For each time step,</w:t>
      </w:r>
    </w:p>
    <w:p w14:paraId="78F7A74E" w14:textId="77777777" w:rsidR="00A94C0A" w:rsidRPr="00C77D9A" w:rsidRDefault="00A94C0A" w:rsidP="007B2E07">
      <w:pPr>
        <w:pStyle w:val="ListParagraph"/>
        <w:numPr>
          <w:ilvl w:val="1"/>
          <w:numId w:val="4"/>
        </w:numPr>
        <w:snapToGrid w:val="0"/>
        <w:spacing w:line="360" w:lineRule="auto"/>
        <w:ind w:left="1080"/>
        <w:contextualSpacing w:val="0"/>
        <w:rPr>
          <w:color w:val="000000"/>
        </w:rPr>
      </w:pPr>
      <w:r w:rsidRPr="00C77D9A">
        <w:rPr>
          <w:color w:val="000000"/>
        </w:rPr>
        <w:t xml:space="preserve">If the transmitter </w:t>
      </w:r>
      <w:r>
        <w:rPr>
          <w:color w:val="000000"/>
        </w:rPr>
        <w:t xml:space="preserve">is </w:t>
      </w:r>
      <w:r w:rsidRPr="003F32F2">
        <w:rPr>
          <w:i/>
          <w:iCs/>
          <w:color w:val="000000"/>
        </w:rPr>
        <w:t>compliant</w:t>
      </w:r>
      <w:r>
        <w:rPr>
          <w:color w:val="000000"/>
        </w:rPr>
        <w:t xml:space="preserve"> in using a mask:</w:t>
      </w:r>
      <w:r w:rsidRPr="00C77D9A">
        <w:rPr>
          <w:color w:val="000000"/>
        </w:rPr>
        <w:t xml:space="preserve"> </w:t>
      </w:r>
    </w:p>
    <w:p w14:paraId="4FDA5731" w14:textId="77777777" w:rsidR="00A94C0A" w:rsidRDefault="00A94C0A" w:rsidP="007B2E07">
      <w:pPr>
        <w:pStyle w:val="ListParagraph"/>
        <w:numPr>
          <w:ilvl w:val="2"/>
          <w:numId w:val="4"/>
        </w:numPr>
        <w:snapToGrid w:val="0"/>
        <w:spacing w:line="360" w:lineRule="auto"/>
        <w:ind w:left="1800"/>
        <w:contextualSpacing w:val="0"/>
        <w:rPr>
          <w:color w:val="000000"/>
        </w:rPr>
      </w:pPr>
      <w:r w:rsidRPr="00C77D9A">
        <w:rPr>
          <w:color w:val="000000"/>
        </w:rPr>
        <w:t xml:space="preserve">Simulate </w:t>
      </w:r>
      <w:r>
        <w:rPr>
          <w:color w:val="000000"/>
        </w:rPr>
        <w:t xml:space="preserve">transmitter </w:t>
      </w:r>
      <w:r w:rsidRPr="00C77D9A">
        <w:rPr>
          <w:color w:val="000000"/>
        </w:rPr>
        <w:t>mask</w:t>
      </w:r>
      <w:r>
        <w:rPr>
          <w:color w:val="000000"/>
        </w:rPr>
        <w:t xml:space="preserve"> </w:t>
      </w:r>
      <w:r w:rsidRPr="003F32F2">
        <w:rPr>
          <w:i/>
          <w:iCs/>
          <w:color w:val="000000"/>
        </w:rPr>
        <w:t>adherence</w:t>
      </w:r>
      <w:r>
        <w:rPr>
          <w:color w:val="000000"/>
        </w:rPr>
        <w:t xml:space="preserve"> at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sidRPr="00C77D9A">
        <w:rPr>
          <w:color w:val="000000"/>
        </w:rPr>
        <w:t xml:space="preserve"> using </w:t>
      </w:r>
      <m:oMath>
        <m:r>
          <w:rPr>
            <w:rFonts w:ascii="Cambria Math" w:hAnsi="Cambria Math"/>
            <w:color w:val="000000"/>
          </w:rPr>
          <m:t>Ber( p=</m:t>
        </m:r>
        <m:r>
          <w:rPr>
            <w:rFonts w:ascii="Cambria Math" w:eastAsiaTheme="minorEastAsia" w:hAnsi="Cambria Math"/>
          </w:rPr>
          <m:t xml:space="preserve"> ϑ</m:t>
        </m:r>
        <m:r>
          <w:rPr>
            <w:rFonts w:ascii="Cambria Math" w:hAnsi="Cambria Math"/>
            <w:color w:val="000000"/>
          </w:rPr>
          <m:t>)</m:t>
        </m:r>
      </m:oMath>
    </w:p>
    <w:p w14:paraId="064FD662" w14:textId="77777777" w:rsidR="00A94C0A" w:rsidRPr="00C77D9A" w:rsidRDefault="00A94C0A" w:rsidP="007B2E07">
      <w:pPr>
        <w:pStyle w:val="ListParagraph"/>
        <w:numPr>
          <w:ilvl w:val="2"/>
          <w:numId w:val="4"/>
        </w:numPr>
        <w:snapToGrid w:val="0"/>
        <w:spacing w:line="360" w:lineRule="auto"/>
        <w:ind w:left="1800"/>
        <w:contextualSpacing w:val="0"/>
        <w:rPr>
          <w:color w:val="000000"/>
        </w:rPr>
      </w:pPr>
      <w:r w:rsidRPr="00C77D9A">
        <w:rPr>
          <w:color w:val="000000"/>
        </w:rPr>
        <w:t xml:space="preserve">If </w:t>
      </w:r>
      <w:r>
        <w:rPr>
          <w:color w:val="000000"/>
        </w:rPr>
        <w:t xml:space="preserve">transmitter </w:t>
      </w:r>
      <w:r w:rsidRPr="00C77D9A">
        <w:rPr>
          <w:color w:val="000000"/>
        </w:rPr>
        <w:t xml:space="preserve">is wearing a mask </w:t>
      </w:r>
      <w:r>
        <w:rPr>
          <w:color w:val="000000"/>
        </w:rPr>
        <w:t xml:space="preserve">at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p>
    <w:p w14:paraId="3FE03070" w14:textId="77777777" w:rsidR="00A94C0A" w:rsidRPr="003F32F2" w:rsidRDefault="00A94C0A" w:rsidP="007B2E07">
      <w:pPr>
        <w:pStyle w:val="ListParagraph"/>
        <w:numPr>
          <w:ilvl w:val="3"/>
          <w:numId w:val="4"/>
        </w:numPr>
        <w:snapToGrid w:val="0"/>
        <w:spacing w:line="360" w:lineRule="auto"/>
        <w:ind w:left="2520"/>
        <w:contextualSpacing w:val="0"/>
        <w:rPr>
          <w:color w:val="000000"/>
        </w:rPr>
      </w:pPr>
      <w:r w:rsidRPr="00C77D9A">
        <w:rPr>
          <w:color w:val="000000"/>
        </w:rPr>
        <w:t xml:space="preserve">Draw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eastAsiaTheme="minorEastAsia" w:hAnsi="Cambria Math"/>
          </w:rPr>
          <m:t>~Γ</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ρ</m:t>
                </m:r>
              </m:den>
            </m:f>
            <m:r>
              <w:rPr>
                <w:rFonts w:ascii="Cambria Math" w:eastAsiaTheme="minorEastAsia" w:hAnsi="Cambria Math"/>
              </w:rPr>
              <m:t>,ρ</m:t>
            </m:r>
          </m:e>
        </m:d>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sidRPr="00C77D9A">
        <w:t xml:space="preserve">. </w:t>
      </w:r>
    </w:p>
    <w:p w14:paraId="16AF136E" w14:textId="77777777" w:rsidR="00A94C0A" w:rsidRPr="003F32F2" w:rsidRDefault="00A94C0A" w:rsidP="007B2E07">
      <w:pPr>
        <w:pStyle w:val="ListParagraph"/>
        <w:numPr>
          <w:ilvl w:val="3"/>
          <w:numId w:val="4"/>
        </w:numPr>
        <w:snapToGrid w:val="0"/>
        <w:spacing w:line="360" w:lineRule="auto"/>
        <w:ind w:left="2520"/>
        <w:contextualSpacing w:val="0"/>
        <w:rPr>
          <w:color w:val="000000"/>
        </w:rPr>
      </w:pPr>
      <w:r>
        <w:rPr>
          <w:color w:val="000000"/>
        </w:rPr>
        <w:t xml:space="preserve">Determine masking adherence among exposed contacts at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Pr>
          <w:color w:val="000000"/>
        </w:rPr>
        <w:t xml:space="preserve"> using </w:t>
      </w:r>
      <m:oMath>
        <m:r>
          <w:rPr>
            <w:rFonts w:ascii="Cambria Math" w:hAnsi="Cambria Math"/>
            <w:color w:val="000000"/>
          </w:rPr>
          <m:t>κ~Ber</m:t>
        </m:r>
        <m:r>
          <w:rPr>
            <w:rFonts w:ascii="Cambria Math" w:hAnsi="Cambria Math"/>
          </w:rPr>
          <m:t>(</m:t>
        </m:r>
        <m:r>
          <w:rPr>
            <w:rFonts w:ascii="Cambria Math" w:hAnsi="Cambria Math"/>
            <w:color w:val="000000"/>
          </w:rPr>
          <m:t>p=</m:t>
        </m:r>
        <m:r>
          <w:rPr>
            <w:rFonts w:ascii="Cambria Math" w:eastAsiaTheme="minorEastAsia" w:hAnsi="Cambria Math"/>
          </w:rPr>
          <m:t xml:space="preserve"> σϑ)</m:t>
        </m:r>
      </m:oMath>
      <w:r>
        <w:t xml:space="preserve">. If </w:t>
      </w:r>
      <m:oMath>
        <m:r>
          <w:rPr>
            <w:rFonts w:ascii="Cambria Math" w:hAnsi="Cambria Math"/>
          </w:rPr>
          <m:t>κ=1</m:t>
        </m:r>
      </m:oMath>
      <w:r>
        <w:t xml:space="preserve">, then there is 100% adherence among exposed contacts and if </w:t>
      </w:r>
      <m:oMath>
        <m:r>
          <w:rPr>
            <w:rFonts w:ascii="Cambria Math" w:hAnsi="Cambria Math"/>
          </w:rPr>
          <m:t>κ=0</m:t>
        </m:r>
      </m:oMath>
      <w:r>
        <w:t>, then there is 0% adherence among exposed contacts.</w:t>
      </w:r>
    </w:p>
    <w:p w14:paraId="55891529" w14:textId="77777777" w:rsidR="00A94C0A" w:rsidRPr="00B73A44" w:rsidRDefault="00A94C0A" w:rsidP="007B2E07">
      <w:pPr>
        <w:pStyle w:val="ListParagraph"/>
        <w:numPr>
          <w:ilvl w:val="3"/>
          <w:numId w:val="4"/>
        </w:numPr>
        <w:snapToGrid w:val="0"/>
        <w:spacing w:line="360" w:lineRule="auto"/>
        <w:ind w:left="2520"/>
        <w:contextualSpacing w:val="0"/>
        <w:rPr>
          <w:color w:val="000000"/>
        </w:rPr>
      </w:pPr>
      <w:r w:rsidRPr="00C77D9A">
        <w:t>Determine the number of exposed</w:t>
      </w:r>
      <w:r>
        <w:t xml:space="preserve"> contact wearing a mask (i.e.,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t_Mask</m:t>
                </m:r>
              </m:sub>
            </m:sSub>
          </m:sub>
        </m:sSub>
        <m:r>
          <w:rPr>
            <w:rFonts w:ascii="Cambria Math" w:hAnsi="Cambria Math"/>
          </w:rPr>
          <m:t>=</m:t>
        </m:r>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hAnsi="Cambria Math"/>
          </w:rPr>
          <m:t>κ</m:t>
        </m:r>
      </m:oMath>
      <w:r>
        <w:t xml:space="preserve">) and the number of exposed contact not wearing a mask (i.e.,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t_Unmask</m:t>
                </m:r>
              </m:sub>
            </m:sSub>
          </m:sub>
        </m:sSub>
        <m:r>
          <w:rPr>
            <w:rFonts w:ascii="Cambria Math" w:hAnsi="Cambria Math"/>
          </w:rPr>
          <m:t>=</m:t>
        </m:r>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hAnsi="Cambria Math"/>
          </w:rPr>
          <m:t>(1-κ)</m:t>
        </m:r>
      </m:oMath>
      <w:r>
        <w:t>.</w:t>
      </w:r>
    </w:p>
    <w:p w14:paraId="06FDBA90" w14:textId="77777777" w:rsidR="00A94C0A" w:rsidRPr="00B52D8D" w:rsidRDefault="00A94C0A" w:rsidP="007B2E07">
      <w:pPr>
        <w:pStyle w:val="ListParagraph"/>
        <w:numPr>
          <w:ilvl w:val="4"/>
          <w:numId w:val="4"/>
        </w:numPr>
        <w:snapToGrid w:val="0"/>
        <w:spacing w:line="360" w:lineRule="auto"/>
        <w:ind w:left="3240"/>
        <w:contextualSpacing w:val="0"/>
        <w:rPr>
          <w:color w:val="000000"/>
        </w:rPr>
      </w:pPr>
      <w:r w:rsidRPr="00D62C19">
        <w:rPr>
          <w:color w:val="000000"/>
        </w:rPr>
        <w:t xml:space="preserve">Compute </w:t>
      </w: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MasktoMask</m:t>
                </m:r>
              </m:sub>
            </m:sSub>
          </m:sub>
        </m:sSub>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m:t>
                    </m:r>
                  </m:sub>
                </m:sSub>
              </m:e>
            </m:d>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E</m:t>
                    </m:r>
                  </m:sub>
                </m:sSub>
              </m:e>
            </m:d>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4EEAD2AB" w14:textId="77777777" w:rsidR="00A94C0A" w:rsidRPr="003C0999" w:rsidRDefault="00A94C0A" w:rsidP="007B2E07">
      <w:pPr>
        <w:pStyle w:val="ListParagraph"/>
        <w:numPr>
          <w:ilvl w:val="4"/>
          <w:numId w:val="4"/>
        </w:numPr>
        <w:snapToGrid w:val="0"/>
        <w:spacing w:line="360" w:lineRule="auto"/>
        <w:ind w:left="3240"/>
        <w:contextualSpacing w:val="0"/>
        <w:rPr>
          <w:color w:val="000000"/>
          <w:lang w:val="es-ES"/>
        </w:rPr>
      </w:pPr>
      <w:proofErr w:type="spellStart"/>
      <w:r w:rsidRPr="003C0999">
        <w:rPr>
          <w:lang w:val="es-ES"/>
        </w:rPr>
        <w:t>Calculate</w:t>
      </w:r>
      <w:proofErr w:type="spellEnd"/>
      <w:r w:rsidRPr="003C0999">
        <w:rPr>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MasktoMask</m:t>
                    </m:r>
                  </m:sub>
                </m:sSub>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MasktoMask</m:t>
                    </m:r>
                  </m:sub>
                </m:sSub>
              </m:sub>
            </m:sSub>
          </m:e>
        </m:d>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MasktoMask</m:t>
                </m:r>
              </m:sub>
            </m:sSub>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m:t>
                    </m:r>
                  </m:sub>
                </m:sSub>
              </m:sub>
            </m:sSub>
          </m:sub>
        </m:sSub>
      </m:oMath>
    </w:p>
    <w:p w14:paraId="21A0D858" w14:textId="77777777" w:rsidR="00A94C0A" w:rsidRPr="00B52D8D" w:rsidRDefault="00A94C0A" w:rsidP="007B2E07">
      <w:pPr>
        <w:pStyle w:val="ListParagraph"/>
        <w:numPr>
          <w:ilvl w:val="4"/>
          <w:numId w:val="4"/>
        </w:numPr>
        <w:snapToGrid w:val="0"/>
        <w:spacing w:line="360" w:lineRule="auto"/>
        <w:ind w:left="3240"/>
        <w:contextualSpacing w:val="0"/>
        <w:rPr>
          <w:color w:val="000000"/>
        </w:rPr>
      </w:pPr>
      <w:r w:rsidRPr="00D62C19">
        <w:rPr>
          <w:color w:val="000000"/>
        </w:rPr>
        <w:t xml:space="preserve">Compute </w:t>
      </w: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MasktoUnmask</m:t>
                </m:r>
              </m:sub>
            </m:sSub>
          </m:sub>
        </m:sSub>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m:t>
                    </m:r>
                  </m:sub>
                </m:sSub>
              </m:e>
            </m:d>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329862DD" w14:textId="77777777" w:rsidR="00A94C0A" w:rsidRPr="003C0999" w:rsidRDefault="00A94C0A" w:rsidP="007B2E07">
      <w:pPr>
        <w:pStyle w:val="ListParagraph"/>
        <w:numPr>
          <w:ilvl w:val="4"/>
          <w:numId w:val="4"/>
        </w:numPr>
        <w:snapToGrid w:val="0"/>
        <w:spacing w:line="360" w:lineRule="auto"/>
        <w:ind w:left="3240"/>
        <w:contextualSpacing w:val="0"/>
        <w:rPr>
          <w:color w:val="000000"/>
          <w:lang w:val="es-ES"/>
        </w:rPr>
      </w:pPr>
      <w:proofErr w:type="spellStart"/>
      <w:r w:rsidRPr="003C0999">
        <w:rPr>
          <w:lang w:val="es-ES"/>
        </w:rPr>
        <w:t>Calculate</w:t>
      </w:r>
      <w:proofErr w:type="spellEnd"/>
      <w:r w:rsidRPr="003C0999">
        <w:rPr>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MasktoUnmask</m:t>
                    </m:r>
                  </m:sub>
                </m:sSub>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MasktoUnmask</m:t>
                    </m:r>
                  </m:sub>
                </m:sSub>
              </m:sub>
            </m:sSub>
          </m:e>
        </m:d>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MasktoUnmask</m:t>
                </m:r>
              </m:sub>
            </m:sSub>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m:t>
                </m:r>
                <m:r>
                  <w:rPr>
                    <w:rFonts w:ascii="Cambria Math" w:eastAsiaTheme="minorEastAsia" w:hAnsi="Cambria Math"/>
                    <w:lang w:val="es-ES"/>
                  </w:rPr>
                  <m:t>_</m:t>
                </m:r>
                <m:r>
                  <w:rPr>
                    <w:rFonts w:ascii="Cambria Math" w:eastAsiaTheme="minorEastAsia" w:hAnsi="Cambria Math"/>
                  </w:rPr>
                  <m:t>Unmask</m:t>
                </m:r>
              </m:sub>
            </m:sSub>
          </m:sub>
        </m:sSub>
      </m:oMath>
    </w:p>
    <w:p w14:paraId="1B158949" w14:textId="77777777" w:rsidR="00A94C0A" w:rsidRPr="002A5E72" w:rsidRDefault="00A94C0A" w:rsidP="007B2E07">
      <w:pPr>
        <w:pStyle w:val="ListParagraph"/>
        <w:numPr>
          <w:ilvl w:val="2"/>
          <w:numId w:val="4"/>
        </w:numPr>
        <w:snapToGrid w:val="0"/>
        <w:spacing w:line="360" w:lineRule="auto"/>
        <w:ind w:left="1800"/>
        <w:contextualSpacing w:val="0"/>
        <w:rPr>
          <w:color w:val="000000"/>
        </w:rPr>
      </w:pPr>
      <w:r>
        <w:rPr>
          <w:color w:val="000000"/>
        </w:rPr>
        <w:t xml:space="preserve">If the transmitter is not adhering with the use of a mask </w:t>
      </w:r>
      <w:r w:rsidRPr="003F32F2">
        <w:rPr>
          <w:color w:val="000000"/>
        </w:rPr>
        <w:t xml:space="preserve">at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sidRPr="002A5E72">
        <w:rPr>
          <w:color w:val="000000"/>
        </w:rPr>
        <w:t>, which is determined at step (i).</w:t>
      </w:r>
    </w:p>
    <w:p w14:paraId="2440768F" w14:textId="77777777" w:rsidR="00A94C0A" w:rsidRPr="003F32F2" w:rsidRDefault="00A94C0A" w:rsidP="007B2E07">
      <w:pPr>
        <w:pStyle w:val="ListParagraph"/>
        <w:numPr>
          <w:ilvl w:val="3"/>
          <w:numId w:val="4"/>
        </w:numPr>
        <w:snapToGrid w:val="0"/>
        <w:spacing w:line="360" w:lineRule="auto"/>
        <w:ind w:left="2520"/>
        <w:contextualSpacing w:val="0"/>
        <w:rPr>
          <w:color w:val="000000"/>
        </w:rPr>
      </w:pPr>
      <w:r w:rsidRPr="00B73A44">
        <w:rPr>
          <w:color w:val="000000"/>
        </w:rPr>
        <w:t xml:space="preserve">Draw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eastAsiaTheme="minorEastAsia" w:hAnsi="Cambria Math"/>
          </w:rPr>
          <m:t>~Γ</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ρ</m:t>
                </m:r>
              </m:den>
            </m:f>
            <m:r>
              <w:rPr>
                <w:rFonts w:ascii="Cambria Math" w:eastAsiaTheme="minorEastAsia" w:hAnsi="Cambria Math"/>
              </w:rPr>
              <m:t>,ρ</m:t>
            </m:r>
          </m:e>
        </m:d>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t xml:space="preserve">. </w:t>
      </w:r>
    </w:p>
    <w:p w14:paraId="581118E6" w14:textId="77777777" w:rsidR="00A94C0A" w:rsidRPr="003F32F2" w:rsidRDefault="00A94C0A" w:rsidP="007B2E07">
      <w:pPr>
        <w:pStyle w:val="ListParagraph"/>
        <w:numPr>
          <w:ilvl w:val="3"/>
          <w:numId w:val="4"/>
        </w:numPr>
        <w:snapToGrid w:val="0"/>
        <w:spacing w:line="360" w:lineRule="auto"/>
        <w:ind w:left="2520"/>
        <w:contextualSpacing w:val="0"/>
        <w:rPr>
          <w:color w:val="000000"/>
        </w:rPr>
      </w:pPr>
      <w:r>
        <w:rPr>
          <w:color w:val="000000"/>
        </w:rPr>
        <w:t xml:space="preserve">Determine masking adherence among exposed contacts at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Pr>
          <w:color w:val="000000"/>
        </w:rPr>
        <w:t xml:space="preserve"> using </w:t>
      </w:r>
      <m:oMath>
        <m:r>
          <w:rPr>
            <w:rFonts w:ascii="Cambria Math" w:hAnsi="Cambria Math"/>
            <w:color w:val="000000"/>
          </w:rPr>
          <m:t>κ~Ber</m:t>
        </m:r>
        <m:r>
          <w:rPr>
            <w:rFonts w:ascii="Cambria Math" w:hAnsi="Cambria Math"/>
          </w:rPr>
          <m:t>(</m:t>
        </m:r>
        <m:r>
          <w:rPr>
            <w:rFonts w:ascii="Cambria Math" w:hAnsi="Cambria Math"/>
            <w:color w:val="000000"/>
          </w:rPr>
          <m:t>p=</m:t>
        </m:r>
        <m:r>
          <w:rPr>
            <w:rFonts w:ascii="Cambria Math" w:eastAsiaTheme="minorEastAsia" w:hAnsi="Cambria Math"/>
          </w:rPr>
          <m:t xml:space="preserve"> σϑ)</m:t>
        </m:r>
      </m:oMath>
      <w:r>
        <w:t>.</w:t>
      </w:r>
    </w:p>
    <w:p w14:paraId="22F51E4D" w14:textId="77777777" w:rsidR="00A94C0A" w:rsidRPr="00B73A44" w:rsidRDefault="00A94C0A" w:rsidP="007B2E07">
      <w:pPr>
        <w:pStyle w:val="ListParagraph"/>
        <w:numPr>
          <w:ilvl w:val="3"/>
          <w:numId w:val="4"/>
        </w:numPr>
        <w:snapToGrid w:val="0"/>
        <w:spacing w:line="360" w:lineRule="auto"/>
        <w:ind w:left="2520"/>
        <w:contextualSpacing w:val="0"/>
        <w:rPr>
          <w:color w:val="000000"/>
        </w:rPr>
      </w:pPr>
      <w:r>
        <w:t xml:space="preserve">Determine the number of exposed contact wearing a mask (i.e.,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t_Mask</m:t>
                </m:r>
              </m:sub>
            </m:sSub>
          </m:sub>
        </m:sSub>
        <m:r>
          <w:rPr>
            <w:rFonts w:ascii="Cambria Math" w:hAnsi="Cambria Math"/>
          </w:rPr>
          <m:t>=</m:t>
        </m:r>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hAnsi="Cambria Math"/>
          </w:rPr>
          <m:t>κ</m:t>
        </m:r>
      </m:oMath>
      <w:r>
        <w:t xml:space="preserve">) and the number of exposed contact not wearing a mask (i.e.,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t_Unmask</m:t>
                </m:r>
              </m:sub>
            </m:sSub>
          </m:sub>
        </m:sSub>
        <m:r>
          <w:rPr>
            <w:rFonts w:ascii="Cambria Math" w:hAnsi="Cambria Math"/>
          </w:rPr>
          <m:t>=</m:t>
        </m:r>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hAnsi="Cambria Math"/>
          </w:rPr>
          <m:t>(1-κ)</m:t>
        </m:r>
      </m:oMath>
      <w:r w:rsidRPr="002A5E72">
        <w:rPr>
          <w:strike/>
        </w:rPr>
        <w:t xml:space="preserve"> </w:t>
      </w:r>
    </w:p>
    <w:p w14:paraId="30983548" w14:textId="77777777" w:rsidR="00A94C0A" w:rsidRPr="00B52D8D" w:rsidRDefault="00A94C0A" w:rsidP="007B2E07">
      <w:pPr>
        <w:pStyle w:val="ListParagraph"/>
        <w:numPr>
          <w:ilvl w:val="4"/>
          <w:numId w:val="4"/>
        </w:numPr>
        <w:snapToGrid w:val="0"/>
        <w:spacing w:line="360" w:lineRule="auto"/>
        <w:ind w:left="3240"/>
        <w:contextualSpacing w:val="0"/>
        <w:rPr>
          <w:color w:val="000000"/>
        </w:rPr>
      </w:pPr>
      <w:r w:rsidRPr="00D62C19">
        <w:rPr>
          <w:color w:val="000000"/>
        </w:rPr>
        <w:t xml:space="preserve">Compute </w:t>
      </w: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E</m:t>
                    </m:r>
                  </m:sub>
                </m:sSub>
              </m:e>
            </m:d>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5A40E5AB" w14:textId="77777777" w:rsidR="00A94C0A" w:rsidRPr="003C0999" w:rsidRDefault="00A94C0A" w:rsidP="007B2E07">
      <w:pPr>
        <w:pStyle w:val="ListParagraph"/>
        <w:numPr>
          <w:ilvl w:val="4"/>
          <w:numId w:val="4"/>
        </w:numPr>
        <w:snapToGrid w:val="0"/>
        <w:spacing w:line="360" w:lineRule="auto"/>
        <w:ind w:left="3240"/>
        <w:contextualSpacing w:val="0"/>
        <w:rPr>
          <w:color w:val="000000"/>
          <w:lang w:val="es-ES"/>
        </w:rPr>
      </w:pPr>
      <w:proofErr w:type="spellStart"/>
      <w:r w:rsidRPr="003C0999">
        <w:rPr>
          <w:lang w:val="es-ES"/>
        </w:rPr>
        <w:t>Calculate</w:t>
      </w:r>
      <w:proofErr w:type="spellEnd"/>
      <w:r w:rsidRPr="003C0999">
        <w:rPr>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e>
        </m:d>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m:t>
                    </m:r>
                  </m:sub>
                </m:sSub>
              </m:sub>
            </m:sSub>
          </m:sub>
        </m:sSub>
      </m:oMath>
    </w:p>
    <w:p w14:paraId="06B7BB26" w14:textId="77777777" w:rsidR="00A94C0A" w:rsidRPr="00B52D8D" w:rsidRDefault="00A94C0A" w:rsidP="007B2E07">
      <w:pPr>
        <w:pStyle w:val="ListParagraph"/>
        <w:numPr>
          <w:ilvl w:val="4"/>
          <w:numId w:val="4"/>
        </w:numPr>
        <w:snapToGrid w:val="0"/>
        <w:spacing w:line="360" w:lineRule="auto"/>
        <w:ind w:left="3240"/>
        <w:contextualSpacing w:val="0"/>
        <w:rPr>
          <w:color w:val="000000"/>
        </w:rPr>
      </w:pPr>
      <w:r w:rsidRPr="00D62C19">
        <w:rPr>
          <w:color w:val="000000"/>
        </w:rPr>
        <w:t xml:space="preserve">Compute </w:t>
      </w: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d>
          <m:dPr>
            <m:begChr m:val="["/>
            <m:endChr m:val="]"/>
            <m:ctrlPr>
              <w:rPr>
                <w:rFonts w:ascii="Cambria Math" w:eastAsiaTheme="minorEastAsia" w:hAnsi="Cambria Math"/>
                <w:i/>
              </w:rPr>
            </m:ctrlPr>
          </m:dPr>
          <m:e>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5193551B" w14:textId="77777777" w:rsidR="00A94C0A" w:rsidRPr="003C0999" w:rsidRDefault="00A94C0A" w:rsidP="007B2E07">
      <w:pPr>
        <w:pStyle w:val="ListParagraph"/>
        <w:numPr>
          <w:ilvl w:val="4"/>
          <w:numId w:val="4"/>
        </w:numPr>
        <w:snapToGrid w:val="0"/>
        <w:spacing w:line="360" w:lineRule="auto"/>
        <w:ind w:left="3240"/>
        <w:contextualSpacing w:val="0"/>
        <w:rPr>
          <w:color w:val="000000"/>
          <w:lang w:val="es-ES"/>
        </w:rPr>
      </w:pPr>
      <w:proofErr w:type="spellStart"/>
      <w:r w:rsidRPr="003C0999">
        <w:rPr>
          <w:lang w:val="es-ES"/>
        </w:rPr>
        <w:t>Calculate</w:t>
      </w:r>
      <w:proofErr w:type="spellEnd"/>
      <w:r w:rsidRPr="003C0999">
        <w:rPr>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e>
        </m:d>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m:t>
                </m:r>
                <m:r>
                  <w:rPr>
                    <w:rFonts w:ascii="Cambria Math" w:eastAsiaTheme="minorEastAsia" w:hAnsi="Cambria Math"/>
                    <w:lang w:val="es-ES"/>
                  </w:rPr>
                  <m:t>_</m:t>
                </m:r>
                <m:r>
                  <w:rPr>
                    <w:rFonts w:ascii="Cambria Math" w:eastAsiaTheme="minorEastAsia" w:hAnsi="Cambria Math"/>
                  </w:rPr>
                  <m:t>Unmask</m:t>
                </m:r>
              </m:sub>
            </m:sSub>
          </m:sub>
        </m:sSub>
      </m:oMath>
    </w:p>
    <w:p w14:paraId="1C34BE68" w14:textId="77777777" w:rsidR="00A94C0A" w:rsidRPr="003C0999" w:rsidRDefault="00A94C0A" w:rsidP="007B2E07">
      <w:pPr>
        <w:pStyle w:val="ListParagraph"/>
        <w:snapToGrid w:val="0"/>
        <w:spacing w:line="360" w:lineRule="auto"/>
        <w:ind w:left="3240"/>
        <w:contextualSpacing w:val="0"/>
        <w:rPr>
          <w:color w:val="000000"/>
          <w:lang w:val="es-ES"/>
        </w:rPr>
      </w:pPr>
    </w:p>
    <w:p w14:paraId="2E796E34" w14:textId="77777777" w:rsidR="00A94C0A" w:rsidRPr="00D62C19" w:rsidRDefault="00A94C0A" w:rsidP="007B2E07">
      <w:pPr>
        <w:pStyle w:val="ListParagraph"/>
        <w:numPr>
          <w:ilvl w:val="1"/>
          <w:numId w:val="4"/>
        </w:numPr>
        <w:snapToGrid w:val="0"/>
        <w:spacing w:line="360" w:lineRule="auto"/>
        <w:ind w:left="1080"/>
        <w:contextualSpacing w:val="0"/>
        <w:rPr>
          <w:color w:val="000000"/>
        </w:rPr>
      </w:pPr>
      <w:r>
        <w:rPr>
          <w:color w:val="000000"/>
        </w:rPr>
        <w:t xml:space="preserve">If the transmitter is not compliant in wearing a mask </w:t>
      </w:r>
    </w:p>
    <w:p w14:paraId="0385933E" w14:textId="77777777" w:rsidR="00A94C0A" w:rsidRPr="00B73A44" w:rsidRDefault="00A94C0A" w:rsidP="007B2E07">
      <w:pPr>
        <w:pStyle w:val="ListParagraph"/>
        <w:numPr>
          <w:ilvl w:val="3"/>
          <w:numId w:val="4"/>
        </w:numPr>
        <w:snapToGrid w:val="0"/>
        <w:spacing w:line="360" w:lineRule="auto"/>
        <w:ind w:left="2520"/>
        <w:contextualSpacing w:val="0"/>
        <w:rPr>
          <w:color w:val="000000"/>
        </w:rPr>
      </w:pPr>
      <w:r w:rsidRPr="00B73A44">
        <w:rPr>
          <w:color w:val="000000"/>
        </w:rPr>
        <w:t xml:space="preserve">Draw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eastAsiaTheme="minorEastAsia" w:hAnsi="Cambria Math"/>
          </w:rPr>
          <m:t>~Γ</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ρ</m:t>
                </m:r>
              </m:den>
            </m:f>
            <m:r>
              <w:rPr>
                <w:rFonts w:ascii="Cambria Math" w:eastAsiaTheme="minorEastAsia" w:hAnsi="Cambria Math"/>
              </w:rPr>
              <m:t>,ρ</m:t>
            </m:r>
          </m:e>
        </m:d>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t xml:space="preserve">. </w:t>
      </w:r>
    </w:p>
    <w:p w14:paraId="366E568A" w14:textId="77777777" w:rsidR="00A94C0A" w:rsidRPr="00160C0F" w:rsidRDefault="00A94C0A" w:rsidP="007B2E07">
      <w:pPr>
        <w:pStyle w:val="ListParagraph"/>
        <w:numPr>
          <w:ilvl w:val="3"/>
          <w:numId w:val="4"/>
        </w:numPr>
        <w:snapToGrid w:val="0"/>
        <w:spacing w:line="360" w:lineRule="auto"/>
        <w:ind w:left="2520"/>
        <w:contextualSpacing w:val="0"/>
        <w:rPr>
          <w:color w:val="000000"/>
        </w:rPr>
      </w:pPr>
      <w:r>
        <w:rPr>
          <w:color w:val="000000"/>
        </w:rPr>
        <w:t xml:space="preserve">Determine masking adherence among exposed contacts at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r>
        <w:rPr>
          <w:color w:val="000000"/>
        </w:rPr>
        <w:t xml:space="preserve"> using </w:t>
      </w:r>
      <m:oMath>
        <m:r>
          <w:rPr>
            <w:rFonts w:ascii="Cambria Math" w:hAnsi="Cambria Math"/>
            <w:color w:val="000000"/>
          </w:rPr>
          <m:t>κ~Ber</m:t>
        </m:r>
        <m:r>
          <w:rPr>
            <w:rFonts w:ascii="Cambria Math" w:hAnsi="Cambria Math"/>
          </w:rPr>
          <m:t>(</m:t>
        </m:r>
        <m:r>
          <w:rPr>
            <w:rFonts w:ascii="Cambria Math" w:hAnsi="Cambria Math"/>
            <w:color w:val="000000"/>
          </w:rPr>
          <m:t>p=</m:t>
        </m:r>
        <m:r>
          <w:rPr>
            <w:rFonts w:ascii="Cambria Math" w:eastAsiaTheme="minorEastAsia" w:hAnsi="Cambria Math"/>
          </w:rPr>
          <m:t xml:space="preserve"> σϑ)</m:t>
        </m:r>
      </m:oMath>
      <w:r>
        <w:t>.</w:t>
      </w:r>
    </w:p>
    <w:p w14:paraId="41FABBA2" w14:textId="77777777" w:rsidR="00A94C0A" w:rsidRPr="00B73A44" w:rsidRDefault="00A94C0A" w:rsidP="007B2E07">
      <w:pPr>
        <w:pStyle w:val="ListParagraph"/>
        <w:numPr>
          <w:ilvl w:val="3"/>
          <w:numId w:val="4"/>
        </w:numPr>
        <w:snapToGrid w:val="0"/>
        <w:spacing w:line="360" w:lineRule="auto"/>
        <w:ind w:left="2520"/>
        <w:contextualSpacing w:val="0"/>
        <w:rPr>
          <w:color w:val="000000"/>
        </w:rPr>
      </w:pPr>
      <w:r>
        <w:t xml:space="preserve">Determine the number of exposed contact wearing a mask (i.e.,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t_Mask</m:t>
                </m:r>
              </m:sub>
            </m:sSub>
          </m:sub>
        </m:sSub>
        <m:r>
          <w:rPr>
            <w:rFonts w:ascii="Cambria Math" w:hAnsi="Cambria Math"/>
          </w:rPr>
          <m:t>=</m:t>
        </m:r>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hAnsi="Cambria Math"/>
          </w:rPr>
          <m:t>κ</m:t>
        </m:r>
      </m:oMath>
      <w:r>
        <w:t xml:space="preserve">) and the number of exposed contact not wearing a mask (i.e.,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t_Unmask</m:t>
                </m:r>
              </m:sub>
            </m:sSub>
          </m:sub>
        </m:sSub>
        <m:r>
          <w:rPr>
            <w:rFonts w:ascii="Cambria Math" w:hAnsi="Cambria Math"/>
          </w:rPr>
          <m:t>=</m:t>
        </m:r>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hAnsi="Cambria Math"/>
          </w:rPr>
          <m:t>(1-κ)</m:t>
        </m:r>
      </m:oMath>
      <w:r w:rsidRPr="002A5E72">
        <w:rPr>
          <w:strike/>
        </w:rPr>
        <w:t xml:space="preserve"> </w:t>
      </w:r>
    </w:p>
    <w:p w14:paraId="4AFD04FA" w14:textId="77777777" w:rsidR="00A94C0A" w:rsidRPr="00B52D8D" w:rsidRDefault="00A94C0A" w:rsidP="007B2E07">
      <w:pPr>
        <w:pStyle w:val="ListParagraph"/>
        <w:numPr>
          <w:ilvl w:val="4"/>
          <w:numId w:val="4"/>
        </w:numPr>
        <w:snapToGrid w:val="0"/>
        <w:spacing w:line="360" w:lineRule="auto"/>
        <w:ind w:left="3240"/>
        <w:contextualSpacing w:val="0"/>
        <w:rPr>
          <w:color w:val="000000"/>
        </w:rPr>
      </w:pPr>
      <w:r w:rsidRPr="00D62C19">
        <w:rPr>
          <w:color w:val="000000"/>
        </w:rPr>
        <w:t xml:space="preserve">Compute </w:t>
      </w: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E</m:t>
                    </m:r>
                  </m:sub>
                </m:sSub>
              </m:e>
            </m:d>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67B4BD77" w14:textId="77777777" w:rsidR="00A94C0A" w:rsidRPr="003C0999" w:rsidRDefault="00A94C0A" w:rsidP="007B2E07">
      <w:pPr>
        <w:pStyle w:val="ListParagraph"/>
        <w:numPr>
          <w:ilvl w:val="4"/>
          <w:numId w:val="4"/>
        </w:numPr>
        <w:snapToGrid w:val="0"/>
        <w:spacing w:line="360" w:lineRule="auto"/>
        <w:ind w:left="3240"/>
        <w:contextualSpacing w:val="0"/>
        <w:rPr>
          <w:color w:val="000000"/>
          <w:lang w:val="es-ES"/>
        </w:rPr>
      </w:pPr>
      <w:proofErr w:type="spellStart"/>
      <w:r w:rsidRPr="003C0999">
        <w:rPr>
          <w:lang w:val="es-ES"/>
        </w:rPr>
        <w:t>Calculate</w:t>
      </w:r>
      <w:proofErr w:type="spellEnd"/>
      <w:r w:rsidRPr="003C0999">
        <w:rPr>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e>
        </m:d>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m:t>
                    </m:r>
                  </m:sub>
                </m:sSub>
              </m:sub>
            </m:sSub>
          </m:sub>
        </m:sSub>
      </m:oMath>
    </w:p>
    <w:p w14:paraId="1BD5657C" w14:textId="77777777" w:rsidR="00A94C0A" w:rsidRPr="00B52D8D" w:rsidRDefault="00A94C0A" w:rsidP="007B2E07">
      <w:pPr>
        <w:pStyle w:val="ListParagraph"/>
        <w:numPr>
          <w:ilvl w:val="4"/>
          <w:numId w:val="4"/>
        </w:numPr>
        <w:snapToGrid w:val="0"/>
        <w:spacing w:line="360" w:lineRule="auto"/>
        <w:ind w:left="3240"/>
        <w:contextualSpacing w:val="0"/>
        <w:rPr>
          <w:color w:val="000000"/>
        </w:rPr>
      </w:pPr>
      <w:r w:rsidRPr="00D62C19">
        <w:rPr>
          <w:color w:val="000000"/>
        </w:rPr>
        <w:t xml:space="preserve">Compute </w:t>
      </w:r>
      <m:oMath>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d>
          <m:dPr>
            <m:begChr m:val="["/>
            <m:endChr m:val="]"/>
            <m:ctrlPr>
              <w:rPr>
                <w:rFonts w:ascii="Cambria Math" w:eastAsiaTheme="minorEastAsia" w:hAnsi="Cambria Math"/>
                <w:i/>
              </w:rPr>
            </m:ctrlPr>
          </m:dPr>
          <m:e>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64A3050F" w14:textId="77777777" w:rsidR="00A94C0A" w:rsidRPr="003C0999" w:rsidRDefault="00A94C0A" w:rsidP="007B2E07">
      <w:pPr>
        <w:pStyle w:val="ListParagraph"/>
        <w:numPr>
          <w:ilvl w:val="4"/>
          <w:numId w:val="4"/>
        </w:numPr>
        <w:snapToGrid w:val="0"/>
        <w:spacing w:line="360" w:lineRule="auto"/>
        <w:ind w:left="3240"/>
        <w:contextualSpacing w:val="0"/>
        <w:rPr>
          <w:color w:val="000000"/>
          <w:lang w:val="es-ES"/>
        </w:rPr>
      </w:pPr>
      <w:proofErr w:type="spellStart"/>
      <w:r w:rsidRPr="003C0999">
        <w:rPr>
          <w:lang w:val="es-ES"/>
        </w:rPr>
        <w:t>Calculate</w:t>
      </w:r>
      <w:proofErr w:type="spellEnd"/>
      <w:r w:rsidRPr="003C0999">
        <w:rPr>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e>
        </m:d>
        <m:sSub>
          <m:sSubPr>
            <m:ctrlPr>
              <w:rPr>
                <w:rFonts w:ascii="Cambria Math" w:eastAsiaTheme="minorEastAsia" w:hAnsi="Cambria Math"/>
                <w:i/>
              </w:rPr>
            </m:ctrlPr>
          </m:sSubPr>
          <m:e>
            <m:r>
              <w:rPr>
                <w:rFonts w:ascii="Cambria Math" w:eastAsiaTheme="minorEastAsia" w:hAnsi="Cambria Math"/>
              </w:rPr>
              <m:t>P</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eastAsiaTheme="minorEastAsia" w:hAnsi="Cambria Math"/>
                  </w:rPr>
                  <m:t>t</m:t>
                </m:r>
                <m:r>
                  <w:rPr>
                    <w:rFonts w:ascii="Cambria Math" w:eastAsiaTheme="minorEastAsia" w:hAnsi="Cambria Math"/>
                    <w:lang w:val="es-ES"/>
                  </w:rPr>
                  <m:t>_</m:t>
                </m:r>
                <m:r>
                  <w:rPr>
                    <w:rFonts w:ascii="Cambria Math" w:eastAsiaTheme="minorEastAsia" w:hAnsi="Cambria Math"/>
                  </w:rPr>
                  <m:t>Unmask</m:t>
                </m:r>
              </m:sub>
            </m:sSub>
          </m:sub>
        </m:sSub>
      </m:oMath>
    </w:p>
    <w:p w14:paraId="5D06076F" w14:textId="77777777" w:rsidR="00A94C0A" w:rsidRPr="003C0999" w:rsidRDefault="00A94C0A" w:rsidP="007B2E07">
      <w:pPr>
        <w:pStyle w:val="ListParagraph"/>
        <w:snapToGrid w:val="0"/>
        <w:spacing w:line="360" w:lineRule="auto"/>
        <w:ind w:left="3240"/>
        <w:contextualSpacing w:val="0"/>
        <w:rPr>
          <w:color w:val="000000"/>
          <w:lang w:val="es-ES"/>
        </w:rPr>
      </w:pPr>
    </w:p>
    <w:p w14:paraId="4B58183F" w14:textId="77777777" w:rsidR="00A94C0A" w:rsidRPr="003C0999" w:rsidRDefault="00A94C0A" w:rsidP="007B2E07">
      <w:pPr>
        <w:pStyle w:val="ListParagraph"/>
        <w:numPr>
          <w:ilvl w:val="1"/>
          <w:numId w:val="4"/>
        </w:numPr>
        <w:snapToGrid w:val="0"/>
        <w:spacing w:line="360" w:lineRule="auto"/>
        <w:contextualSpacing w:val="0"/>
        <w:rPr>
          <w:color w:val="000000"/>
          <w:lang w:val="es-ES"/>
        </w:rPr>
      </w:pPr>
      <w:proofErr w:type="spellStart"/>
      <w:r w:rsidRPr="003C0999">
        <w:rPr>
          <w:color w:val="000000"/>
          <w:lang w:val="es-ES"/>
        </w:rPr>
        <w:t>Calculate</w:t>
      </w:r>
      <w:proofErr w:type="spellEnd"/>
      <w:r w:rsidRPr="003C0999">
        <w:rPr>
          <w:color w:val="000000"/>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r>
          <w:rPr>
            <w:rFonts w:ascii="Cambria Math" w:eastAsiaTheme="minorEastAsia" w:hAnsi="Cambria Math"/>
            <w:lang w:val="es-ES"/>
          </w:rPr>
          <m:t>=</m:t>
        </m:r>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UnmasktoUnmask</m:t>
                    </m:r>
                  </m:sub>
                </m:sSub>
              </m:sub>
            </m:sSub>
          </m:sub>
        </m:sSub>
        <m:r>
          <w:rPr>
            <w:rFonts w:ascii="Cambria Math" w:eastAsiaTheme="minorEastAsia" w:hAnsi="Cambria Math"/>
            <w:lang w:val="es-ES"/>
          </w:rPr>
          <m:t>+</m:t>
        </m:r>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UnmasktoMask</m:t>
                    </m:r>
                  </m:sub>
                </m:sSub>
              </m:sub>
            </m:sSub>
          </m:sub>
        </m:sSub>
        <m:r>
          <w:rPr>
            <w:rFonts w:ascii="Cambria Math" w:eastAsiaTheme="minorEastAsia" w:hAnsi="Cambria Math"/>
            <w:lang w:val="es-ES"/>
          </w:rPr>
          <m:t>+</m:t>
        </m:r>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MasktoUnmask</m:t>
                    </m:r>
                  </m:sub>
                </m:sSub>
              </m:sub>
            </m:sSub>
          </m:sub>
        </m:sSub>
        <m:r>
          <w:rPr>
            <w:rFonts w:ascii="Cambria Math" w:eastAsiaTheme="minorEastAsia" w:hAnsi="Cambria Math"/>
            <w:lang w:val="es-ES"/>
          </w:rPr>
          <m:t>+</m:t>
        </m:r>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MasktoMask</m:t>
                    </m:r>
                  </m:sub>
                </m:sSub>
              </m:sub>
            </m:sSub>
          </m:sub>
        </m:sSub>
      </m:oMath>
      <w:r w:rsidRPr="003C0999">
        <w:rPr>
          <w:lang w:val="es-ES"/>
        </w:rPr>
        <w:t>.</w:t>
      </w:r>
    </w:p>
    <w:p w14:paraId="0DA70A72" w14:textId="77777777" w:rsidR="00A94C0A" w:rsidRPr="003C0999" w:rsidRDefault="00A94C0A" w:rsidP="007B2E07">
      <w:pPr>
        <w:pStyle w:val="ListParagraph"/>
        <w:numPr>
          <w:ilvl w:val="0"/>
          <w:numId w:val="4"/>
        </w:numPr>
        <w:snapToGrid w:val="0"/>
        <w:spacing w:line="360" w:lineRule="auto"/>
        <w:ind w:left="360"/>
        <w:contextualSpacing w:val="0"/>
        <w:rPr>
          <w:color w:val="000000"/>
          <w:lang w:val="es-ES"/>
        </w:rPr>
      </w:pPr>
      <w:proofErr w:type="spellStart"/>
      <w:r w:rsidRPr="003C0999">
        <w:rPr>
          <w:color w:val="000000"/>
          <w:lang w:val="es-ES"/>
        </w:rPr>
        <w:t>Calculate</w:t>
      </w:r>
      <w:proofErr w:type="spellEnd"/>
      <w:r w:rsidRPr="003C0999">
        <w:rPr>
          <w:color w:val="000000"/>
          <w:lang w:val="es-ES"/>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lang w:val="es-ES"/>
              </w:rPr>
              <m:t>e</m:t>
            </m:r>
          </m:sub>
        </m:sSub>
        <m:r>
          <w:rPr>
            <w:rFonts w:ascii="Cambria Math" w:eastAsiaTheme="minorEastAsia" w:hAnsi="Cambria Math"/>
            <w:lang w:val="es-ES"/>
          </w:rPr>
          <m:t>=</m:t>
        </m:r>
        <m:nary>
          <m:naryPr>
            <m:chr m:val="∑"/>
            <m:supHide m:val="1"/>
            <m:ctrlPr>
              <w:rPr>
                <w:rFonts w:ascii="Cambria Math" w:eastAsiaTheme="minorEastAsia" w:hAnsi="Cambria Math"/>
                <w:i/>
              </w:rPr>
            </m:ctrlPr>
          </m:naryPr>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up/>
          <m:e>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e>
        </m:nary>
      </m:oMath>
      <w:r w:rsidRPr="003C0999">
        <w:rPr>
          <w:lang w:val="es-ES"/>
        </w:rPr>
        <w:t>.</w:t>
      </w:r>
    </w:p>
    <w:p w14:paraId="5C487DEC" w14:textId="77777777" w:rsidR="00A94C0A" w:rsidRDefault="00A94C0A" w:rsidP="007B2E07">
      <w:pPr>
        <w:pStyle w:val="ListParagraph"/>
        <w:numPr>
          <w:ilvl w:val="0"/>
          <w:numId w:val="4"/>
        </w:numPr>
        <w:snapToGrid w:val="0"/>
        <w:spacing w:line="360" w:lineRule="auto"/>
        <w:ind w:left="360"/>
        <w:contextualSpacing w:val="0"/>
        <w:rPr>
          <w:color w:val="000000"/>
        </w:rPr>
      </w:pPr>
      <w:r>
        <w:rPr>
          <w:color w:val="000000"/>
        </w:rPr>
        <w:t xml:space="preserve">Repeat Steps </w:t>
      </w:r>
      <w:r w:rsidRPr="006B200F">
        <w:rPr>
          <w:b/>
          <w:bCs/>
          <w:color w:val="000000"/>
        </w:rPr>
        <w:t>1</w:t>
      </w:r>
      <w:r>
        <w:rPr>
          <w:color w:val="000000"/>
        </w:rPr>
        <w:t xml:space="preserve"> to </w:t>
      </w:r>
      <w:r w:rsidRPr="002A5E72">
        <w:rPr>
          <w:b/>
          <w:bCs/>
          <w:color w:val="000000"/>
        </w:rPr>
        <w:t>4</w:t>
      </w:r>
      <w:r>
        <w:rPr>
          <w:color w:val="000000"/>
        </w:rPr>
        <w:t xml:space="preserve"> to estimate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0</m:t>
            </m:r>
          </m:sub>
        </m:sSub>
      </m:oMath>
      <w:r>
        <w:rPr>
          <w:color w:val="000000"/>
        </w:rPr>
        <w:t xml:space="preserve"> for 3,000 infected individuals (transmitters). R</w:t>
      </w:r>
      <w:r>
        <w:rPr>
          <w:color w:val="000000"/>
          <w:vertAlign w:val="subscript"/>
        </w:rPr>
        <w:t>e</w:t>
      </w:r>
      <w:r>
        <w:rPr>
          <w:color w:val="000000"/>
        </w:rPr>
        <w:t xml:space="preserve"> can then be calculating by taking the mean of 3,000 individual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0</m:t>
            </m:r>
          </m:sub>
        </m:sSub>
      </m:oMath>
      <w:r>
        <w:rPr>
          <w:color w:val="000000"/>
        </w:rPr>
        <w:t xml:space="preserve"> values.</w:t>
      </w:r>
    </w:p>
    <w:p w14:paraId="64139DA6" w14:textId="77777777" w:rsidR="00A94C0A" w:rsidRDefault="00A94C0A" w:rsidP="007B2E07">
      <w:pPr>
        <w:snapToGrid w:val="0"/>
        <w:spacing w:line="360" w:lineRule="auto"/>
        <w:rPr>
          <w:rFonts w:eastAsiaTheme="minorEastAsia"/>
          <w:b/>
          <w:i/>
        </w:rPr>
      </w:pPr>
    </w:p>
    <w:p w14:paraId="5F93DE1E" w14:textId="77777777" w:rsidR="00A94C0A" w:rsidRPr="003B00A3" w:rsidRDefault="00A94C0A" w:rsidP="007B2E07">
      <w:pPr>
        <w:spacing w:line="360" w:lineRule="auto"/>
        <w:jc w:val="both"/>
        <w:rPr>
          <w:rFonts w:eastAsiaTheme="minorEastAsia"/>
        </w:rPr>
      </w:pPr>
      <w:r>
        <w:rPr>
          <w:rFonts w:eastAsiaTheme="minorEastAsia"/>
          <w:b/>
          <w:i/>
        </w:rPr>
        <w:t>Epidemiological modeling and analysis</w:t>
      </w:r>
      <w:r>
        <w:rPr>
          <w:rFonts w:eastAsiaTheme="minorEastAsia"/>
        </w:rPr>
        <w:t xml:space="preserve">. We estimated the time varying effective reproductive </w:t>
      </w:r>
      <w:r>
        <w:t xml:space="preserve">number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rPr>
          <w:rFonts w:eastAsiaTheme="minorEastAsia"/>
        </w:rPr>
        <w:t xml:space="preserve"> in King County, Washington from daily case, hospitalization, and death data provided under a data use agreement by the Washington State Department of Health as described elsewhere </w:t>
      </w:r>
      <w:r>
        <w:rPr>
          <w:rFonts w:eastAsiaTheme="minorEastAsia"/>
        </w:rPr>
        <w:fldChar w:fldCharType="begin"/>
      </w:r>
      <w:r>
        <w:rPr>
          <w:rFonts w:eastAsiaTheme="minorEastAsia"/>
        </w:rPr>
        <w:instrText xml:space="preserve"> ADDIN EN.CITE &lt;EndNote&gt;&lt;Cite&gt;&lt;Author&gt;https://covid.idmod.org/data/One_state_many_outbreaks.pdf&lt;/Author&gt;&lt;IDText&gt;Thakkar, N and Famulare, M. One state, many outbreaks: a transmission modeling perspective on current COVID-19 trends in King, Pierce, and Yakima counties (2020). &lt;/IDText&gt;&lt;DisplayText&gt;(https://covid.idmod.org/data/One_state_many_outbreaks.pdf)&lt;/DisplayText&gt;&lt;record&gt;&lt;titles&gt;&lt;title&gt;Thakkar, N and Famulare, M. One state, many outbreaks: a transmission modeling perspective on current COVID-19 trends in King, Pierce, and Yakima counties (2020). &lt;/title&gt;&lt;/titles&gt;&lt;contributors&gt;&lt;authors&gt;&lt;author&gt;https://covid.idmod.org/data/One_state_many_outbreaks.pdf&lt;/author&gt;&lt;/authors&gt;&lt;/contributors&gt;&lt;added-date format="utc"&gt;1604382803&lt;/added-date&gt;&lt;ref-type name="Web Page"&gt;12&lt;/ref-type&gt;&lt;rec-number&gt;730&lt;/rec-number&gt;&lt;last-updated-date format="utc"&gt;1604382878&lt;/last-updated-date&gt;&lt;/record&gt;&lt;/Cite&gt;&lt;/EndNote&gt;</w:instrText>
      </w:r>
      <w:r>
        <w:rPr>
          <w:rFonts w:eastAsiaTheme="minorEastAsia"/>
        </w:rPr>
        <w:fldChar w:fldCharType="separate"/>
      </w:r>
      <w:r>
        <w:rPr>
          <w:rFonts w:eastAsiaTheme="minorEastAsia"/>
          <w:noProof/>
        </w:rPr>
        <w:t>(https://covid.idmod.org/data/One_state_many_outbreaks.pdf)</w:t>
      </w:r>
      <w:r>
        <w:rPr>
          <w:rFonts w:eastAsiaTheme="minorEastAsia"/>
        </w:rPr>
        <w:fldChar w:fldCharType="end"/>
      </w:r>
      <w:r>
        <w:rPr>
          <w:rFonts w:eastAsiaTheme="minorEastAsia"/>
        </w:rPr>
        <w:t>. W</w:t>
      </w:r>
      <w:r>
        <w:t xml:space="preserve">e then performed a regression analysis to estimate the contributions to the effective reproductive number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t xml:space="preserve"> over time of mobility (</w:t>
      </w:r>
      <m:oMath>
        <m:sSub>
          <m:sSubPr>
            <m:ctrlPr>
              <w:rPr>
                <w:rFonts w:ascii="Cambria Math" w:hAnsi="Cambria Math"/>
                <w:i/>
              </w:rPr>
            </m:ctrlPr>
          </m:sSubPr>
          <m:e>
            <m:r>
              <w:rPr>
                <w:rFonts w:ascii="Cambria Math" w:hAnsi="Cambria Math"/>
              </w:rPr>
              <m:t>f</m:t>
            </m:r>
          </m:e>
          <m:sub>
            <m:r>
              <w:rPr>
                <w:rFonts w:ascii="Cambria Math" w:hAnsi="Cambria Math"/>
              </w:rPr>
              <m:t>h</m:t>
            </m:r>
          </m:sub>
        </m:sSub>
      </m:oMath>
      <w:r>
        <w:rPr>
          <w:rFonts w:eastAsiaTheme="minorEastAsia"/>
        </w:rPr>
        <w:t xml:space="preserve">, </w:t>
      </w:r>
      <w:r>
        <w:t>the fraction staying at home all day above baseline</w:t>
      </w:r>
      <w:r>
        <w:rPr>
          <w:rFonts w:eastAsiaTheme="minorEastAsia"/>
        </w:rPr>
        <w:t>), mask wearing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M</m:t>
            </m:r>
          </m:sub>
        </m:sSub>
      </m:oMath>
      <w:r>
        <w:rPr>
          <w:rFonts w:eastAsiaTheme="minorEastAsia"/>
        </w:rPr>
        <w:t xml:space="preserve">, the fraction who report always wearing a mask when outside the home), the estimated fraction of the population not yet infected (susceptible fraction), and a time varying IID random effect to capture unexplained variation </w:t>
      </w:r>
      <m:oMath>
        <m:r>
          <w:rPr>
            <w:rFonts w:ascii="Cambria Math" w:eastAsiaTheme="minorEastAsia" w:hAnsi="Cambria Math"/>
          </w:rPr>
          <m:t>ζ</m:t>
        </m:r>
      </m:oMath>
      <w:r>
        <w:rPr>
          <w:rFonts w:eastAsiaTheme="minorEastAsia"/>
        </w:rPr>
        <w:t xml:space="preserve">.  </w:t>
      </w:r>
    </w:p>
    <w:p w14:paraId="46BD058E" w14:textId="77777777" w:rsidR="00A94C0A" w:rsidRDefault="00A94C0A" w:rsidP="007B2E07">
      <w:pPr>
        <w:spacing w:line="360" w:lineRule="auto"/>
        <w:jc w:val="both"/>
      </w:pPr>
    </w:p>
    <w:p w14:paraId="5C8AFE90" w14:textId="77777777" w:rsidR="00A94C0A" w:rsidRDefault="006329B8" w:rsidP="007B2E07">
      <w:pPr>
        <w:spacing w:line="360" w:lineRule="auto"/>
        <w:jc w:val="both"/>
      </w:pPr>
      <m:oMath>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e</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h</m:t>
                </m:r>
              </m:sub>
            </m:sSub>
            <m:r>
              <w:rPr>
                <w:rFonts w:ascii="Cambria Math" w:hAnsi="Cambria Math"/>
              </w:rPr>
              <m:t>)</m:t>
            </m:r>
          </m:e>
        </m:func>
        <m: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m:t>
                    </m:r>
                  </m:e>
                  <m:sub>
                    <m:r>
                      <w:rPr>
                        <w:rFonts w:ascii="Cambria Math" w:hAnsi="Cambria Math"/>
                      </w:rPr>
                      <m:t>M</m:t>
                    </m:r>
                  </m:sub>
                </m:sSub>
              </m:e>
            </m:d>
          </m:e>
        </m:func>
        <m:r>
          <w:rPr>
            <w:rFonts w:ascii="Cambria Math" w:eastAsiaTheme="minorEastAsia" w:hAnsi="Cambria Math"/>
          </w:rPr>
          <m:t>+A</m:t>
        </m:r>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ln</m:t>
                </m:r>
              </m:fName>
              <m:e>
                <m:r>
                  <w:rPr>
                    <w:rFonts w:ascii="Cambria Math" w:eastAsiaTheme="minorEastAsia" w:hAnsi="Cambria Math"/>
                  </w:rPr>
                  <m:t>S</m:t>
                </m:r>
              </m:e>
            </m:func>
          </m:e>
        </m:d>
        <m:r>
          <w:rPr>
            <w:rFonts w:ascii="Cambria Math" w:eastAsiaTheme="minorEastAsia" w:hAnsi="Cambria Math"/>
          </w:rPr>
          <m:t>+ζ</m:t>
        </m:r>
      </m:oMath>
      <w:r w:rsidR="00A94C0A">
        <w:rPr>
          <w:rFonts w:eastAsiaTheme="minorEastAsia"/>
        </w:rPr>
        <w:t xml:space="preserve"> </w:t>
      </w:r>
      <w:r w:rsidR="00A94C0A">
        <w:rPr>
          <w:rFonts w:eastAsiaTheme="minorEastAsia"/>
        </w:rPr>
        <w:tab/>
      </w:r>
      <w:r w:rsidR="00A94C0A">
        <w:rPr>
          <w:rFonts w:eastAsiaTheme="minorEastAsia"/>
        </w:rPr>
        <w:tab/>
      </w:r>
      <w:r w:rsidR="00A94C0A">
        <w:rPr>
          <w:rFonts w:eastAsiaTheme="minorEastAsia"/>
        </w:rPr>
        <w:tab/>
      </w:r>
      <w:r w:rsidR="00A94C0A">
        <w:rPr>
          <w:rFonts w:eastAsiaTheme="minorEastAsia"/>
        </w:rPr>
        <w:tab/>
      </w:r>
      <w:r w:rsidR="00A94C0A">
        <w:rPr>
          <w:rFonts w:eastAsiaTheme="minorEastAsia"/>
        </w:rPr>
        <w:tab/>
      </w:r>
      <w:r w:rsidR="00A94C0A">
        <w:rPr>
          <w:rFonts w:eastAsiaTheme="minorEastAsia"/>
        </w:rPr>
        <w:tab/>
        <w:t>(4)</w:t>
      </w:r>
    </w:p>
    <w:p w14:paraId="5B54BC51" w14:textId="77777777" w:rsidR="00A94C0A" w:rsidRDefault="00A94C0A" w:rsidP="007B2E07">
      <w:pPr>
        <w:spacing w:line="360" w:lineRule="auto"/>
        <w:jc w:val="both"/>
      </w:pPr>
    </w:p>
    <w:p w14:paraId="5CC95FBE" w14:textId="77777777" w:rsidR="00A94C0A" w:rsidRDefault="00A94C0A" w:rsidP="007B2E07">
      <w:pPr>
        <w:spacing w:line="360" w:lineRule="auto"/>
        <w:jc w:val="both"/>
        <w:rPr>
          <w:rFonts w:eastAsiaTheme="minorEastAsia"/>
        </w:rPr>
      </w:pPr>
      <w:r>
        <w:t xml:space="preserve">The regression model is then used to estimate what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rPr>
          <w:rFonts w:eastAsiaTheme="minorEastAsia"/>
        </w:rPr>
        <w:t xml:space="preserve"> would be under the observed mobility trends but in the absence of masks</w:t>
      </w:r>
      <w:r>
        <w:t xml:space="preserve"> (</w:t>
      </w:r>
      <m:oMath>
        <m:sSub>
          <m:sSubPr>
            <m:ctrlPr>
              <w:rPr>
                <w:rFonts w:ascii="Cambria Math" w:hAnsi="Cambria Math"/>
                <w:i/>
              </w:rPr>
            </m:ctrlPr>
          </m:sSubPr>
          <m:e>
            <m:r>
              <w:rPr>
                <w:rFonts w:ascii="Cambria Math" w:hAnsi="Cambria Math"/>
              </w:rPr>
              <m:t>f</m:t>
            </m:r>
          </m:e>
          <m:sub>
            <m:r>
              <w:rPr>
                <w:rFonts w:ascii="Cambria Math" w:hAnsi="Cambria Math"/>
              </w:rPr>
              <m:t>M</m:t>
            </m:r>
          </m:sub>
        </m:sSub>
      </m:oMath>
      <w:r>
        <w:rPr>
          <w:rFonts w:eastAsiaTheme="minorEastAsia"/>
        </w:rPr>
        <w:t xml:space="preserve">=0), and that is compared to the estimate with both mobility trends and mask usage.  Mask survey data, mobility changes, and the negligible impact of declining susceptibility do not completely capture the variation in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rPr>
          <w:rFonts w:eastAsiaTheme="minorEastAsia"/>
        </w:rPr>
        <w:t xml:space="preserve"> summarized by the random effects which may be due to specific workplace and social gathering behavior not represented by these county-scale metrics.</w:t>
      </w:r>
    </w:p>
    <w:p w14:paraId="346AE094" w14:textId="77777777" w:rsidR="00A94C0A" w:rsidRDefault="00A94C0A" w:rsidP="007B2E07">
      <w:pPr>
        <w:spacing w:line="360" w:lineRule="auto"/>
        <w:jc w:val="both"/>
        <w:rPr>
          <w:rFonts w:eastAsiaTheme="minorEastAsia"/>
        </w:rPr>
      </w:pPr>
      <w:r>
        <w:rPr>
          <w:rFonts w:eastAsiaTheme="minorEastAsia"/>
        </w:rPr>
        <w:tab/>
        <w:t>For our measure of overall mobility changes, we use the “percent at home above baseline” metric from</w:t>
      </w:r>
      <w:bookmarkStart w:id="0" w:name="_GoBack"/>
      <w:bookmarkEnd w:id="0"/>
      <w:r>
        <w:rPr>
          <w:rFonts w:eastAsiaTheme="minorEastAsia"/>
        </w:rPr>
        <w:t xml:space="preserve"> Google </w:t>
      </w:r>
      <w:r>
        <w:rPr>
          <w:rFonts w:eastAsiaTheme="minorEastAsia"/>
        </w:rPr>
        <w:fldChar w:fldCharType="begin"/>
      </w:r>
      <w:r>
        <w:rPr>
          <w:rFonts w:eastAsiaTheme="minorEastAsia"/>
        </w:rPr>
        <w:instrText xml:space="preserve"> ADDIN EN.CITE &lt;EndNote&gt;&lt;Cite&gt;&lt;Author&gt;https://www.google.com/covid19/mobility&lt;/Author&gt;&lt;IDText&gt;Google COVID-19 Community Mobility Reports&lt;/IDText&gt;&lt;DisplayText&gt;(https://www.google.com/covid19/mobility)&lt;/DisplayText&gt;&lt;record&gt;&lt;titles&gt;&lt;title&gt;&lt;style face="italic" font="default" size="100%"&gt;Google COVID-19 Community Mobility Reports&lt;/style&gt;&lt;/title&gt;&lt;/titles&gt;&lt;contributors&gt;&lt;authors&gt;&lt;author&gt;https://www.google.com/covid19/mobility&lt;/author&gt;&lt;/authors&gt;&lt;/contributors&gt;&lt;added-date format="utc"&gt;1604382549&lt;/added-date&gt;&lt;ref-type name="Web Page"&gt;12&lt;/ref-type&gt;&lt;rec-number&gt;728&lt;/rec-number&gt;&lt;last-updated-date format="utc"&gt;1604382651&lt;/last-updated-date&gt;&lt;/record&gt;&lt;/Cite&gt;&lt;/EndNote&gt;</w:instrText>
      </w:r>
      <w:r>
        <w:rPr>
          <w:rFonts w:eastAsiaTheme="minorEastAsia"/>
        </w:rPr>
        <w:fldChar w:fldCharType="separate"/>
      </w:r>
      <w:r>
        <w:rPr>
          <w:rFonts w:eastAsiaTheme="minorEastAsia"/>
          <w:noProof/>
        </w:rPr>
        <w:t>(https://www.google.com/covid19/mobility)</w:t>
      </w:r>
      <w:r>
        <w:rPr>
          <w:rFonts w:eastAsiaTheme="minorEastAsia"/>
        </w:rPr>
        <w:fldChar w:fldCharType="end"/>
      </w:r>
      <w:r>
        <w:rPr>
          <w:rFonts w:eastAsiaTheme="minorEastAsia"/>
        </w:rPr>
        <w:t xml:space="preserve">, and results were largely insensitive to the mobility metric chosen among options from multiple providers. The fraction susceptible is estimated alongside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rPr>
          <w:rFonts w:eastAsiaTheme="minorEastAsia"/>
        </w:rPr>
        <w:t xml:space="preserve"> and has a negligible impact on this analysis with &gt;90</w:t>
      </w:r>
      <w:proofErr w:type="gramStart"/>
      <w:r>
        <w:rPr>
          <w:rFonts w:eastAsiaTheme="minorEastAsia"/>
        </w:rPr>
        <w:t>%  of</w:t>
      </w:r>
      <w:proofErr w:type="gramEnd"/>
      <w:r>
        <w:rPr>
          <w:rFonts w:eastAsiaTheme="minorEastAsia"/>
        </w:rPr>
        <w:t xml:space="preserve"> the King County population estimated to be as yet uninfected at the time of the analysis. For mask usage over time, we used the daily self-selected survey data from the greater Seattle Coronavirus Assessment Network (SCAN) </w:t>
      </w:r>
      <w:r>
        <w:rPr>
          <w:rFonts w:eastAsiaTheme="minorEastAsia"/>
        </w:rPr>
        <w:fldChar w:fldCharType="begin"/>
      </w:r>
      <w:r>
        <w:rPr>
          <w:rFonts w:eastAsiaTheme="minorEastAsia"/>
        </w:rPr>
        <w:instrText xml:space="preserve"> ADDIN EN.CITE &lt;EndNote&gt;&lt;Cite&gt;&lt;Author&gt;https://publichealthinsider.com/wp-content/uploads/2020/08/8.3-SCAN-Technical-Report-3_FINAL_CLEAN.pdf&lt;/Author&gt;&lt;IDText&gt;Roy Burstein et al.     SCAN Data Results and Technical Report #3 (2020) &lt;/IDText&gt;&lt;DisplayText&gt;(https://publichealthinsider.com/wp-content/uploads/2020/08/8.3-SCAN-Technical-Report-3_FINAL_CLEAN.pdf)&lt;/DisplayText&gt;&lt;record&gt;&lt;titles&gt;&lt;title&gt;Roy Burstein et al.     SCAN Data Results and Technical Report #3 (2020) &lt;/title&gt;&lt;/titles&gt;&lt;contributors&gt;&lt;authors&gt;&lt;author&gt;https://publichealthinsider.com/wp-content/uploads/2020/08/8.3-SCAN-Technical-Report-3_FINAL_CLEAN.pdf&lt;/author&gt;&lt;/authors&gt;&lt;/contributors&gt;&lt;added-date format="utc"&gt;1604382715&lt;/added-date&gt;&lt;ref-type name="Web Page"&gt;12&lt;/ref-type&gt;&lt;rec-number&gt;729&lt;/rec-number&gt;&lt;last-updated-date format="utc"&gt;1604382743&lt;/last-updated-date&gt;&lt;/record&gt;&lt;/Cite&gt;&lt;/EndNote&gt;</w:instrText>
      </w:r>
      <w:r>
        <w:rPr>
          <w:rFonts w:eastAsiaTheme="minorEastAsia"/>
        </w:rPr>
        <w:fldChar w:fldCharType="separate"/>
      </w:r>
      <w:r>
        <w:rPr>
          <w:rFonts w:eastAsiaTheme="minorEastAsia"/>
          <w:noProof/>
        </w:rPr>
        <w:t>(https://publichealthinsider.com/wp-content/uploads/2020/08/8.3-SCAN-Technical-Report-3_FINAL_CLEAN.pdf)</w:t>
      </w:r>
      <w:r>
        <w:rPr>
          <w:rFonts w:eastAsiaTheme="minorEastAsia"/>
        </w:rPr>
        <w:fldChar w:fldCharType="end"/>
      </w:r>
      <w:r>
        <w:rPr>
          <w:rFonts w:eastAsiaTheme="minorEastAsia"/>
        </w:rPr>
        <w:t xml:space="preserve">. This data is uniquely useful because the survey has been running daily since May 7, and so catches trends not available in any other surveys known to us.  However, the self-selected population is at slightly lower risk than a representative sample from the region. For the mask survey question, we find that the SCAN “always mask outside the home” corresponds closely to the Delphi </w:t>
      </w:r>
      <w:proofErr w:type="spellStart"/>
      <w:r>
        <w:rPr>
          <w:rFonts w:eastAsiaTheme="minorEastAsia"/>
        </w:rPr>
        <w:t>COVIDCast</w:t>
      </w:r>
      <w:proofErr w:type="spellEnd"/>
      <w:r>
        <w:rPr>
          <w:rFonts w:eastAsiaTheme="minorEastAsia"/>
        </w:rPr>
        <w:t xml:space="preserve"> weighted representative survey “sometimes/always mask” response in the month of overlap </w:t>
      </w:r>
      <w:r>
        <w:rPr>
          <w:rFonts w:eastAsiaTheme="minorEastAsia"/>
        </w:rPr>
        <w:fldChar w:fldCharType="begin"/>
      </w:r>
      <w:r>
        <w:rPr>
          <w:rFonts w:eastAsiaTheme="minorEastAsia"/>
        </w:rPr>
        <w:instrText xml:space="preserve"> ADDIN EN.CITE &lt;EndNote&gt;&lt;Cite&gt;&lt;Author&gt;https://delphi.cmu.edu/blog/2020/10/12/new-and-improved-covid-symptom-survey-tracks-testing-and-mask-wearing/)&lt;/Author&gt;&lt;DisplayText&gt;(https://delphi.cmu.edu/blog/2020/10/12/new-and-improved-covid-symptom-survey-tracks-testing-and-mask-wearing/))&lt;/DisplayText&gt;&lt;record&gt;&lt;contributors&gt;&lt;authors&gt;&lt;author&gt;https://delphi.cmu.edu/blog/2020/10/12/new-and-improved-covid-symptom-survey-tracks-testing-and-mask-wearing/)&lt;/author&gt;&lt;/authors&gt;&lt;/contributors&gt;&lt;added-date format="utc"&gt;1604383120&lt;/added-date&gt;&lt;ref-type name="Web Page"&gt;12&lt;/ref-type&gt;&lt;rec-number&gt;731&lt;/rec-number&gt;&lt;last-updated-date format="utc"&gt;1604383134&lt;/last-updated-date&gt;&lt;/record&gt;&lt;/Cite&gt;&lt;/EndNote&gt;</w:instrText>
      </w:r>
      <w:r>
        <w:rPr>
          <w:rFonts w:eastAsiaTheme="minorEastAsia"/>
        </w:rPr>
        <w:fldChar w:fldCharType="separate"/>
      </w:r>
      <w:r>
        <w:rPr>
          <w:rFonts w:eastAsiaTheme="minorEastAsia"/>
          <w:noProof/>
        </w:rPr>
        <w:t>(https://delphi.cmu.edu/blog/2020/10/12/new-and-improved-covid-symptom-survey-tracks-testing-and-mask-wearing/))</w:t>
      </w:r>
      <w:r>
        <w:rPr>
          <w:rFonts w:eastAsiaTheme="minorEastAsia"/>
        </w:rPr>
        <w:fldChar w:fldCharType="end"/>
      </w:r>
      <w:r>
        <w:rPr>
          <w:rFonts w:eastAsiaTheme="minorEastAsia"/>
        </w:rPr>
        <w:t xml:space="preserve">. To estimate mask coverage prior to the survey start on May 7, we assume linear interpolation in the logit space from 1% coverage on March 1 (estimated by </w:t>
      </w:r>
      <w:proofErr w:type="spellStart"/>
      <w:r>
        <w:rPr>
          <w:rFonts w:eastAsiaTheme="minorEastAsia"/>
        </w:rPr>
        <w:t>Famulare</w:t>
      </w:r>
      <w:proofErr w:type="spellEnd"/>
      <w:r>
        <w:rPr>
          <w:rFonts w:eastAsiaTheme="minorEastAsia"/>
        </w:rPr>
        <w:t>).</w:t>
      </w:r>
    </w:p>
    <w:p w14:paraId="03365E78" w14:textId="77777777" w:rsidR="00A94C0A" w:rsidRDefault="00A94C0A" w:rsidP="007B2E07">
      <w:pPr>
        <w:jc w:val="both"/>
        <w:rPr>
          <w:rFonts w:eastAsiaTheme="minorEastAsia"/>
        </w:rPr>
      </w:pPr>
    </w:p>
    <w:p w14:paraId="57D2C6C2" w14:textId="77777777" w:rsidR="00A94C0A" w:rsidRDefault="00A94C0A" w:rsidP="007B2E07">
      <w:pPr>
        <w:snapToGrid w:val="0"/>
        <w:spacing w:line="360" w:lineRule="auto"/>
        <w:jc w:val="both"/>
        <w:rPr>
          <w:rFonts w:eastAsiaTheme="minorEastAsia"/>
        </w:rPr>
      </w:pPr>
      <w:r>
        <w:rPr>
          <w:rFonts w:eastAsiaTheme="minorEastAsia"/>
          <w:b/>
          <w:i/>
        </w:rPr>
        <w:t>Modeling antiviral treatment</w:t>
      </w:r>
      <w:r>
        <w:rPr>
          <w:rFonts w:eastAsiaTheme="minorEastAsia"/>
        </w:rPr>
        <w:t xml:space="preserve">. </w:t>
      </w:r>
      <w:r w:rsidRPr="00B237A7">
        <w:rPr>
          <w:rFonts w:eastAsiaTheme="minorEastAsia"/>
        </w:rPr>
        <w:t>We simulate</w:t>
      </w:r>
      <w:r>
        <w:rPr>
          <w:rFonts w:eastAsiaTheme="minorEastAsia"/>
        </w:rPr>
        <w:t xml:space="preserve"> the antiviral treatment by assuming that the antiviral treatment reduces the viral production</w:t>
      </w:r>
      <w:r w:rsidRPr="00B237A7">
        <w:rPr>
          <w:rFonts w:eastAsiaTheme="minorEastAsia"/>
        </w:rPr>
        <w:t xml:space="preserve"> </w:t>
      </w:r>
      <w:r>
        <w:rPr>
          <w:rFonts w:eastAsiaTheme="minorEastAsia"/>
        </w:rPr>
        <w:t>(</w:t>
      </w:r>
      <m:oMath>
        <m:r>
          <w:rPr>
            <w:rFonts w:ascii="Cambria Math" w:hAnsi="Cambria Math"/>
          </w:rPr>
          <m:t>π</m:t>
        </m:r>
      </m:oMath>
      <w:r>
        <w:rPr>
          <w:rFonts w:eastAsiaTheme="minorEastAsia"/>
        </w:rPr>
        <w:t>) by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treat</m:t>
            </m:r>
          </m:sub>
        </m:sSub>
      </m:oMath>
      <w:r>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treat</m:t>
            </m:r>
          </m:sub>
        </m:sSub>
      </m:oMath>
      <w:r>
        <w:rPr>
          <w:rFonts w:eastAsiaTheme="minorEastAsia"/>
        </w:rPr>
        <w:t xml:space="preserve"> is the efficacy of treatment. Here,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treat</m:t>
            </m:r>
          </m:sub>
        </m:sSub>
        <m:r>
          <w:rPr>
            <w:rFonts w:ascii="Cambria Math" w:eastAsiaTheme="minorEastAsia" w:hAnsi="Cambria Math"/>
          </w:rPr>
          <m:t>=0</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treat</m:t>
            </m:r>
          </m:sub>
        </m:sSub>
        <m:r>
          <w:rPr>
            <w:rFonts w:ascii="Cambria Math" w:eastAsiaTheme="minorEastAsia" w:hAnsi="Cambria Math"/>
          </w:rPr>
          <m:t>=1</m:t>
        </m:r>
      </m:oMath>
      <w:r>
        <w:rPr>
          <w:rFonts w:eastAsiaTheme="minorEastAsia"/>
        </w:rPr>
        <w:t xml:space="preserve"> represent the case of completely ineffective and 100% effective treatment, respectively.</w:t>
      </w:r>
      <w:r w:rsidRPr="00C0368B">
        <w:rPr>
          <w:rFonts w:eastAsiaTheme="minorEastAsia"/>
        </w:rPr>
        <w:t xml:space="preserve"> </w:t>
      </w:r>
      <w:r>
        <w:rPr>
          <w:rFonts w:eastAsiaTheme="minorEastAsia"/>
        </w:rPr>
        <w:t xml:space="preserve">For the transmission simulations we model </w:t>
      </w:r>
      <w:r>
        <w:rPr>
          <w:rFonts w:eastAsiaTheme="minorEastAsia"/>
          <w:i/>
          <w:iCs/>
        </w:rPr>
        <w:t>coverage</w:t>
      </w:r>
      <w:r>
        <w:rPr>
          <w:rFonts w:eastAsiaTheme="minorEastAsia"/>
        </w:rPr>
        <w:t xml:space="preserve"> to treatment with as a Bernoulli event with mean</w:t>
      </w:r>
      <w:r w:rsidRPr="00C77D9A">
        <w:rPr>
          <w:rFonts w:eastAsiaTheme="minorEastAsia"/>
        </w:rPr>
        <w:t xml:space="preserve"> </w:t>
      </w:r>
      <m:oMath>
        <m:r>
          <w:rPr>
            <w:rFonts w:ascii="Cambria Math" w:eastAsiaTheme="minorEastAsia" w:hAnsi="Cambria Math"/>
          </w:rPr>
          <m:t>ψ</m:t>
        </m:r>
      </m:oMath>
      <w:r>
        <w:rPr>
          <w:rFonts w:eastAsiaTheme="minorEastAsia"/>
        </w:rPr>
        <w:t>.</w:t>
      </w:r>
    </w:p>
    <w:p w14:paraId="4C1FDDEA" w14:textId="77777777" w:rsidR="00A94C0A" w:rsidRDefault="00A94C0A" w:rsidP="007B2E07">
      <w:pPr>
        <w:snapToGrid w:val="0"/>
        <w:spacing w:line="360" w:lineRule="auto"/>
        <w:ind w:firstLine="720"/>
        <w:jc w:val="both"/>
        <w:rPr>
          <w:rFonts w:eastAsiaTheme="minorEastAsia"/>
        </w:rPr>
      </w:pPr>
      <w:r>
        <w:rPr>
          <w:rFonts w:eastAsiaTheme="minorEastAsia"/>
        </w:rPr>
        <w:t xml:space="preserve">In the presence of treatment with mean coverage </w:t>
      </w:r>
      <m:oMath>
        <m:r>
          <w:rPr>
            <w:rFonts w:ascii="Cambria Math" w:eastAsiaTheme="minorEastAsia" w:hAnsi="Cambria Math"/>
          </w:rPr>
          <m:t>ψ</m:t>
        </m:r>
      </m:oMath>
      <w:r>
        <w:rPr>
          <w:rFonts w:eastAsiaTheme="minorEastAsia"/>
        </w:rPr>
        <w:t xml:space="preserve"> and efficacy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treat</m:t>
            </m:r>
          </m:sub>
        </m:sSub>
      </m:oMath>
      <w:r>
        <w:rPr>
          <w:rFonts w:eastAsiaTheme="minorEastAsia"/>
        </w:rPr>
        <w:t xml:space="preserve">, we follow the procedure below to estimate the population level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m:t>
            </m:r>
          </m:sub>
        </m:sSub>
      </m:oMath>
      <w:r>
        <w:rPr>
          <w:rFonts w:eastAsiaTheme="minorEastAsia"/>
        </w:rPr>
        <w:t>:</w:t>
      </w:r>
    </w:p>
    <w:p w14:paraId="7D9137E4" w14:textId="77777777" w:rsidR="00A94C0A" w:rsidRDefault="00A94C0A" w:rsidP="007B2E07">
      <w:pPr>
        <w:pStyle w:val="ListParagraph"/>
        <w:numPr>
          <w:ilvl w:val="0"/>
          <w:numId w:val="5"/>
        </w:numPr>
        <w:snapToGrid w:val="0"/>
        <w:spacing w:line="360" w:lineRule="auto"/>
        <w:ind w:left="360"/>
        <w:contextualSpacing w:val="0"/>
        <w:jc w:val="both"/>
        <w:rPr>
          <w:color w:val="000000"/>
        </w:rPr>
      </w:pPr>
      <w:r>
        <w:rPr>
          <w:color w:val="000000"/>
        </w:rPr>
        <w:t xml:space="preserve">Determine adherence to treatment </w:t>
      </w:r>
      <w:r w:rsidRPr="00C77D9A">
        <w:rPr>
          <w:color w:val="000000"/>
        </w:rPr>
        <w:t xml:space="preserve">using </w:t>
      </w:r>
      <m:oMath>
        <m:r>
          <w:rPr>
            <w:rFonts w:ascii="Cambria Math" w:hAnsi="Cambria Math"/>
            <w:color w:val="000000"/>
          </w:rPr>
          <m:t>Ber( p=</m:t>
        </m:r>
        <m:r>
          <w:rPr>
            <w:rFonts w:ascii="Cambria Math" w:eastAsiaTheme="minorEastAsia" w:hAnsi="Cambria Math"/>
          </w:rPr>
          <m:t>ψ</m:t>
        </m:r>
        <m:r>
          <w:rPr>
            <w:rFonts w:ascii="Cambria Math" w:hAnsi="Cambria Math"/>
            <w:color w:val="000000"/>
          </w:rPr>
          <m:t>)</m:t>
        </m:r>
      </m:oMath>
    </w:p>
    <w:p w14:paraId="471A1685" w14:textId="2DE987F4" w:rsidR="00A94C0A" w:rsidRPr="00696E8E" w:rsidRDefault="00A94C0A" w:rsidP="007B2E07">
      <w:pPr>
        <w:pStyle w:val="ListParagraph"/>
        <w:numPr>
          <w:ilvl w:val="0"/>
          <w:numId w:val="5"/>
        </w:numPr>
        <w:snapToGrid w:val="0"/>
        <w:spacing w:line="360" w:lineRule="auto"/>
        <w:ind w:left="360"/>
        <w:contextualSpacing w:val="0"/>
        <w:jc w:val="both"/>
        <w:rPr>
          <w:color w:val="000000"/>
        </w:rPr>
      </w:pPr>
      <w:r>
        <w:rPr>
          <w:color w:val="000000"/>
        </w:rPr>
        <w:t>Determine the time of start of antiviral treatment (</w:t>
      </w:r>
      <m:oMath>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treat</m:t>
            </m:r>
          </m:sub>
        </m:sSub>
      </m:oMath>
      <w:r>
        <w:rPr>
          <w:color w:val="000000"/>
        </w:rPr>
        <w:t xml:space="preserve">) for treatment in symptomatic phase and pre-symptomatic phase by randomly drawing a number from Uniform </w:t>
      </w:r>
      <w:r>
        <w:rPr>
          <w:rFonts w:eastAsiaTheme="minorEastAsia"/>
        </w:rPr>
        <w:t>distributions</w:t>
      </w:r>
      <w:r w:rsidRPr="009B235F">
        <w:rPr>
          <w:rFonts w:eastAsiaTheme="minorEastAsia"/>
        </w:rPr>
        <w:t xml:space="preserve"> (</w:t>
      </w:r>
      <m:oMath>
        <m:r>
          <w:rPr>
            <w:rFonts w:ascii="Cambria Math" w:eastAsiaTheme="minorEastAsia" w:hAnsi="Cambria Math"/>
          </w:rPr>
          <m:t>U(0.5+</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r>
          <w:rPr>
            <w:rFonts w:ascii="Cambria Math" w:eastAsiaTheme="minorEastAsia" w:hAnsi="Cambria Math"/>
          </w:rPr>
          <m:t xml:space="preserve">,5+ </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r>
          <w:rPr>
            <w:rFonts w:ascii="Cambria Math" w:eastAsiaTheme="minorEastAsia" w:hAnsi="Cambria Math"/>
          </w:rPr>
          <m:t>)</m:t>
        </m:r>
      </m:oMath>
      <w:r w:rsidRPr="009B235F">
        <w:rPr>
          <w:rFonts w:eastAsiaTheme="minorEastAsia"/>
        </w:rPr>
        <w:t>)</w:t>
      </w:r>
      <w:r>
        <w:rPr>
          <w:rFonts w:eastAsiaTheme="minorEastAsia"/>
        </w:rPr>
        <w:t xml:space="preserve"> and </w:t>
      </w:r>
      <w:r w:rsidRPr="009B235F">
        <w:rPr>
          <w:rFonts w:eastAsiaTheme="minorEastAsia"/>
        </w:rPr>
        <w:t>(</w:t>
      </w:r>
      <m:oMath>
        <m:r>
          <w:rPr>
            <w:rFonts w:ascii="Cambria Math" w:eastAsiaTheme="minorEastAsia" w:hAnsi="Cambria Math"/>
          </w:rPr>
          <m:t>U(0.5,5)</m:t>
        </m:r>
      </m:oMath>
      <w:r w:rsidRPr="009B235F">
        <w:rPr>
          <w:rFonts w:eastAsiaTheme="minorEastAsia"/>
        </w:rPr>
        <w:t>)</w:t>
      </w:r>
      <w:r>
        <w:rPr>
          <w:rFonts w:eastAsiaTheme="minorEastAsia"/>
        </w:rPr>
        <w:t xml:space="preserve">, respectively, where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I</m:t>
            </m:r>
          </m:sub>
        </m:sSub>
      </m:oMath>
      <w:r>
        <w:rPr>
          <w:rFonts w:eastAsiaTheme="minorEastAsia"/>
        </w:rPr>
        <w:t xml:space="preserve"> is the incubation period of </w:t>
      </w:r>
      <w:r>
        <w:rPr>
          <w:color w:val="000000"/>
        </w:rPr>
        <w:t>the infected individual</w:t>
      </w:r>
      <w:r w:rsidRPr="009B235F">
        <w:rPr>
          <w:rFonts w:eastAsiaTheme="minorEastAsia"/>
        </w:rPr>
        <w:t>.</w:t>
      </w:r>
    </w:p>
    <w:p w14:paraId="4EDECD59" w14:textId="77777777" w:rsidR="00A94C0A" w:rsidRPr="00696E8E" w:rsidRDefault="00A94C0A" w:rsidP="007B2E07">
      <w:pPr>
        <w:pStyle w:val="ListParagraph"/>
        <w:numPr>
          <w:ilvl w:val="0"/>
          <w:numId w:val="5"/>
        </w:numPr>
        <w:snapToGrid w:val="0"/>
        <w:spacing w:line="360" w:lineRule="auto"/>
        <w:ind w:left="360"/>
        <w:contextualSpacing w:val="0"/>
        <w:jc w:val="both"/>
        <w:rPr>
          <w:color w:val="000000"/>
        </w:rPr>
      </w:pPr>
      <w:r w:rsidRPr="00631216">
        <w:rPr>
          <w:color w:val="000000"/>
        </w:rPr>
        <w:t xml:space="preserve">Simulate viral load </w:t>
      </w:r>
      <m:oMath>
        <m:r>
          <w:rPr>
            <w:rFonts w:ascii="Cambria Math" w:hAnsi="Cambria Math"/>
            <w:color w:val="000000"/>
          </w:rPr>
          <m:t>V</m:t>
        </m:r>
        <m:d>
          <m:dPr>
            <m:ctrlPr>
              <w:rPr>
                <w:rFonts w:ascii="Cambria Math" w:hAnsi="Cambria Math"/>
                <w:i/>
                <w:color w:val="000000"/>
              </w:rPr>
            </m:ctrlPr>
          </m:dPr>
          <m:e>
            <m:r>
              <w:rPr>
                <w:rFonts w:ascii="Cambria Math" w:hAnsi="Cambria Math"/>
                <w:color w:val="000000"/>
              </w:rPr>
              <m:t>t</m:t>
            </m:r>
          </m:e>
        </m:d>
      </m:oMath>
      <w:r w:rsidRPr="00631216">
        <w:rPr>
          <w:color w:val="000000"/>
        </w:rPr>
        <w:t xml:space="preserve"> of a simulated infected individual using </w:t>
      </w:r>
      <w:r w:rsidRPr="00CE4566">
        <w:rPr>
          <w:color w:val="000000"/>
        </w:rPr>
        <w:t xml:space="preserve">the within-host model </w:t>
      </w:r>
      <w:r>
        <w:rPr>
          <w:color w:val="000000"/>
        </w:rPr>
        <w:t xml:space="preserve">in </w:t>
      </w:r>
      <w:r>
        <w:rPr>
          <w:b/>
          <w:bCs/>
          <w:color w:val="000000"/>
        </w:rPr>
        <w:t xml:space="preserve"> eq. </w:t>
      </w:r>
      <w:r w:rsidRPr="00C0368B">
        <w:rPr>
          <w:b/>
          <w:bCs/>
          <w:color w:val="000000"/>
        </w:rPr>
        <w:t>1</w:t>
      </w:r>
      <w:r>
        <w:rPr>
          <w:color w:val="000000"/>
        </w:rPr>
        <w:t xml:space="preserve"> </w:t>
      </w:r>
      <w:r w:rsidRPr="00CE4566">
        <w:rPr>
          <w:color w:val="000000"/>
        </w:rPr>
        <w:t>with</w:t>
      </w:r>
      <w:r>
        <w:rPr>
          <w:b/>
          <w:bCs/>
          <w:color w:val="000000"/>
        </w:rPr>
        <w:t xml:space="preserve"> </w:t>
      </w:r>
      <m:oMath>
        <m:sSub>
          <m:sSubPr>
            <m:ctrlPr>
              <w:rPr>
                <w:rFonts w:ascii="Cambria Math" w:eastAsiaTheme="minorEastAsia" w:hAnsi="Cambria Math"/>
                <w:i/>
              </w:rPr>
            </m:ctrlPr>
          </m:sSubPr>
          <m:e>
            <m:r>
              <w:rPr>
                <w:rFonts w:ascii="Cambria Math" w:eastAsiaTheme="minorEastAsia" w:hAnsi="Cambria Math"/>
              </w:rPr>
              <m:t>ϵ</m:t>
            </m:r>
          </m:e>
          <m:sub>
            <m:r>
              <w:rPr>
                <w:rFonts w:ascii="Cambria Math" w:eastAsiaTheme="minorEastAsia" w:hAnsi="Cambria Math"/>
              </w:rPr>
              <m:t>treat</m:t>
            </m:r>
          </m:sub>
        </m:sSub>
        <m:r>
          <w:rPr>
            <w:rFonts w:ascii="Cambria Math" w:hAnsi="Cambria Math"/>
          </w:rPr>
          <m:t>=0</m:t>
        </m:r>
      </m:oMath>
      <w:r>
        <w:t xml:space="preserve"> for </w:t>
      </w:r>
      <m:oMath>
        <m:r>
          <w:rPr>
            <w:rFonts w:ascii="Cambria Math" w:hAnsi="Cambria Math"/>
          </w:rPr>
          <m:t>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treat</m:t>
            </m:r>
          </m:sub>
        </m:sSub>
      </m:oMath>
      <w:r>
        <w:rPr>
          <w:color w:val="000000"/>
        </w:rPr>
        <w:t xml:space="preserve"> and </w:t>
      </w:r>
      <m:oMath>
        <m:sSub>
          <m:sSubPr>
            <m:ctrlPr>
              <w:rPr>
                <w:rFonts w:ascii="Cambria Math" w:eastAsiaTheme="minorEastAsia" w:hAnsi="Cambria Math"/>
                <w:i/>
              </w:rPr>
            </m:ctrlPr>
          </m:sSubPr>
          <m:e>
            <m:r>
              <w:rPr>
                <w:rFonts w:ascii="Cambria Math" w:eastAsiaTheme="minorEastAsia" w:hAnsi="Cambria Math"/>
              </w:rPr>
              <m:t>0&lt;ϵ</m:t>
            </m:r>
          </m:e>
          <m:sub>
            <m:r>
              <w:rPr>
                <w:rFonts w:ascii="Cambria Math" w:eastAsiaTheme="minorEastAsia" w:hAnsi="Cambria Math"/>
              </w:rPr>
              <m:t>treat</m:t>
            </m:r>
          </m:sub>
        </m:sSub>
        <m:r>
          <w:rPr>
            <w:rFonts w:ascii="Cambria Math" w:hAnsi="Cambria Math"/>
          </w:rPr>
          <m:t>≤1</m:t>
        </m:r>
      </m:oMath>
      <w:r>
        <w:t xml:space="preserve"> for </w:t>
      </w:r>
      <m:oMath>
        <m:r>
          <w:rPr>
            <w:rFonts w:ascii="Cambria Math" w:hAnsi="Cambria Math"/>
          </w:rPr>
          <m:t>t&gt;</m:t>
        </m:r>
        <m:sSub>
          <m:sSubPr>
            <m:ctrlPr>
              <w:rPr>
                <w:rFonts w:ascii="Cambria Math" w:hAnsi="Cambria Math"/>
                <w:i/>
                <w:color w:val="000000"/>
              </w:rPr>
            </m:ctrlPr>
          </m:sSubPr>
          <m:e>
            <m:r>
              <w:rPr>
                <w:rFonts w:ascii="Cambria Math" w:hAnsi="Cambria Math"/>
                <w:color w:val="000000"/>
              </w:rPr>
              <m:t>T</m:t>
            </m:r>
          </m:e>
          <m:sub>
            <m:r>
              <w:rPr>
                <w:rFonts w:ascii="Cambria Math" w:hAnsi="Cambria Math"/>
                <w:color w:val="000000"/>
              </w:rPr>
              <m:t>treat</m:t>
            </m:r>
          </m:sub>
        </m:sSub>
      </m:oMath>
      <w:r w:rsidRPr="00631216">
        <w:rPr>
          <w:b/>
          <w:bCs/>
          <w:color w:val="000000"/>
        </w:rPr>
        <w:t>.</w:t>
      </w:r>
      <w:r w:rsidRPr="00631216">
        <w:rPr>
          <w:color w:val="000000"/>
        </w:rPr>
        <w:t xml:space="preserve"> </w:t>
      </w:r>
    </w:p>
    <w:p w14:paraId="5478B1C9" w14:textId="77777777" w:rsidR="00A94C0A" w:rsidRPr="00D62C19" w:rsidRDefault="00A94C0A" w:rsidP="007B2E07">
      <w:pPr>
        <w:pStyle w:val="ListParagraph"/>
        <w:numPr>
          <w:ilvl w:val="0"/>
          <w:numId w:val="2"/>
        </w:numPr>
        <w:snapToGrid w:val="0"/>
        <w:spacing w:line="360" w:lineRule="auto"/>
        <w:ind w:left="360"/>
        <w:contextualSpacing w:val="0"/>
        <w:jc w:val="both"/>
        <w:rPr>
          <w:color w:val="000000"/>
        </w:rPr>
      </w:pPr>
      <w:r>
        <w:rPr>
          <w:color w:val="000000"/>
        </w:rPr>
        <w:t xml:space="preserve">For a given </w:t>
      </w:r>
      <w:r w:rsidRPr="00D62C19">
        <w:rPr>
          <w:color w:val="000000"/>
        </w:rPr>
        <w:t>combination of (</w:t>
      </w:r>
      <m:oMath>
        <m:r>
          <w:rPr>
            <w:rFonts w:ascii="Cambria Math" w:hAnsi="Cambria Math"/>
            <w:color w:val="000000"/>
          </w:rPr>
          <m:t>λ, τ, α, θ,ρ</m:t>
        </m:r>
      </m:oMath>
      <w:r w:rsidRPr="00D62C19">
        <w:rPr>
          <w:color w:val="000000"/>
        </w:rPr>
        <w:t xml:space="preserve">) </w:t>
      </w:r>
    </w:p>
    <w:p w14:paraId="35495FC9" w14:textId="77777777" w:rsidR="00A94C0A" w:rsidRPr="00D62C19" w:rsidRDefault="00A94C0A" w:rsidP="007B2E07">
      <w:pPr>
        <w:pStyle w:val="ListParagraph"/>
        <w:numPr>
          <w:ilvl w:val="1"/>
          <w:numId w:val="2"/>
        </w:numPr>
        <w:snapToGrid w:val="0"/>
        <w:spacing w:line="360" w:lineRule="auto"/>
        <w:ind w:left="1080"/>
        <w:contextualSpacing w:val="0"/>
        <w:jc w:val="both"/>
        <w:rPr>
          <w:color w:val="000000"/>
        </w:rPr>
      </w:pPr>
      <w:r w:rsidRPr="00D62C19">
        <w:rPr>
          <w:color w:val="000000"/>
        </w:rPr>
        <w:t xml:space="preserve">For each time step </w:t>
      </w:r>
      <m:oMath>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p>
    <w:p w14:paraId="5AEC6DD8" w14:textId="77777777" w:rsidR="00A94C0A" w:rsidRPr="00D62C19" w:rsidRDefault="00A94C0A" w:rsidP="007B2E07">
      <w:pPr>
        <w:pStyle w:val="ListParagraph"/>
        <w:numPr>
          <w:ilvl w:val="2"/>
          <w:numId w:val="2"/>
        </w:numPr>
        <w:snapToGrid w:val="0"/>
        <w:spacing w:line="360" w:lineRule="auto"/>
        <w:ind w:left="1800"/>
        <w:contextualSpacing w:val="0"/>
        <w:jc w:val="both"/>
        <w:rPr>
          <w:color w:val="000000"/>
        </w:rPr>
      </w:pPr>
      <w:r w:rsidRPr="00D62C19">
        <w:rPr>
          <w:color w:val="000000"/>
        </w:rPr>
        <w:t xml:space="preserve">Compute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d>
          <m:dPr>
            <m:begChr m:val="["/>
            <m:endChr m:val="]"/>
            <m:ctrlPr>
              <w:rPr>
                <w:rFonts w:ascii="Cambria Math" w:eastAsiaTheme="minorEastAsia" w:hAnsi="Cambria Math"/>
                <w:i/>
              </w:rPr>
            </m:ctrlPr>
          </m:dPr>
          <m:e>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r>
              <w:rPr>
                <w:rFonts w:ascii="Cambria Math" w:hAnsi="Cambria Math"/>
                <w:color w:val="000000"/>
              </w:rPr>
              <m:t>λ,α</m:t>
            </m:r>
          </m:e>
        </m:d>
      </m:oMath>
    </w:p>
    <w:p w14:paraId="3B3EF0C7" w14:textId="77777777" w:rsidR="00A94C0A" w:rsidRPr="00D62C19" w:rsidRDefault="00A94C0A" w:rsidP="007B2E07">
      <w:pPr>
        <w:pStyle w:val="ListParagraph"/>
        <w:numPr>
          <w:ilvl w:val="2"/>
          <w:numId w:val="2"/>
        </w:numPr>
        <w:snapToGrid w:val="0"/>
        <w:spacing w:line="360" w:lineRule="auto"/>
        <w:ind w:left="1800"/>
        <w:contextualSpacing w:val="0"/>
        <w:jc w:val="both"/>
        <w:rPr>
          <w:color w:val="000000"/>
        </w:rPr>
      </w:pPr>
      <w:r w:rsidRPr="00D62C19">
        <w:rPr>
          <w:color w:val="000000"/>
        </w:rPr>
        <w:t xml:space="preserve">Draw </w:t>
      </w:r>
      <m:oMath>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r>
          <w:rPr>
            <w:rFonts w:ascii="Cambria Math" w:eastAsiaTheme="minorEastAsia" w:hAnsi="Cambria Math"/>
          </w:rPr>
          <m:t>~Γ</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r>
                  <w:rPr>
                    <w:rFonts w:ascii="Cambria Math" w:eastAsiaTheme="minorEastAsia" w:hAnsi="Cambria Math"/>
                  </w:rPr>
                  <m:t>ρ</m:t>
                </m:r>
              </m:den>
            </m:f>
            <m:r>
              <w:rPr>
                <w:rFonts w:ascii="Cambria Math" w:eastAsiaTheme="minorEastAsia" w:hAnsi="Cambria Math"/>
              </w:rPr>
              <m:t>,ρ</m:t>
            </m:r>
          </m:e>
        </m:d>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oMath>
    </w:p>
    <w:p w14:paraId="78A7DF0D" w14:textId="77777777" w:rsidR="00A94C0A" w:rsidRPr="008B026D" w:rsidRDefault="00A94C0A" w:rsidP="007B2E07">
      <w:pPr>
        <w:pStyle w:val="ListParagraph"/>
        <w:numPr>
          <w:ilvl w:val="2"/>
          <w:numId w:val="2"/>
        </w:numPr>
        <w:snapToGrid w:val="0"/>
        <w:spacing w:line="360" w:lineRule="auto"/>
        <w:ind w:left="1800"/>
        <w:contextualSpacing w:val="0"/>
        <w:jc w:val="both"/>
        <w:rPr>
          <w:color w:val="000000"/>
          <w:lang w:val="es-ES"/>
        </w:rPr>
      </w:pPr>
      <w:proofErr w:type="spellStart"/>
      <w:r w:rsidRPr="00D62C19">
        <w:rPr>
          <w:color w:val="000000"/>
          <w:lang w:val="es-ES"/>
        </w:rPr>
        <w:t>Calculate</w:t>
      </w:r>
      <w:proofErr w:type="spellEnd"/>
      <w:r w:rsidRPr="00D62C19">
        <w:rPr>
          <w:color w:val="000000"/>
          <w:lang w:val="es-ES"/>
        </w:rPr>
        <w:t xml:space="preserve"> </w:t>
      </w:r>
      <m:oMath>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r>
          <w:rPr>
            <w:rFonts w:ascii="Cambria Math" w:eastAsiaTheme="minorEastAsia" w:hAnsi="Cambria Math"/>
            <w:lang w:val="es-ES"/>
          </w:rPr>
          <m:t>=</m:t>
        </m:r>
        <m:r>
          <w:rPr>
            <w:rFonts w:ascii="Cambria Math" w:hAnsi="Cambria Math"/>
          </w:rPr>
          <m:t>Ber</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t</m:t>
                </m:r>
              </m:sub>
            </m:sSub>
          </m:e>
        </m:d>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t</m:t>
            </m:r>
          </m:sub>
        </m:sSub>
        <m:sSub>
          <m:sSubPr>
            <m:ctrlPr>
              <w:rPr>
                <w:rFonts w:ascii="Cambria Math" w:hAnsi="Cambria Math"/>
                <w:i/>
              </w:rPr>
            </m:ctrlPr>
          </m:sSubPr>
          <m:e>
            <m:r>
              <w:rPr>
                <w:rFonts w:ascii="Cambria Math" w:hAnsi="Cambria Math"/>
              </w:rPr>
              <m:t>η</m:t>
            </m:r>
          </m:e>
          <m:sub>
            <m:sSub>
              <m:sSubPr>
                <m:ctrlPr>
                  <w:rPr>
                    <w:rFonts w:ascii="Cambria Math" w:hAnsi="Cambria Math"/>
                    <w:i/>
                  </w:rPr>
                </m:ctrlPr>
              </m:sSubPr>
              <m:e>
                <m:r>
                  <m:rPr>
                    <m:sty m:val="p"/>
                  </m:rPr>
                  <w:rPr>
                    <w:rFonts w:ascii="Cambria Math" w:hAnsi="Cambria Math"/>
                  </w:rPr>
                  <m:t>Δ</m:t>
                </m:r>
                <m:ctrlPr>
                  <w:rPr>
                    <w:rFonts w:ascii="Cambria Math" w:hAnsi="Cambria Math"/>
                  </w:rPr>
                </m:ctrlPr>
              </m:e>
              <m:sub>
                <m:r>
                  <w:rPr>
                    <w:rFonts w:ascii="Cambria Math" w:hAnsi="Cambria Math"/>
                  </w:rPr>
                  <m:t>t</m:t>
                </m:r>
              </m:sub>
            </m:sSub>
          </m:sub>
        </m:sSub>
      </m:oMath>
    </w:p>
    <w:p w14:paraId="5B24F0FA" w14:textId="77777777" w:rsidR="00A94C0A" w:rsidRPr="003C0999" w:rsidRDefault="00A94C0A" w:rsidP="007B2E07">
      <w:pPr>
        <w:pStyle w:val="ListParagraph"/>
        <w:numPr>
          <w:ilvl w:val="1"/>
          <w:numId w:val="2"/>
        </w:numPr>
        <w:snapToGrid w:val="0"/>
        <w:spacing w:line="360" w:lineRule="auto"/>
        <w:ind w:left="1080"/>
        <w:contextualSpacing w:val="0"/>
        <w:jc w:val="both"/>
        <w:rPr>
          <w:color w:val="000000"/>
          <w:lang w:val="es-ES"/>
        </w:rPr>
      </w:pPr>
      <w:proofErr w:type="spellStart"/>
      <w:r w:rsidRPr="003C0999">
        <w:rPr>
          <w:color w:val="000000"/>
          <w:lang w:val="es-ES"/>
        </w:rPr>
        <w:t>Calculate</w:t>
      </w:r>
      <w:proofErr w:type="spellEnd"/>
      <w:r w:rsidRPr="003C0999">
        <w:rPr>
          <w:color w:val="000000"/>
          <w:lang w:val="es-ES"/>
        </w:rPr>
        <w:t xml:space="preserv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lang w:val="es-ES"/>
              </w:rPr>
              <m:t>e</m:t>
            </m:r>
          </m:sub>
        </m:sSub>
        <m:r>
          <w:rPr>
            <w:rFonts w:ascii="Cambria Math" w:eastAsiaTheme="minorEastAsia" w:hAnsi="Cambria Math"/>
            <w:lang w:val="es-ES"/>
          </w:rPr>
          <m:t>=</m:t>
        </m:r>
        <m:nary>
          <m:naryPr>
            <m:chr m:val="∑"/>
            <m:supHide m:val="1"/>
            <m:ctrlPr>
              <w:rPr>
                <w:rFonts w:ascii="Cambria Math" w:eastAsiaTheme="minorEastAsia" w:hAnsi="Cambria Math"/>
                <w:i/>
              </w:rPr>
            </m:ctrlPr>
          </m:naryPr>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up/>
          <m:e>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m:rPr>
                        <m:sty m:val="p"/>
                      </m:rPr>
                      <w:rPr>
                        <w:rFonts w:ascii="Cambria Math" w:eastAsiaTheme="minorEastAsia" w:hAnsi="Cambria Math"/>
                      </w:rPr>
                      <m:t>Δ</m:t>
                    </m:r>
                  </m:e>
                  <m:sub>
                    <m:r>
                      <w:rPr>
                        <w:rFonts w:ascii="Cambria Math" w:eastAsiaTheme="minorEastAsia" w:hAnsi="Cambria Math"/>
                      </w:rPr>
                      <m:t>t</m:t>
                    </m:r>
                  </m:sub>
                </m:sSub>
              </m:sub>
            </m:sSub>
          </m:e>
        </m:nary>
      </m:oMath>
    </w:p>
    <w:p w14:paraId="333D9F62" w14:textId="1CDA6B14" w:rsidR="00A94C0A" w:rsidRPr="002D7837" w:rsidRDefault="00A94C0A" w:rsidP="007B2E07">
      <w:pPr>
        <w:pStyle w:val="ListParagraph"/>
        <w:numPr>
          <w:ilvl w:val="0"/>
          <w:numId w:val="2"/>
        </w:numPr>
        <w:snapToGrid w:val="0"/>
        <w:spacing w:line="360" w:lineRule="auto"/>
        <w:ind w:left="360"/>
        <w:contextualSpacing w:val="0"/>
        <w:jc w:val="both"/>
        <w:rPr>
          <w:rFonts w:eastAsiaTheme="minorEastAsia"/>
        </w:rPr>
      </w:pPr>
      <w:r w:rsidRPr="00BA320A">
        <w:rPr>
          <w:color w:val="000000"/>
        </w:rPr>
        <w:t xml:space="preserve">Repeat Steps 1 and </w:t>
      </w:r>
      <w:r>
        <w:rPr>
          <w:color w:val="000000"/>
        </w:rPr>
        <w:t>4</w:t>
      </w:r>
      <w:r w:rsidRPr="00BA320A">
        <w:rPr>
          <w:color w:val="000000"/>
        </w:rPr>
        <w:t xml:space="preserve"> to estimate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e</m:t>
            </m:r>
          </m:sub>
        </m:sSub>
      </m:oMath>
      <w:r w:rsidRPr="00BA320A">
        <w:rPr>
          <w:color w:val="000000"/>
        </w:rPr>
        <w:t xml:space="preserve"> for 3,000 infected individuals. The population level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lang w:val="es-ES"/>
              </w:rPr>
              <m:t>e</m:t>
            </m:r>
          </m:sub>
        </m:sSub>
      </m:oMath>
      <w:r w:rsidRPr="00BA320A">
        <w:rPr>
          <w:color w:val="000000"/>
        </w:rPr>
        <w:t xml:space="preserve"> can then be calculating by taking the mean of 3,000 individual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e</m:t>
            </m:r>
          </m:sub>
        </m:sSub>
      </m:oMath>
      <w:r w:rsidRPr="00BA320A">
        <w:rPr>
          <w:color w:val="000000"/>
        </w:rPr>
        <w:t xml:space="preserve"> values.</w:t>
      </w:r>
    </w:p>
    <w:p w14:paraId="024A8CF3" w14:textId="4A07A385" w:rsidR="002D7837" w:rsidRDefault="002D7837" w:rsidP="007B2E07">
      <w:pPr>
        <w:snapToGrid w:val="0"/>
        <w:spacing w:line="360" w:lineRule="auto"/>
        <w:jc w:val="both"/>
        <w:rPr>
          <w:rFonts w:eastAsiaTheme="minorEastAsia"/>
        </w:rPr>
      </w:pPr>
    </w:p>
    <w:p w14:paraId="76264691" w14:textId="77777777" w:rsidR="002D7837" w:rsidRDefault="002D7837" w:rsidP="007B2E07">
      <w:pPr>
        <w:jc w:val="both"/>
        <w:rPr>
          <w:rFonts w:eastAsiaTheme="minorEastAsia"/>
          <w:b/>
          <w:bCs/>
        </w:rPr>
      </w:pPr>
      <w:r>
        <w:rPr>
          <w:rFonts w:eastAsiaTheme="minorEastAsia"/>
          <w:b/>
          <w:bCs/>
        </w:rPr>
        <w:br w:type="page"/>
      </w:r>
    </w:p>
    <w:p w14:paraId="62B4CDCC" w14:textId="72016544" w:rsidR="00B240B5" w:rsidRPr="007B2E07" w:rsidRDefault="002D7837" w:rsidP="007B2E07">
      <w:pPr>
        <w:snapToGrid w:val="0"/>
        <w:spacing w:line="360" w:lineRule="auto"/>
        <w:jc w:val="both"/>
        <w:rPr>
          <w:rFonts w:eastAsiaTheme="minorEastAsia"/>
          <w:b/>
          <w:bCs/>
        </w:rPr>
      </w:pPr>
      <w:r>
        <w:rPr>
          <w:rFonts w:eastAsiaTheme="minorEastAsia"/>
          <w:b/>
          <w:bCs/>
        </w:rPr>
        <w:t>References</w:t>
      </w:r>
    </w:p>
    <w:p w14:paraId="5CFB7AD2" w14:textId="77777777" w:rsidR="00B240B5" w:rsidRDefault="00B240B5" w:rsidP="007B2E07">
      <w:pPr>
        <w:jc w:val="both"/>
      </w:pPr>
    </w:p>
    <w:p w14:paraId="441E6B90" w14:textId="1DB6AFEC" w:rsidR="00B240B5" w:rsidRDefault="00B240B5" w:rsidP="007B2E07">
      <w:pPr>
        <w:pStyle w:val="EndNoteBibliography"/>
        <w:spacing w:line="360" w:lineRule="auto"/>
        <w:jc w:val="both"/>
        <w:rPr>
          <w:noProof/>
        </w:rPr>
      </w:pPr>
      <w:r>
        <w:fldChar w:fldCharType="begin"/>
      </w:r>
      <w:r>
        <w:instrText xml:space="preserve"> ADDIN EN.REFLIST </w:instrText>
      </w:r>
      <w:r>
        <w:fldChar w:fldCharType="separate"/>
      </w:r>
      <w:r w:rsidRPr="00B240B5">
        <w:rPr>
          <w:noProof/>
        </w:rPr>
        <w:t>Adam, D., Wong, J., Lau, E., Tsang, T., Cauchemez, S., Leung, G., and Cowling, B. (2020). Clustering and superspreading potential of severe acute respiratory syndrome coronavirus 2 (SARS-CoV-2) infections in Hong Kong. Europe PMC</w:t>
      </w:r>
      <w:r w:rsidRPr="00B240B5">
        <w:rPr>
          <w:i/>
          <w:noProof/>
        </w:rPr>
        <w:t xml:space="preserve"> 10.21203/rs.3.rs-29548/v1</w:t>
      </w:r>
      <w:r w:rsidRPr="00B240B5">
        <w:rPr>
          <w:noProof/>
        </w:rPr>
        <w:t>.</w:t>
      </w:r>
    </w:p>
    <w:p w14:paraId="0487B034" w14:textId="77777777" w:rsidR="002D7837" w:rsidRPr="00B240B5" w:rsidRDefault="002D7837" w:rsidP="007B2E07">
      <w:pPr>
        <w:pStyle w:val="EndNoteBibliography"/>
        <w:spacing w:line="360" w:lineRule="auto"/>
        <w:jc w:val="both"/>
        <w:rPr>
          <w:noProof/>
        </w:rPr>
      </w:pPr>
    </w:p>
    <w:p w14:paraId="565EB84E" w14:textId="3C69B3D3" w:rsidR="00B240B5" w:rsidRDefault="00B240B5" w:rsidP="007B2E07">
      <w:pPr>
        <w:pStyle w:val="EndNoteBibliography"/>
        <w:spacing w:line="360" w:lineRule="auto"/>
        <w:jc w:val="both"/>
        <w:rPr>
          <w:noProof/>
        </w:rPr>
      </w:pPr>
      <w:r w:rsidRPr="00B240B5">
        <w:rPr>
          <w:noProof/>
        </w:rPr>
        <w:t>Bi, Q., Wu, Y., Mei, S., Ye, C., Zou, X., Zhang, Z., Liu, X., Wei, L., Truelove, S.A., Zhang, T.</w:t>
      </w:r>
      <w:r w:rsidRPr="00B240B5">
        <w:rPr>
          <w:i/>
          <w:noProof/>
        </w:rPr>
        <w:t>, et al.</w:t>
      </w:r>
      <w:r w:rsidRPr="00B240B5">
        <w:rPr>
          <w:noProof/>
        </w:rPr>
        <w:t xml:space="preserve"> (2020). Epidemiology and transmission of COVID-19 in 391 cases and 1286 of their close contacts in Shenzhen, China: a retrospective cohort study. Lancet Infect Dis</w:t>
      </w:r>
      <w:r w:rsidRPr="00B240B5">
        <w:rPr>
          <w:i/>
          <w:noProof/>
        </w:rPr>
        <w:t xml:space="preserve"> 20</w:t>
      </w:r>
      <w:r w:rsidRPr="00B240B5">
        <w:rPr>
          <w:noProof/>
        </w:rPr>
        <w:t>, 911-919.</w:t>
      </w:r>
    </w:p>
    <w:p w14:paraId="3E247407" w14:textId="77777777" w:rsidR="002D7837" w:rsidRPr="00B240B5" w:rsidRDefault="002D7837" w:rsidP="007B2E07">
      <w:pPr>
        <w:pStyle w:val="EndNoteBibliography"/>
        <w:spacing w:line="360" w:lineRule="auto"/>
        <w:jc w:val="both"/>
        <w:rPr>
          <w:noProof/>
        </w:rPr>
      </w:pPr>
    </w:p>
    <w:p w14:paraId="1F39F84E" w14:textId="17840A3C" w:rsidR="00B240B5" w:rsidRDefault="00B240B5" w:rsidP="007B2E07">
      <w:pPr>
        <w:pStyle w:val="EndNoteBibliography"/>
        <w:spacing w:line="360" w:lineRule="auto"/>
        <w:jc w:val="both"/>
        <w:rPr>
          <w:noProof/>
        </w:rPr>
      </w:pPr>
      <w:r w:rsidRPr="00B240B5">
        <w:rPr>
          <w:noProof/>
        </w:rPr>
        <w:t>Du, Z., Xu, X., Wu, Y., Wang, L., Cowling, B.J., and Meyers, L.A. (2020). Serial Interval of COVID-19 among Publicly Reported Confirmed Cases. Emerg Infect Dis</w:t>
      </w:r>
      <w:r w:rsidRPr="00B240B5">
        <w:rPr>
          <w:i/>
          <w:noProof/>
        </w:rPr>
        <w:t xml:space="preserve"> 26</w:t>
      </w:r>
      <w:r w:rsidRPr="00B240B5">
        <w:rPr>
          <w:noProof/>
        </w:rPr>
        <w:t>.</w:t>
      </w:r>
    </w:p>
    <w:p w14:paraId="3F896388" w14:textId="77777777" w:rsidR="002D7837" w:rsidRPr="00B240B5" w:rsidRDefault="002D7837" w:rsidP="007B2E07">
      <w:pPr>
        <w:pStyle w:val="EndNoteBibliography"/>
        <w:spacing w:line="360" w:lineRule="auto"/>
        <w:jc w:val="both"/>
        <w:rPr>
          <w:noProof/>
        </w:rPr>
      </w:pPr>
    </w:p>
    <w:p w14:paraId="53F8D1FD" w14:textId="14BC3A0A" w:rsidR="00B240B5" w:rsidRDefault="00B240B5" w:rsidP="007B2E07">
      <w:pPr>
        <w:pStyle w:val="EndNoteBibliography"/>
        <w:spacing w:line="360" w:lineRule="auto"/>
        <w:jc w:val="both"/>
        <w:rPr>
          <w:noProof/>
        </w:rPr>
      </w:pPr>
      <w:r w:rsidRPr="00B240B5">
        <w:rPr>
          <w:noProof/>
        </w:rPr>
        <w:t>Endo, A., Abbott, S., Kucharski, A.J., Funk, S., and Group, C.f.t.M.M.o.I.D.C.-W. (2020). Estimating the overdispersion in COVID-19 transmission using outbreak sizes outside China. Wellcome Open Res</w:t>
      </w:r>
      <w:r w:rsidRPr="00B240B5">
        <w:rPr>
          <w:i/>
          <w:noProof/>
        </w:rPr>
        <w:t xml:space="preserve"> 5</w:t>
      </w:r>
      <w:r w:rsidRPr="00B240B5">
        <w:rPr>
          <w:noProof/>
        </w:rPr>
        <w:t>, 67.</w:t>
      </w:r>
    </w:p>
    <w:p w14:paraId="140B5F1D" w14:textId="77777777" w:rsidR="002D7837" w:rsidRPr="00B240B5" w:rsidRDefault="002D7837" w:rsidP="007B2E07">
      <w:pPr>
        <w:pStyle w:val="EndNoteBibliography"/>
        <w:spacing w:line="360" w:lineRule="auto"/>
        <w:jc w:val="both"/>
        <w:rPr>
          <w:noProof/>
        </w:rPr>
      </w:pPr>
    </w:p>
    <w:p w14:paraId="514CA890" w14:textId="134C87F8" w:rsidR="00B240B5" w:rsidRDefault="00B240B5" w:rsidP="007B2E07">
      <w:pPr>
        <w:pStyle w:val="EndNoteBibliography"/>
        <w:spacing w:line="360" w:lineRule="auto"/>
        <w:jc w:val="both"/>
        <w:rPr>
          <w:noProof/>
        </w:rPr>
      </w:pPr>
      <w:r w:rsidRPr="00B240B5">
        <w:rPr>
          <w:noProof/>
        </w:rPr>
        <w:t>Goyal, A., Cardozo-Ojeda, E.F., and Schiffer, J.T. (2020a). Potency and timing of antiviral therapy as determinants of duration of SARS CoV-2 shedding and intensity of inflammatory response. medRxiv, 2020.2004.2010.20061325.</w:t>
      </w:r>
    </w:p>
    <w:p w14:paraId="7A0903EA" w14:textId="77777777" w:rsidR="002D7837" w:rsidRPr="00B240B5" w:rsidRDefault="002D7837" w:rsidP="007B2E07">
      <w:pPr>
        <w:pStyle w:val="EndNoteBibliography"/>
        <w:spacing w:line="360" w:lineRule="auto"/>
        <w:jc w:val="both"/>
        <w:rPr>
          <w:noProof/>
        </w:rPr>
      </w:pPr>
    </w:p>
    <w:p w14:paraId="7CE7E822" w14:textId="46E82B82" w:rsidR="00B240B5" w:rsidRDefault="00B240B5" w:rsidP="007B2E07">
      <w:pPr>
        <w:pStyle w:val="EndNoteBibliography"/>
        <w:spacing w:line="360" w:lineRule="auto"/>
        <w:jc w:val="both"/>
        <w:rPr>
          <w:noProof/>
        </w:rPr>
      </w:pPr>
      <w:r w:rsidRPr="00B240B5">
        <w:rPr>
          <w:noProof/>
        </w:rPr>
        <w:t>Goyal, A., Reeves, D.B., Cardozo-Ojeda, E.F., Schiffer, J.T., and Mayer, B.T. (2020b). Wrong person, place and time: viral load and contact network structure predict SARS-CoV-2 transmission and super-spreading events. medRxiv, 2020.2008.2007.20169920.</w:t>
      </w:r>
    </w:p>
    <w:p w14:paraId="53D9EBAC" w14:textId="77777777" w:rsidR="002D7837" w:rsidRPr="00B240B5" w:rsidRDefault="002D7837" w:rsidP="007B2E07">
      <w:pPr>
        <w:pStyle w:val="EndNoteBibliography"/>
        <w:spacing w:line="360" w:lineRule="auto"/>
        <w:jc w:val="both"/>
        <w:rPr>
          <w:noProof/>
        </w:rPr>
      </w:pPr>
    </w:p>
    <w:p w14:paraId="4DA3EF62" w14:textId="6A331054" w:rsidR="00B240B5" w:rsidRDefault="006329B8" w:rsidP="007B2E07">
      <w:pPr>
        <w:pStyle w:val="EndNoteBibliography"/>
        <w:spacing w:line="360" w:lineRule="auto"/>
        <w:jc w:val="both"/>
        <w:rPr>
          <w:noProof/>
        </w:rPr>
      </w:pPr>
      <w:hyperlink r:id="rId5" w:history="1">
        <w:r w:rsidR="00B240B5" w:rsidRPr="00B240B5">
          <w:rPr>
            <w:rStyle w:val="Hyperlink"/>
            <w:noProof/>
          </w:rPr>
          <w:t>https://covid.idmod.org/data/One_state_many_outbreaks.pdf</w:t>
        </w:r>
      </w:hyperlink>
      <w:r w:rsidR="00B240B5" w:rsidRPr="00B240B5">
        <w:rPr>
          <w:noProof/>
        </w:rPr>
        <w:t>. Thakkar, N and Famulare, M. One state, many outbreaks: a transmission modeling perspective on current COVID-19 trends in King, Pierce, and Yakima counties (2020). .</w:t>
      </w:r>
    </w:p>
    <w:p w14:paraId="44066778" w14:textId="77777777" w:rsidR="002D7837" w:rsidRPr="00B240B5" w:rsidRDefault="002D7837" w:rsidP="007B2E07">
      <w:pPr>
        <w:pStyle w:val="EndNoteBibliography"/>
        <w:spacing w:line="360" w:lineRule="auto"/>
        <w:jc w:val="both"/>
        <w:rPr>
          <w:noProof/>
        </w:rPr>
      </w:pPr>
    </w:p>
    <w:p w14:paraId="5A9815F6" w14:textId="61A0AB70" w:rsidR="00B240B5" w:rsidRPr="00B240B5" w:rsidRDefault="006329B8" w:rsidP="007B2E07">
      <w:pPr>
        <w:pStyle w:val="EndNoteBibliography"/>
        <w:spacing w:line="360" w:lineRule="auto"/>
        <w:jc w:val="both"/>
        <w:rPr>
          <w:noProof/>
        </w:rPr>
      </w:pPr>
      <w:hyperlink r:id="rId6" w:history="1">
        <w:r w:rsidR="00B240B5" w:rsidRPr="00B240B5">
          <w:rPr>
            <w:rStyle w:val="Hyperlink"/>
            <w:noProof/>
          </w:rPr>
          <w:t>https://delphi.cmu.edu/blog/2020/10/12/new-and-improved-covid-symptom-survey-tracks-testing-and-mask-wearing/</w:t>
        </w:r>
      </w:hyperlink>
      <w:r w:rsidR="00B240B5" w:rsidRPr="00B240B5">
        <w:rPr>
          <w:noProof/>
        </w:rPr>
        <w:t>).</w:t>
      </w:r>
    </w:p>
    <w:p w14:paraId="19984EE6" w14:textId="44BC3139" w:rsidR="00B240B5" w:rsidRDefault="006329B8" w:rsidP="007B2E07">
      <w:pPr>
        <w:pStyle w:val="EndNoteBibliography"/>
        <w:spacing w:line="360" w:lineRule="auto"/>
        <w:jc w:val="both"/>
        <w:rPr>
          <w:noProof/>
        </w:rPr>
      </w:pPr>
      <w:hyperlink r:id="rId7" w:history="1">
        <w:r w:rsidR="00B240B5" w:rsidRPr="00B240B5">
          <w:rPr>
            <w:rStyle w:val="Hyperlink"/>
            <w:noProof/>
          </w:rPr>
          <w:t>https://publichealthinsider.com/wp-content/uploads/2020/08/8.3-SCAN-Technical-Report-3_FINAL_CLEAN.pdf</w:t>
        </w:r>
      </w:hyperlink>
      <w:r w:rsidR="00B240B5" w:rsidRPr="00B240B5">
        <w:rPr>
          <w:noProof/>
        </w:rPr>
        <w:t>. Roy Burstein et al.     SCAN Data Results and Technical Report #3 (2020) </w:t>
      </w:r>
    </w:p>
    <w:p w14:paraId="02B92E41" w14:textId="77777777" w:rsidR="002D7837" w:rsidRPr="00B240B5" w:rsidRDefault="002D7837" w:rsidP="007B2E07">
      <w:pPr>
        <w:pStyle w:val="EndNoteBibliography"/>
        <w:spacing w:line="360" w:lineRule="auto"/>
        <w:jc w:val="both"/>
        <w:rPr>
          <w:noProof/>
        </w:rPr>
      </w:pPr>
    </w:p>
    <w:p w14:paraId="385EDA56" w14:textId="15301F39" w:rsidR="00B240B5" w:rsidRDefault="006329B8" w:rsidP="007B2E07">
      <w:pPr>
        <w:pStyle w:val="EndNoteBibliography"/>
        <w:spacing w:line="360" w:lineRule="auto"/>
        <w:jc w:val="both"/>
        <w:rPr>
          <w:noProof/>
        </w:rPr>
      </w:pPr>
      <w:hyperlink r:id="rId8" w:history="1">
        <w:r w:rsidR="00B240B5" w:rsidRPr="00B240B5">
          <w:rPr>
            <w:rStyle w:val="Hyperlink"/>
            <w:noProof/>
          </w:rPr>
          <w:t>https://www.google.com/covid19/mobility</w:t>
        </w:r>
      </w:hyperlink>
      <w:r w:rsidR="00B240B5" w:rsidRPr="00B240B5">
        <w:rPr>
          <w:noProof/>
        </w:rPr>
        <w:t xml:space="preserve">. </w:t>
      </w:r>
      <w:r w:rsidR="00B240B5" w:rsidRPr="00B240B5">
        <w:rPr>
          <w:i/>
          <w:noProof/>
        </w:rPr>
        <w:t>Google COVID-19 Community Mobility Reports</w:t>
      </w:r>
      <w:r w:rsidR="00B240B5" w:rsidRPr="00B240B5">
        <w:rPr>
          <w:noProof/>
        </w:rPr>
        <w:t>.</w:t>
      </w:r>
    </w:p>
    <w:p w14:paraId="722A9C9B" w14:textId="77777777" w:rsidR="002D7837" w:rsidRPr="00B240B5" w:rsidRDefault="002D7837" w:rsidP="007B2E07">
      <w:pPr>
        <w:pStyle w:val="EndNoteBibliography"/>
        <w:spacing w:line="360" w:lineRule="auto"/>
        <w:jc w:val="both"/>
        <w:rPr>
          <w:noProof/>
        </w:rPr>
      </w:pPr>
    </w:p>
    <w:p w14:paraId="77107330" w14:textId="77777777" w:rsidR="00B240B5" w:rsidRPr="00B240B5" w:rsidRDefault="00B240B5" w:rsidP="007B2E07">
      <w:pPr>
        <w:pStyle w:val="EndNoteBibliography"/>
        <w:spacing w:line="360" w:lineRule="auto"/>
        <w:jc w:val="both"/>
        <w:rPr>
          <w:noProof/>
        </w:rPr>
      </w:pPr>
      <w:r w:rsidRPr="00B240B5">
        <w:rPr>
          <w:noProof/>
        </w:rPr>
        <w:t>Zhang, Y., Li, Y., Wang, L., Li, M., and Zhou, X. (2020). Evaluating Transmission Heterogeneity and Super-Spreading Event of COVID-19 in a Metropolis of China. Int J Environ Res Public Health</w:t>
      </w:r>
      <w:r w:rsidRPr="00B240B5">
        <w:rPr>
          <w:i/>
          <w:noProof/>
        </w:rPr>
        <w:t xml:space="preserve"> 17</w:t>
      </w:r>
      <w:r w:rsidRPr="00B240B5">
        <w:rPr>
          <w:noProof/>
        </w:rPr>
        <w:t>.</w:t>
      </w:r>
    </w:p>
    <w:p w14:paraId="3BBF0D03" w14:textId="34BAA31E" w:rsidR="00A94C0A" w:rsidRDefault="00B240B5" w:rsidP="007B2E07">
      <w:pPr>
        <w:spacing w:line="360" w:lineRule="auto"/>
        <w:jc w:val="both"/>
      </w:pPr>
      <w:r>
        <w:fldChar w:fldCharType="end"/>
      </w:r>
    </w:p>
    <w:sectPr w:rsidR="00A94C0A" w:rsidSect="00DD4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6103"/>
    <w:multiLevelType w:val="hybridMultilevel"/>
    <w:tmpl w:val="CC9646EE"/>
    <w:lvl w:ilvl="0" w:tplc="0BBA4548">
      <w:start w:val="1"/>
      <w:numFmt w:val="decimal"/>
      <w:lvlText w:val="%1."/>
      <w:lvlJc w:val="left"/>
      <w:pPr>
        <w:ind w:left="720" w:hanging="360"/>
      </w:pPr>
      <w:rPr>
        <w:rFonts w:hint="default"/>
        <w:b/>
        <w:bCs/>
      </w:rPr>
    </w:lvl>
    <w:lvl w:ilvl="1" w:tplc="BE6A9F22">
      <w:start w:val="1"/>
      <w:numFmt w:val="lowerLetter"/>
      <w:lvlText w:val="%2."/>
      <w:lvlJc w:val="left"/>
      <w:pPr>
        <w:ind w:left="1440" w:hanging="360"/>
      </w:pPr>
      <w:rPr>
        <w:b/>
        <w:bCs/>
      </w:rPr>
    </w:lvl>
    <w:lvl w:ilvl="2" w:tplc="37644028">
      <w:start w:val="1"/>
      <w:numFmt w:val="lowerRoman"/>
      <w:lvlText w:val="%3."/>
      <w:lvlJc w:val="right"/>
      <w:pPr>
        <w:ind w:left="2160" w:hanging="180"/>
      </w:pPr>
      <w:rPr>
        <w:b/>
        <w:bCs/>
      </w:rPr>
    </w:lvl>
    <w:lvl w:ilvl="3" w:tplc="84A89732">
      <w:start w:val="1"/>
      <w:numFmt w:val="decimal"/>
      <w:lvlText w:val="%4)"/>
      <w:lvlJc w:val="left"/>
      <w:pPr>
        <w:ind w:left="2880" w:hanging="360"/>
      </w:pPr>
      <w:rPr>
        <w:b/>
        <w:bCs/>
      </w:rPr>
    </w:lvl>
    <w:lvl w:ilvl="4" w:tplc="9BF6A670">
      <w:start w:val="1"/>
      <w:numFmt w:val="upperLetter"/>
      <w:lvlText w:val="%5."/>
      <w:lvlJc w:val="left"/>
      <w:pPr>
        <w:ind w:left="3600" w:hanging="360"/>
      </w:pPr>
      <w:rPr>
        <w:b/>
        <w:b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8C212A"/>
    <w:multiLevelType w:val="hybridMultilevel"/>
    <w:tmpl w:val="DCBEEDCE"/>
    <w:lvl w:ilvl="0" w:tplc="D4208C56">
      <w:start w:val="1"/>
      <w:numFmt w:val="decimal"/>
      <w:lvlText w:val="%1."/>
      <w:lvlJc w:val="left"/>
      <w:pPr>
        <w:ind w:left="1080" w:hanging="360"/>
      </w:pPr>
      <w:rPr>
        <w:rFonts w:hint="default"/>
        <w:b/>
        <w:bCs/>
      </w:rPr>
    </w:lvl>
    <w:lvl w:ilvl="1" w:tplc="80FA54C8">
      <w:start w:val="1"/>
      <w:numFmt w:val="lowerLetter"/>
      <w:lvlText w:val="%2."/>
      <w:lvlJc w:val="left"/>
      <w:pPr>
        <w:ind w:left="1800" w:hanging="360"/>
      </w:pPr>
      <w:rPr>
        <w:b/>
        <w:bCs/>
      </w:rPr>
    </w:lvl>
    <w:lvl w:ilvl="2" w:tplc="7BC0DD0A">
      <w:start w:val="1"/>
      <w:numFmt w:val="lowerRoman"/>
      <w:lvlText w:val="%3."/>
      <w:lvlJc w:val="right"/>
      <w:pPr>
        <w:ind w:left="2520" w:hanging="180"/>
      </w:pPr>
      <w:rPr>
        <w:b/>
        <w:bCs/>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569E7"/>
    <w:multiLevelType w:val="hybridMultilevel"/>
    <w:tmpl w:val="DE14672C"/>
    <w:lvl w:ilvl="0" w:tplc="8D9E618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056448"/>
    <w:multiLevelType w:val="hybridMultilevel"/>
    <w:tmpl w:val="DB9CA8FA"/>
    <w:lvl w:ilvl="0" w:tplc="888CE5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2A3D7F"/>
    <w:multiLevelType w:val="hybridMultilevel"/>
    <w:tmpl w:val="C016951A"/>
    <w:lvl w:ilvl="0" w:tplc="3956E2D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Cel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94C0A"/>
    <w:rsid w:val="0002485C"/>
    <w:rsid w:val="00027399"/>
    <w:rsid w:val="000336FB"/>
    <w:rsid w:val="00076552"/>
    <w:rsid w:val="0007716E"/>
    <w:rsid w:val="00094C7B"/>
    <w:rsid w:val="000B22E9"/>
    <w:rsid w:val="00111E4A"/>
    <w:rsid w:val="00122F5D"/>
    <w:rsid w:val="001304BE"/>
    <w:rsid w:val="00151F82"/>
    <w:rsid w:val="001C75E0"/>
    <w:rsid w:val="001F79C1"/>
    <w:rsid w:val="0024114D"/>
    <w:rsid w:val="002C231C"/>
    <w:rsid w:val="002C5504"/>
    <w:rsid w:val="002D7837"/>
    <w:rsid w:val="002F2EB9"/>
    <w:rsid w:val="003370DE"/>
    <w:rsid w:val="00353C29"/>
    <w:rsid w:val="00354362"/>
    <w:rsid w:val="003702C5"/>
    <w:rsid w:val="00490ADB"/>
    <w:rsid w:val="00496F97"/>
    <w:rsid w:val="00504438"/>
    <w:rsid w:val="005831F0"/>
    <w:rsid w:val="005A1E3C"/>
    <w:rsid w:val="005B0640"/>
    <w:rsid w:val="005B1D23"/>
    <w:rsid w:val="00604A94"/>
    <w:rsid w:val="006329B8"/>
    <w:rsid w:val="00632C3F"/>
    <w:rsid w:val="00645BDF"/>
    <w:rsid w:val="0068322C"/>
    <w:rsid w:val="00695CCB"/>
    <w:rsid w:val="006D6A8E"/>
    <w:rsid w:val="007077D7"/>
    <w:rsid w:val="0071465D"/>
    <w:rsid w:val="00741E8F"/>
    <w:rsid w:val="0075659E"/>
    <w:rsid w:val="0076152D"/>
    <w:rsid w:val="00772B83"/>
    <w:rsid w:val="00781AFA"/>
    <w:rsid w:val="007B0FBC"/>
    <w:rsid w:val="007B145F"/>
    <w:rsid w:val="007B2E07"/>
    <w:rsid w:val="007D3F8C"/>
    <w:rsid w:val="007E6200"/>
    <w:rsid w:val="007F2DAA"/>
    <w:rsid w:val="00802FF8"/>
    <w:rsid w:val="0081425E"/>
    <w:rsid w:val="00841FE6"/>
    <w:rsid w:val="0084419E"/>
    <w:rsid w:val="008660D6"/>
    <w:rsid w:val="008A3A33"/>
    <w:rsid w:val="008B33F3"/>
    <w:rsid w:val="008F2342"/>
    <w:rsid w:val="009313B3"/>
    <w:rsid w:val="0096315C"/>
    <w:rsid w:val="009C6682"/>
    <w:rsid w:val="00A201B2"/>
    <w:rsid w:val="00A657DA"/>
    <w:rsid w:val="00A7122D"/>
    <w:rsid w:val="00A74B54"/>
    <w:rsid w:val="00A94C0A"/>
    <w:rsid w:val="00AB0135"/>
    <w:rsid w:val="00AB29CC"/>
    <w:rsid w:val="00AD1ACB"/>
    <w:rsid w:val="00B240B5"/>
    <w:rsid w:val="00B427D1"/>
    <w:rsid w:val="00B473E0"/>
    <w:rsid w:val="00B94C07"/>
    <w:rsid w:val="00C245ED"/>
    <w:rsid w:val="00C7183C"/>
    <w:rsid w:val="00C8507F"/>
    <w:rsid w:val="00CA54F0"/>
    <w:rsid w:val="00CE03E3"/>
    <w:rsid w:val="00D17770"/>
    <w:rsid w:val="00D70AE5"/>
    <w:rsid w:val="00D80CCF"/>
    <w:rsid w:val="00D86706"/>
    <w:rsid w:val="00DA1897"/>
    <w:rsid w:val="00DD496B"/>
    <w:rsid w:val="00DE1E81"/>
    <w:rsid w:val="00DF79D2"/>
    <w:rsid w:val="00E03DDD"/>
    <w:rsid w:val="00E71AB3"/>
    <w:rsid w:val="00E97406"/>
    <w:rsid w:val="00EB693E"/>
    <w:rsid w:val="00EC2FD8"/>
    <w:rsid w:val="00F8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A10D"/>
  <w15:docId w15:val="{10BA491D-DAD8-834E-993A-496FB651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C0A"/>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1E81"/>
    <w:rPr>
      <w:sz w:val="18"/>
      <w:szCs w:val="18"/>
    </w:rPr>
  </w:style>
  <w:style w:type="character" w:customStyle="1" w:styleId="BalloonTextChar">
    <w:name w:val="Balloon Text Char"/>
    <w:basedOn w:val="DefaultParagraphFont"/>
    <w:link w:val="BalloonText"/>
    <w:uiPriority w:val="99"/>
    <w:semiHidden/>
    <w:rsid w:val="00DE1E81"/>
    <w:rPr>
      <w:rFonts w:ascii="Times New Roman" w:hAnsi="Times New Roman" w:cs="Times New Roman"/>
      <w:sz w:val="18"/>
      <w:szCs w:val="18"/>
    </w:rPr>
  </w:style>
  <w:style w:type="character" w:customStyle="1" w:styleId="CommentTextChar">
    <w:name w:val="Comment Text Char"/>
    <w:basedOn w:val="DefaultParagraphFont"/>
    <w:link w:val="CommentText"/>
    <w:uiPriority w:val="99"/>
    <w:rsid w:val="00A94C0A"/>
    <w:rPr>
      <w:rFonts w:ascii="Times New Roman" w:hAnsi="Times New Roman" w:cs="Times New Roman"/>
      <w:sz w:val="20"/>
      <w:szCs w:val="20"/>
    </w:rPr>
  </w:style>
  <w:style w:type="paragraph" w:styleId="CommentText">
    <w:name w:val="annotation text"/>
    <w:basedOn w:val="Normal"/>
    <w:link w:val="CommentTextChar"/>
    <w:uiPriority w:val="99"/>
    <w:unhideWhenUsed/>
    <w:rsid w:val="00A94C0A"/>
    <w:rPr>
      <w:sz w:val="20"/>
      <w:szCs w:val="20"/>
    </w:rPr>
  </w:style>
  <w:style w:type="character" w:customStyle="1" w:styleId="CommentSubjectChar">
    <w:name w:val="Comment Subject Char"/>
    <w:basedOn w:val="CommentTextChar"/>
    <w:link w:val="CommentSubject"/>
    <w:uiPriority w:val="99"/>
    <w:semiHidden/>
    <w:rsid w:val="00A94C0A"/>
    <w:rPr>
      <w:rFonts w:ascii="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94C0A"/>
    <w:rPr>
      <w:b/>
      <w:bCs/>
    </w:rPr>
  </w:style>
  <w:style w:type="paragraph" w:styleId="ListParagraph">
    <w:name w:val="List Paragraph"/>
    <w:basedOn w:val="Normal"/>
    <w:uiPriority w:val="34"/>
    <w:qFormat/>
    <w:rsid w:val="00A94C0A"/>
    <w:pPr>
      <w:ind w:left="720"/>
      <w:contextualSpacing/>
    </w:pPr>
    <w:rPr>
      <w:rFonts w:eastAsia="Times New Roman"/>
    </w:rPr>
  </w:style>
  <w:style w:type="paragraph" w:customStyle="1" w:styleId="EndNoteBibliographyTitle">
    <w:name w:val="EndNote Bibliography Title"/>
    <w:basedOn w:val="Normal"/>
    <w:link w:val="EndNoteBibliographyTitleChar"/>
    <w:rsid w:val="00A94C0A"/>
    <w:pPr>
      <w:jc w:val="center"/>
    </w:pPr>
  </w:style>
  <w:style w:type="character" w:customStyle="1" w:styleId="EndNoteBibliographyTitleChar">
    <w:name w:val="EndNote Bibliography Title Char"/>
    <w:basedOn w:val="DefaultParagraphFont"/>
    <w:link w:val="EndNoteBibliographyTitle"/>
    <w:rsid w:val="00A94C0A"/>
    <w:rPr>
      <w:rFonts w:ascii="Times New Roman" w:hAnsi="Times New Roman" w:cs="Times New Roman"/>
    </w:rPr>
  </w:style>
  <w:style w:type="paragraph" w:customStyle="1" w:styleId="EndNoteBibliography">
    <w:name w:val="EndNote Bibliography"/>
    <w:basedOn w:val="Normal"/>
    <w:link w:val="EndNoteBibliographyChar"/>
    <w:rsid w:val="00A94C0A"/>
    <w:pPr>
      <w:jc w:val="center"/>
    </w:pPr>
  </w:style>
  <w:style w:type="character" w:customStyle="1" w:styleId="EndNoteBibliographyChar">
    <w:name w:val="EndNote Bibliography Char"/>
    <w:basedOn w:val="DefaultParagraphFont"/>
    <w:link w:val="EndNoteBibliography"/>
    <w:rsid w:val="00A94C0A"/>
    <w:rPr>
      <w:rFonts w:ascii="Times New Roman" w:hAnsi="Times New Roman" w:cs="Times New Roman"/>
    </w:rPr>
  </w:style>
  <w:style w:type="character" w:customStyle="1" w:styleId="FootnoteTextChar">
    <w:name w:val="Footnote Text Char"/>
    <w:basedOn w:val="DefaultParagraphFont"/>
    <w:link w:val="FootnoteText"/>
    <w:uiPriority w:val="99"/>
    <w:semiHidden/>
    <w:rsid w:val="00A94C0A"/>
    <w:rPr>
      <w:sz w:val="20"/>
      <w:szCs w:val="20"/>
    </w:rPr>
  </w:style>
  <w:style w:type="paragraph" w:styleId="FootnoteText">
    <w:name w:val="footnote text"/>
    <w:basedOn w:val="Normal"/>
    <w:link w:val="FootnoteTextChar"/>
    <w:uiPriority w:val="99"/>
    <w:semiHidden/>
    <w:unhideWhenUsed/>
    <w:rsid w:val="00A94C0A"/>
    <w:rPr>
      <w:rFonts w:asciiTheme="minorHAnsi" w:hAnsiTheme="minorHAnsi" w:cstheme="minorBidi"/>
      <w:sz w:val="20"/>
      <w:szCs w:val="20"/>
    </w:rPr>
  </w:style>
  <w:style w:type="character" w:styleId="Hyperlink">
    <w:name w:val="Hyperlink"/>
    <w:basedOn w:val="DefaultParagraphFont"/>
    <w:uiPriority w:val="99"/>
    <w:unhideWhenUsed/>
    <w:rsid w:val="00B240B5"/>
    <w:rPr>
      <w:color w:val="0563C1" w:themeColor="hyperlink"/>
      <w:u w:val="single"/>
    </w:rPr>
  </w:style>
  <w:style w:type="character" w:customStyle="1" w:styleId="UnresolvedMention1">
    <w:name w:val="Unresolved Mention1"/>
    <w:basedOn w:val="DefaultParagraphFont"/>
    <w:uiPriority w:val="99"/>
    <w:semiHidden/>
    <w:unhideWhenUsed/>
    <w:rsid w:val="00B240B5"/>
    <w:rPr>
      <w:color w:val="605E5C"/>
      <w:shd w:val="clear" w:color="auto" w:fill="E1DFDD"/>
    </w:rPr>
  </w:style>
  <w:style w:type="character" w:styleId="CommentReference">
    <w:name w:val="annotation reference"/>
    <w:basedOn w:val="DefaultParagraphFont"/>
    <w:uiPriority w:val="99"/>
    <w:semiHidden/>
    <w:unhideWhenUsed/>
    <w:rsid w:val="00F83C5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covid19/mobility" TargetMode="External"/><Relationship Id="rId3" Type="http://schemas.openxmlformats.org/officeDocument/2006/relationships/settings" Target="settings.xml"/><Relationship Id="rId7" Type="http://schemas.openxmlformats.org/officeDocument/2006/relationships/hyperlink" Target="https://publichealthinsider.com/wp-content/uploads/2020/08/8.3-SCAN-Technical-Report-3_FINAL_CLEA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lphi.cmu.edu/blog/2020/10/12/new-and-improved-covid-symptom-survey-tracks-testing-and-mask-wearing/" TargetMode="External"/><Relationship Id="rId5" Type="http://schemas.openxmlformats.org/officeDocument/2006/relationships/hyperlink" Target="https://covid.idmod.org/data/One_state_many_outbreaks.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3922</Words>
  <Characters>22360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Schiffer MD, Joshua T</dc:creator>
  <cp:keywords/>
  <dc:description/>
  <cp:lastModifiedBy>Solomon Raja E.</cp:lastModifiedBy>
  <cp:revision>9</cp:revision>
  <dcterms:created xsi:type="dcterms:W3CDTF">2020-11-04T03:31:00Z</dcterms:created>
  <dcterms:modified xsi:type="dcterms:W3CDTF">2021-05-26T08:31:00Z</dcterms:modified>
</cp:coreProperties>
</file>