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A68" w:rsidRPr="005C6A68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u w:val="single"/>
        </w:rPr>
      </w:pPr>
      <w:r w:rsidRPr="005C6A68">
        <w:rPr>
          <w:u w:val="single"/>
        </w:rPr>
        <w:t>Supplementary material title page</w:t>
      </w:r>
    </w:p>
    <w:p w:rsidR="005C6A68" w:rsidRPr="005D3306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</w:rPr>
      </w:pPr>
      <w:bookmarkStart w:id="0" w:name="_Hlk61263182"/>
      <w:bookmarkStart w:id="1" w:name="_Hlk61263158"/>
      <w:r w:rsidRPr="005D3306">
        <w:rPr>
          <w:b/>
        </w:rPr>
        <w:t xml:space="preserve">Extraordinary diversity of telomeres, telomerase RNAs and their template regions in </w:t>
      </w:r>
      <w:proofErr w:type="spellStart"/>
      <w:r w:rsidRPr="005D3306">
        <w:rPr>
          <w:b/>
        </w:rPr>
        <w:t>Saccharomycetaceae</w:t>
      </w:r>
      <w:bookmarkEnd w:id="0"/>
      <w:proofErr w:type="spellEnd"/>
    </w:p>
    <w:bookmarkEnd w:id="1"/>
    <w:p w:rsidR="005C6A68" w:rsidRPr="005D3306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  <w:r w:rsidRPr="005D3306">
        <w:rPr>
          <w:color w:val="000000"/>
        </w:rPr>
        <w:t>Vratislav Pe</w:t>
      </w:r>
      <w:r w:rsidRPr="005D3306">
        <w:t>s</w:t>
      </w:r>
      <w:r w:rsidRPr="005D3306">
        <w:rPr>
          <w:color w:val="000000"/>
        </w:rPr>
        <w:t>ka</w:t>
      </w:r>
      <w:r w:rsidRPr="005D3306">
        <w:rPr>
          <w:color w:val="000000"/>
          <w:vertAlign w:val="superscript"/>
        </w:rPr>
        <w:t>1*</w:t>
      </w:r>
      <w:r w:rsidRPr="005D3306">
        <w:rPr>
          <w:color w:val="000000"/>
        </w:rPr>
        <w:t xml:space="preserve">, </w:t>
      </w:r>
      <w:r w:rsidRPr="005D3306">
        <w:t>Petr Fajkus</w:t>
      </w:r>
      <w:r w:rsidRPr="005D3306">
        <w:rPr>
          <w:vertAlign w:val="superscript"/>
        </w:rPr>
        <w:t>1,3</w:t>
      </w:r>
      <w:r w:rsidRPr="005D3306">
        <w:t>, Michal Bubeník</w:t>
      </w:r>
      <w:r w:rsidRPr="005D3306">
        <w:rPr>
          <w:vertAlign w:val="superscript"/>
        </w:rPr>
        <w:t>1,3</w:t>
      </w:r>
      <w:r w:rsidRPr="005D3306">
        <w:t>, Václav Brázda</w:t>
      </w:r>
      <w:r w:rsidRPr="005D3306">
        <w:rPr>
          <w:vertAlign w:val="superscript"/>
        </w:rPr>
        <w:t>1</w:t>
      </w:r>
      <w:r w:rsidRPr="005D3306">
        <w:t xml:space="preserve">, </w:t>
      </w:r>
      <w:proofErr w:type="spellStart"/>
      <w:r w:rsidRPr="005D3306">
        <w:t>Natália</w:t>
      </w:r>
      <w:proofErr w:type="spellEnd"/>
      <w:r w:rsidRPr="005D3306">
        <w:t xml:space="preserve"> Bohálová</w:t>
      </w:r>
      <w:r w:rsidRPr="005D3306">
        <w:rPr>
          <w:vertAlign w:val="superscript"/>
        </w:rPr>
        <w:t>1,2</w:t>
      </w:r>
      <w:r w:rsidRPr="005D3306">
        <w:t xml:space="preserve">, </w:t>
      </w:r>
      <w:proofErr w:type="spellStart"/>
      <w:r w:rsidRPr="005D3306">
        <w:rPr>
          <w:color w:val="000000"/>
        </w:rPr>
        <w:t>Ji</w:t>
      </w:r>
      <w:r w:rsidRPr="005D3306">
        <w:t>ří</w:t>
      </w:r>
      <w:proofErr w:type="spellEnd"/>
      <w:r w:rsidRPr="005D3306">
        <w:rPr>
          <w:color w:val="000000"/>
        </w:rPr>
        <w:t xml:space="preserve"> Fajkus</w:t>
      </w:r>
      <w:r w:rsidRPr="005D3306">
        <w:rPr>
          <w:color w:val="000000"/>
          <w:vertAlign w:val="superscript"/>
        </w:rPr>
        <w:t>1,3</w:t>
      </w:r>
      <w:r w:rsidRPr="005D3306">
        <w:rPr>
          <w:color w:val="000000"/>
        </w:rPr>
        <w:t xml:space="preserve">, </w:t>
      </w:r>
      <w:proofErr w:type="spellStart"/>
      <w:r w:rsidRPr="005D3306">
        <w:rPr>
          <w:color w:val="000000"/>
        </w:rPr>
        <w:t>Sònia</w:t>
      </w:r>
      <w:proofErr w:type="spellEnd"/>
      <w:r w:rsidRPr="005D3306">
        <w:rPr>
          <w:color w:val="000000"/>
        </w:rPr>
        <w:t xml:space="preserve"> Garcia</w:t>
      </w:r>
      <w:r w:rsidRPr="005D3306">
        <w:rPr>
          <w:color w:val="000000"/>
          <w:vertAlign w:val="superscript"/>
        </w:rPr>
        <w:t>4*</w:t>
      </w:r>
      <w:r w:rsidRPr="005D3306">
        <w:rPr>
          <w:color w:val="000000"/>
        </w:rPr>
        <w:t xml:space="preserve"> </w:t>
      </w:r>
    </w:p>
    <w:p w:rsidR="005C6A68" w:rsidRPr="005D3306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  <w:r w:rsidRPr="005D3306">
        <w:rPr>
          <w:color w:val="000000"/>
          <w:vertAlign w:val="superscript"/>
        </w:rPr>
        <w:t>1</w:t>
      </w:r>
      <w:r w:rsidRPr="005D3306">
        <w:rPr>
          <w:color w:val="000000"/>
        </w:rPr>
        <w:t>Institute of Biophysics, Academy of Sciences of the Czech Republic, Brno CZ–61265, Czech Republic.</w:t>
      </w:r>
    </w:p>
    <w:p w:rsidR="005C6A68" w:rsidRPr="005D3306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  <w:r w:rsidRPr="005D3306">
        <w:rPr>
          <w:color w:val="000000"/>
          <w:vertAlign w:val="superscript"/>
        </w:rPr>
        <w:t>2</w:t>
      </w:r>
      <w:r w:rsidRPr="005D3306">
        <w:rPr>
          <w:color w:val="000000"/>
        </w:rPr>
        <w:t>Department of Experimental Biology, Faculty of Science, Masaryk University, Brno CZ-62500, Czech Republic</w:t>
      </w:r>
    </w:p>
    <w:p w:rsidR="005C6A68" w:rsidRPr="005D3306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  <w:r w:rsidRPr="005D3306">
        <w:rPr>
          <w:color w:val="000000"/>
          <w:vertAlign w:val="superscript"/>
        </w:rPr>
        <w:t>3</w:t>
      </w:r>
      <w:r w:rsidRPr="005D3306">
        <w:rPr>
          <w:color w:val="000000"/>
        </w:rPr>
        <w:t>Mendel Centre for Plant Genomics and Proteomics, CEITEC, Masaryk University, Brno CZ-62500, Czech Republic</w:t>
      </w:r>
      <w:r w:rsidRPr="005D3306">
        <w:rPr>
          <w:color w:val="000000"/>
          <w:vertAlign w:val="superscript"/>
        </w:rPr>
        <w:t xml:space="preserve"> </w:t>
      </w:r>
    </w:p>
    <w:p w:rsidR="005C6A68" w:rsidRPr="005D3306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  <w:lang w:val="es-ES"/>
        </w:rPr>
      </w:pPr>
      <w:r w:rsidRPr="005D3306">
        <w:rPr>
          <w:color w:val="000000"/>
          <w:vertAlign w:val="superscript"/>
          <w:lang w:val="es-ES"/>
        </w:rPr>
        <w:t>4</w:t>
      </w:r>
      <w:r w:rsidRPr="005D3306">
        <w:rPr>
          <w:color w:val="000000"/>
          <w:lang w:val="es-ES"/>
        </w:rPr>
        <w:t>Institut B</w:t>
      </w:r>
      <w:r w:rsidRPr="005D3306">
        <w:rPr>
          <w:lang w:val="es-ES"/>
        </w:rPr>
        <w:t>o</w:t>
      </w:r>
      <w:r w:rsidRPr="005D3306">
        <w:rPr>
          <w:color w:val="000000"/>
          <w:lang w:val="es-ES"/>
        </w:rPr>
        <w:t>t</w:t>
      </w:r>
      <w:r w:rsidRPr="005D3306">
        <w:rPr>
          <w:lang w:val="es-ES"/>
        </w:rPr>
        <w:t>à</w:t>
      </w:r>
      <w:r w:rsidRPr="005D3306">
        <w:rPr>
          <w:color w:val="000000"/>
          <w:lang w:val="es-ES"/>
        </w:rPr>
        <w:t>nic de Barcelona (IBB</w:t>
      </w:r>
      <w:r w:rsidRPr="005D3306">
        <w:rPr>
          <w:lang w:val="es-ES"/>
        </w:rPr>
        <w:t>-CSIC, Ajuntament de Barcelona</w:t>
      </w:r>
      <w:r w:rsidRPr="005D3306">
        <w:rPr>
          <w:color w:val="000000"/>
          <w:lang w:val="es-ES"/>
        </w:rPr>
        <w:t>), Passeig del Migdia s/n, Barcelona 08038, Catalonia, Spain.</w:t>
      </w:r>
    </w:p>
    <w:p w:rsidR="005C6A68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u w:val="single"/>
        </w:rPr>
      </w:pPr>
      <w:r w:rsidRPr="005D3306">
        <w:rPr>
          <w:color w:val="000000"/>
        </w:rPr>
        <w:t>*Authors for correspondence</w:t>
      </w:r>
      <w:r w:rsidRPr="005C6A68">
        <w:t xml:space="preserve">: </w:t>
      </w:r>
      <w:hyperlink r:id="rId4">
        <w:r w:rsidRPr="005C6A68">
          <w:rPr>
            <w:u w:val="single"/>
          </w:rPr>
          <w:t>vpeska@ibp.cz</w:t>
        </w:r>
      </w:hyperlink>
      <w:r w:rsidRPr="005C6A68">
        <w:t xml:space="preserve">; </w:t>
      </w:r>
      <w:hyperlink r:id="rId5" w:history="1">
        <w:r w:rsidRPr="005C6A68">
          <w:rPr>
            <w:rStyle w:val="Hypertextovodkaz"/>
            <w:rFonts w:ascii="Times New Roman" w:hAnsi="Times New Roman" w:cs="Times New Roman"/>
            <w:color w:val="auto"/>
          </w:rPr>
          <w:t>soniagarcia@ibb.csic.es</w:t>
        </w:r>
      </w:hyperlink>
      <w:r w:rsidRPr="005C6A68">
        <w:rPr>
          <w:u w:val="single"/>
        </w:rPr>
        <w:t xml:space="preserve"> </w:t>
      </w:r>
    </w:p>
    <w:p w:rsidR="005C6A68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</w:p>
    <w:p w:rsidR="005C6A68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  <w:r w:rsidRPr="005C6A68">
        <w:rPr>
          <w:b/>
          <w:color w:val="000000"/>
        </w:rPr>
        <w:t>Supplementary Table S1</w:t>
      </w:r>
      <w:r>
        <w:rPr>
          <w:color w:val="000000"/>
        </w:rPr>
        <w:t xml:space="preserve"> Summary of species tested, used datasets, identified telomere, telomerase and template region sequences.</w:t>
      </w:r>
    </w:p>
    <w:p w:rsidR="005C6A68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  <w:r w:rsidRPr="005C6A68">
        <w:rPr>
          <w:b/>
          <w:color w:val="000000"/>
        </w:rPr>
        <w:t>Supplementary Table S2</w:t>
      </w:r>
      <w:r>
        <w:rPr>
          <w:color w:val="000000"/>
        </w:rPr>
        <w:t xml:space="preserve"> Tandem repeats finder output with </w:t>
      </w:r>
      <w:proofErr w:type="spellStart"/>
      <w:r>
        <w:rPr>
          <w:color w:val="000000"/>
          <w:lang w:val="cs-CZ"/>
        </w:rPr>
        <w:t>highlighted</w:t>
      </w:r>
      <w:proofErr w:type="spellEnd"/>
      <w:r>
        <w:rPr>
          <w:color w:val="000000"/>
        </w:rPr>
        <w:t xml:space="preserve"> telomere sequences and details about datasets.</w:t>
      </w:r>
    </w:p>
    <w:p w:rsidR="005C6A68" w:rsidRDefault="005C6A68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  <w:r w:rsidRPr="005C6A68">
        <w:rPr>
          <w:b/>
          <w:color w:val="000000"/>
        </w:rPr>
        <w:t>Supplementary Table S3</w:t>
      </w:r>
      <w:r>
        <w:rPr>
          <w:b/>
          <w:color w:val="000000"/>
        </w:rPr>
        <w:t xml:space="preserve"> </w:t>
      </w:r>
      <w:r>
        <w:rPr>
          <w:color w:val="000000"/>
        </w:rPr>
        <w:t>G-quadruplex analysis output.</w:t>
      </w:r>
    </w:p>
    <w:p w:rsidR="002453D6" w:rsidRDefault="002453D6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  <w:r w:rsidRPr="002453D6">
        <w:rPr>
          <w:b/>
          <w:color w:val="000000"/>
        </w:rPr>
        <w:t>Supplementary Table S4</w:t>
      </w:r>
      <w:r>
        <w:rPr>
          <w:color w:val="000000"/>
        </w:rPr>
        <w:t xml:space="preserve"> </w:t>
      </w:r>
      <w:r w:rsidRPr="002453D6">
        <w:rPr>
          <w:color w:val="000000"/>
        </w:rPr>
        <w:t xml:space="preserve">G-quadruplex formation </w:t>
      </w:r>
      <w:r w:rsidRPr="002453D6">
        <w:rPr>
          <w:i/>
          <w:color w:val="000000"/>
        </w:rPr>
        <w:t>in vitro</w:t>
      </w:r>
      <w:r w:rsidRPr="002453D6">
        <w:rPr>
          <w:color w:val="000000"/>
        </w:rPr>
        <w:t xml:space="preserve"> measurements of selected sequences</w:t>
      </w:r>
    </w:p>
    <w:p w:rsidR="00396ECF" w:rsidRPr="006301D0" w:rsidRDefault="00396ECF" w:rsidP="00396ECF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i/>
          <w:color w:val="222222"/>
        </w:rPr>
      </w:pPr>
      <w:bookmarkStart w:id="2" w:name="_Hlk72833451"/>
      <w:r w:rsidRPr="006301D0">
        <w:rPr>
          <w:b/>
          <w:color w:val="222222"/>
        </w:rPr>
        <w:t>Supplementary Figure S1</w:t>
      </w:r>
      <w:r>
        <w:rPr>
          <w:color w:val="222222"/>
        </w:rPr>
        <w:t xml:space="preserve">. </w:t>
      </w:r>
      <w:r>
        <w:rPr>
          <w:color w:val="222222"/>
        </w:rPr>
        <w:t xml:space="preserve">Visualisation of all tandem motifs from </w:t>
      </w:r>
      <w:proofErr w:type="spellStart"/>
      <w:r>
        <w:rPr>
          <w:color w:val="222222"/>
        </w:rPr>
        <w:t>TRFi</w:t>
      </w:r>
      <w:proofErr w:type="spellEnd"/>
      <w:r>
        <w:rPr>
          <w:color w:val="222222"/>
        </w:rPr>
        <w:t xml:space="preserve"> output, including candidate template, matching the target region of TRs in </w:t>
      </w:r>
      <w:r w:rsidRPr="006301D0">
        <w:rPr>
          <w:i/>
          <w:color w:val="222222"/>
        </w:rPr>
        <w:t xml:space="preserve">C. glabrata, K. </w:t>
      </w:r>
      <w:proofErr w:type="spellStart"/>
      <w:r w:rsidRPr="006301D0">
        <w:rPr>
          <w:i/>
          <w:color w:val="222222"/>
        </w:rPr>
        <w:t>aestuartii</w:t>
      </w:r>
      <w:proofErr w:type="spellEnd"/>
      <w:r w:rsidRPr="006301D0">
        <w:rPr>
          <w:i/>
          <w:color w:val="222222"/>
        </w:rPr>
        <w:t xml:space="preserve">, K. </w:t>
      </w:r>
      <w:proofErr w:type="spellStart"/>
      <w:r w:rsidRPr="006301D0">
        <w:rPr>
          <w:i/>
          <w:color w:val="222222"/>
        </w:rPr>
        <w:t>dobzhanskii</w:t>
      </w:r>
      <w:proofErr w:type="spellEnd"/>
      <w:r w:rsidRPr="006301D0">
        <w:rPr>
          <w:i/>
          <w:color w:val="222222"/>
        </w:rPr>
        <w:t xml:space="preserve">, K. lactis, K. </w:t>
      </w:r>
      <w:proofErr w:type="spellStart"/>
      <w:r w:rsidRPr="006301D0">
        <w:rPr>
          <w:i/>
          <w:color w:val="222222"/>
        </w:rPr>
        <w:t>marxianus</w:t>
      </w:r>
      <w:proofErr w:type="spellEnd"/>
      <w:r w:rsidRPr="006301D0">
        <w:rPr>
          <w:i/>
          <w:color w:val="222222"/>
        </w:rPr>
        <w:t xml:space="preserve">, L. </w:t>
      </w:r>
      <w:proofErr w:type="spellStart"/>
      <w:r w:rsidRPr="006301D0">
        <w:rPr>
          <w:i/>
          <w:color w:val="222222"/>
        </w:rPr>
        <w:t>kluyveri</w:t>
      </w:r>
      <w:proofErr w:type="spellEnd"/>
      <w:r w:rsidRPr="006301D0">
        <w:rPr>
          <w:i/>
          <w:color w:val="222222"/>
        </w:rPr>
        <w:t xml:space="preserve">, L. </w:t>
      </w:r>
      <w:proofErr w:type="spellStart"/>
      <w:r w:rsidRPr="006301D0">
        <w:rPr>
          <w:i/>
          <w:color w:val="222222"/>
        </w:rPr>
        <w:t>cidri</w:t>
      </w:r>
      <w:proofErr w:type="spellEnd"/>
      <w:r w:rsidRPr="006301D0">
        <w:rPr>
          <w:i/>
          <w:color w:val="222222"/>
        </w:rPr>
        <w:t xml:space="preserve">, L. </w:t>
      </w:r>
      <w:proofErr w:type="spellStart"/>
      <w:r w:rsidRPr="006301D0">
        <w:rPr>
          <w:i/>
          <w:color w:val="222222"/>
        </w:rPr>
        <w:t>dasiensis</w:t>
      </w:r>
      <w:proofErr w:type="spellEnd"/>
      <w:r w:rsidRPr="006301D0">
        <w:rPr>
          <w:i/>
          <w:color w:val="222222"/>
        </w:rPr>
        <w:t xml:space="preserve">, L. </w:t>
      </w:r>
      <w:proofErr w:type="spellStart"/>
      <w:r w:rsidRPr="006301D0">
        <w:rPr>
          <w:i/>
          <w:color w:val="222222"/>
        </w:rPr>
        <w:t>fermentat</w:t>
      </w:r>
      <w:r w:rsidRPr="006301D0">
        <w:rPr>
          <w:i/>
          <w:color w:val="222222"/>
        </w:rPr>
        <w:t>i</w:t>
      </w:r>
      <w:proofErr w:type="spellEnd"/>
      <w:r w:rsidRPr="006301D0">
        <w:rPr>
          <w:i/>
          <w:color w:val="222222"/>
        </w:rPr>
        <w:t xml:space="preserve">, L. </w:t>
      </w:r>
      <w:proofErr w:type="spellStart"/>
      <w:r w:rsidRPr="006301D0">
        <w:rPr>
          <w:i/>
          <w:color w:val="222222"/>
        </w:rPr>
        <w:t>meyersii</w:t>
      </w:r>
      <w:proofErr w:type="spellEnd"/>
      <w:r>
        <w:rPr>
          <w:i/>
          <w:color w:val="222222"/>
        </w:rPr>
        <w:t>.</w:t>
      </w:r>
    </w:p>
    <w:p w:rsidR="00396ECF" w:rsidRPr="006301D0" w:rsidRDefault="00396ECF" w:rsidP="00396ECF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i/>
          <w:color w:val="222222"/>
        </w:rPr>
      </w:pPr>
      <w:r w:rsidRPr="006301D0">
        <w:rPr>
          <w:b/>
          <w:color w:val="222222"/>
        </w:rPr>
        <w:t>Supplementary Figure S2.</w:t>
      </w:r>
      <w:r>
        <w:rPr>
          <w:color w:val="222222"/>
        </w:rPr>
        <w:t xml:space="preserve"> Visualisation of all tandem motifs from </w:t>
      </w:r>
      <w:proofErr w:type="spellStart"/>
      <w:r>
        <w:rPr>
          <w:color w:val="222222"/>
        </w:rPr>
        <w:t>TRFi</w:t>
      </w:r>
      <w:proofErr w:type="spellEnd"/>
      <w:r>
        <w:rPr>
          <w:color w:val="222222"/>
        </w:rPr>
        <w:t xml:space="preserve"> output, including candidate template, matching the target region of TRs in </w:t>
      </w:r>
      <w:r w:rsidRPr="006301D0">
        <w:rPr>
          <w:i/>
          <w:color w:val="222222"/>
        </w:rPr>
        <w:t xml:space="preserve">L. </w:t>
      </w:r>
      <w:proofErr w:type="spellStart"/>
      <w:r w:rsidRPr="006301D0">
        <w:rPr>
          <w:i/>
          <w:color w:val="222222"/>
        </w:rPr>
        <w:t>mirantina</w:t>
      </w:r>
      <w:proofErr w:type="spellEnd"/>
      <w:r w:rsidRPr="006301D0">
        <w:rPr>
          <w:i/>
          <w:color w:val="222222"/>
        </w:rPr>
        <w:t xml:space="preserve">, L. </w:t>
      </w:r>
      <w:proofErr w:type="spellStart"/>
      <w:r w:rsidRPr="006301D0">
        <w:rPr>
          <w:i/>
          <w:color w:val="222222"/>
        </w:rPr>
        <w:t>nothofagi</w:t>
      </w:r>
      <w:proofErr w:type="spellEnd"/>
      <w:r w:rsidRPr="006301D0">
        <w:rPr>
          <w:i/>
          <w:color w:val="222222"/>
        </w:rPr>
        <w:t xml:space="preserve">, L. </w:t>
      </w:r>
      <w:r w:rsidRPr="000044E0">
        <w:rPr>
          <w:color w:val="222222"/>
        </w:rPr>
        <w:t>sp. CBS 6924</w:t>
      </w:r>
      <w:r w:rsidRPr="006301D0">
        <w:rPr>
          <w:i/>
          <w:color w:val="222222"/>
        </w:rPr>
        <w:t xml:space="preserve">, L. </w:t>
      </w:r>
      <w:proofErr w:type="spellStart"/>
      <w:r w:rsidRPr="006301D0">
        <w:rPr>
          <w:i/>
          <w:color w:val="222222"/>
        </w:rPr>
        <w:t>thermotolerans</w:t>
      </w:r>
      <w:proofErr w:type="spellEnd"/>
      <w:r w:rsidRPr="006301D0">
        <w:rPr>
          <w:i/>
          <w:color w:val="222222"/>
        </w:rPr>
        <w:t xml:space="preserve">, L. </w:t>
      </w:r>
      <w:proofErr w:type="spellStart"/>
      <w:r w:rsidRPr="006301D0">
        <w:rPr>
          <w:i/>
          <w:color w:val="222222"/>
        </w:rPr>
        <w:t>waltii</w:t>
      </w:r>
      <w:proofErr w:type="spellEnd"/>
      <w:r w:rsidRPr="006301D0">
        <w:rPr>
          <w:i/>
          <w:color w:val="222222"/>
        </w:rPr>
        <w:t xml:space="preserve">, S. </w:t>
      </w:r>
      <w:proofErr w:type="spellStart"/>
      <w:r w:rsidRPr="006301D0">
        <w:rPr>
          <w:i/>
          <w:color w:val="222222"/>
        </w:rPr>
        <w:t>arboricloa</w:t>
      </w:r>
      <w:proofErr w:type="spellEnd"/>
      <w:r w:rsidRPr="006301D0">
        <w:rPr>
          <w:i/>
          <w:color w:val="222222"/>
        </w:rPr>
        <w:t xml:space="preserve">, S. </w:t>
      </w:r>
      <w:proofErr w:type="spellStart"/>
      <w:r w:rsidRPr="006301D0">
        <w:rPr>
          <w:i/>
          <w:color w:val="222222"/>
        </w:rPr>
        <w:t>bayanus</w:t>
      </w:r>
      <w:proofErr w:type="spellEnd"/>
      <w:r w:rsidRPr="006301D0">
        <w:rPr>
          <w:i/>
          <w:color w:val="222222"/>
        </w:rPr>
        <w:t xml:space="preserve">, S. cerevisiae, S. cerevisiae x </w:t>
      </w:r>
      <w:proofErr w:type="spellStart"/>
      <w:r w:rsidRPr="006301D0">
        <w:rPr>
          <w:i/>
          <w:color w:val="222222"/>
        </w:rPr>
        <w:t>kudriavzevii</w:t>
      </w:r>
      <w:proofErr w:type="spellEnd"/>
      <w:r w:rsidRPr="006301D0">
        <w:rPr>
          <w:i/>
          <w:color w:val="222222"/>
        </w:rPr>
        <w:t xml:space="preserve">, S. </w:t>
      </w:r>
      <w:proofErr w:type="spellStart"/>
      <w:r w:rsidRPr="006301D0">
        <w:rPr>
          <w:i/>
          <w:color w:val="222222"/>
        </w:rPr>
        <w:t>eubayanus</w:t>
      </w:r>
      <w:proofErr w:type="spellEnd"/>
      <w:r>
        <w:rPr>
          <w:i/>
          <w:color w:val="222222"/>
        </w:rPr>
        <w:t>.</w:t>
      </w:r>
    </w:p>
    <w:p w:rsidR="00396ECF" w:rsidRPr="006301D0" w:rsidRDefault="00396ECF" w:rsidP="00396ECF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i/>
          <w:color w:val="222222"/>
        </w:rPr>
      </w:pPr>
      <w:r w:rsidRPr="006301D0">
        <w:rPr>
          <w:b/>
          <w:color w:val="222222"/>
        </w:rPr>
        <w:t>Supplementary Figure S3.</w:t>
      </w:r>
      <w:r>
        <w:rPr>
          <w:color w:val="222222"/>
        </w:rPr>
        <w:t xml:space="preserve"> Visualisation of all tandem motifs from </w:t>
      </w:r>
      <w:proofErr w:type="spellStart"/>
      <w:r>
        <w:rPr>
          <w:color w:val="222222"/>
        </w:rPr>
        <w:t>TRFi</w:t>
      </w:r>
      <w:proofErr w:type="spellEnd"/>
      <w:r>
        <w:rPr>
          <w:color w:val="222222"/>
        </w:rPr>
        <w:t xml:space="preserve"> output, including candidate template, matching the target region of TRs in </w:t>
      </w:r>
      <w:r w:rsidRPr="006301D0">
        <w:rPr>
          <w:i/>
          <w:color w:val="222222"/>
        </w:rPr>
        <w:t xml:space="preserve">S. </w:t>
      </w:r>
      <w:proofErr w:type="spellStart"/>
      <w:r w:rsidRPr="006301D0">
        <w:rPr>
          <w:i/>
          <w:color w:val="222222"/>
        </w:rPr>
        <w:t>kudriavzevii</w:t>
      </w:r>
      <w:proofErr w:type="spellEnd"/>
      <w:r w:rsidRPr="006301D0">
        <w:rPr>
          <w:i/>
          <w:color w:val="222222"/>
        </w:rPr>
        <w:t xml:space="preserve">, S. </w:t>
      </w:r>
      <w:proofErr w:type="spellStart"/>
      <w:r w:rsidRPr="006301D0">
        <w:rPr>
          <w:i/>
          <w:color w:val="222222"/>
        </w:rPr>
        <w:t>mikatae</w:t>
      </w:r>
      <w:proofErr w:type="spellEnd"/>
      <w:r w:rsidRPr="006301D0">
        <w:rPr>
          <w:i/>
          <w:color w:val="222222"/>
        </w:rPr>
        <w:t xml:space="preserve">, S. paradoxus, S. </w:t>
      </w:r>
      <w:proofErr w:type="spellStart"/>
      <w:r w:rsidRPr="006301D0">
        <w:rPr>
          <w:i/>
          <w:color w:val="222222"/>
        </w:rPr>
        <w:t>pastorianus</w:t>
      </w:r>
      <w:proofErr w:type="spellEnd"/>
      <w:r w:rsidRPr="006301D0">
        <w:rPr>
          <w:i/>
          <w:color w:val="222222"/>
        </w:rPr>
        <w:t xml:space="preserve">, S. </w:t>
      </w:r>
      <w:proofErr w:type="spellStart"/>
      <w:r w:rsidRPr="006301D0">
        <w:rPr>
          <w:i/>
          <w:color w:val="222222"/>
        </w:rPr>
        <w:t>boulardii</w:t>
      </w:r>
      <w:proofErr w:type="spellEnd"/>
      <w:r w:rsidRPr="006301D0">
        <w:rPr>
          <w:i/>
          <w:color w:val="222222"/>
        </w:rPr>
        <w:t xml:space="preserve">, S. </w:t>
      </w:r>
      <w:proofErr w:type="spellStart"/>
      <w:r w:rsidRPr="006301D0">
        <w:rPr>
          <w:i/>
          <w:color w:val="222222"/>
        </w:rPr>
        <w:t>uvarum</w:t>
      </w:r>
      <w:proofErr w:type="spellEnd"/>
      <w:r w:rsidRPr="006301D0">
        <w:rPr>
          <w:i/>
          <w:color w:val="222222"/>
        </w:rPr>
        <w:t xml:space="preserve">, T. </w:t>
      </w:r>
      <w:proofErr w:type="spellStart"/>
      <w:r w:rsidRPr="006301D0">
        <w:rPr>
          <w:i/>
          <w:color w:val="222222"/>
        </w:rPr>
        <w:t>blattae</w:t>
      </w:r>
      <w:proofErr w:type="spellEnd"/>
      <w:r w:rsidRPr="006301D0">
        <w:rPr>
          <w:i/>
          <w:color w:val="222222"/>
        </w:rPr>
        <w:t xml:space="preserve">, T. </w:t>
      </w:r>
      <w:proofErr w:type="spellStart"/>
      <w:r w:rsidRPr="006301D0">
        <w:rPr>
          <w:i/>
          <w:color w:val="222222"/>
        </w:rPr>
        <w:t>fleetii</w:t>
      </w:r>
      <w:proofErr w:type="spellEnd"/>
      <w:r w:rsidRPr="006301D0">
        <w:rPr>
          <w:i/>
          <w:color w:val="222222"/>
        </w:rPr>
        <w:t xml:space="preserve">, T. </w:t>
      </w:r>
      <w:proofErr w:type="spellStart"/>
      <w:r w:rsidRPr="006301D0">
        <w:rPr>
          <w:i/>
          <w:color w:val="222222"/>
        </w:rPr>
        <w:t>iriomotensis</w:t>
      </w:r>
      <w:proofErr w:type="spellEnd"/>
      <w:r w:rsidRPr="006301D0">
        <w:rPr>
          <w:i/>
          <w:color w:val="222222"/>
        </w:rPr>
        <w:t xml:space="preserve">, T. </w:t>
      </w:r>
      <w:proofErr w:type="spellStart"/>
      <w:r w:rsidRPr="006301D0">
        <w:rPr>
          <w:i/>
          <w:color w:val="222222"/>
        </w:rPr>
        <w:t>namnaoensis</w:t>
      </w:r>
      <w:proofErr w:type="spellEnd"/>
      <w:r>
        <w:rPr>
          <w:i/>
          <w:color w:val="222222"/>
        </w:rPr>
        <w:t>.</w:t>
      </w:r>
    </w:p>
    <w:p w:rsidR="00396ECF" w:rsidRPr="006301D0" w:rsidRDefault="00396ECF" w:rsidP="00396ECF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i/>
          <w:color w:val="222222"/>
        </w:rPr>
      </w:pPr>
      <w:r w:rsidRPr="006301D0">
        <w:rPr>
          <w:b/>
          <w:color w:val="222222"/>
        </w:rPr>
        <w:lastRenderedPageBreak/>
        <w:t>Supplementary Figure S4.</w:t>
      </w:r>
      <w:r>
        <w:rPr>
          <w:color w:val="222222"/>
        </w:rPr>
        <w:t xml:space="preserve"> Visualisation of all tandem motifs from </w:t>
      </w:r>
      <w:proofErr w:type="spellStart"/>
      <w:r>
        <w:rPr>
          <w:color w:val="222222"/>
        </w:rPr>
        <w:t>TRFi</w:t>
      </w:r>
      <w:proofErr w:type="spellEnd"/>
      <w:r>
        <w:rPr>
          <w:color w:val="222222"/>
        </w:rPr>
        <w:t xml:space="preserve"> output, including candidate template, matching the target region of TRs in </w:t>
      </w:r>
      <w:r w:rsidRPr="006301D0">
        <w:rPr>
          <w:i/>
          <w:color w:val="222222"/>
        </w:rPr>
        <w:t xml:space="preserve">T. </w:t>
      </w:r>
      <w:proofErr w:type="spellStart"/>
      <w:r w:rsidRPr="006301D0">
        <w:rPr>
          <w:i/>
          <w:color w:val="222222"/>
        </w:rPr>
        <w:t>delbrueckii</w:t>
      </w:r>
      <w:proofErr w:type="spellEnd"/>
      <w:r w:rsidRPr="006301D0">
        <w:rPr>
          <w:i/>
          <w:color w:val="222222"/>
        </w:rPr>
        <w:t xml:space="preserve">, T. </w:t>
      </w:r>
      <w:proofErr w:type="spellStart"/>
      <w:r w:rsidRPr="006301D0">
        <w:rPr>
          <w:i/>
          <w:color w:val="222222"/>
        </w:rPr>
        <w:t>franciscae</w:t>
      </w:r>
      <w:proofErr w:type="spellEnd"/>
      <w:r w:rsidRPr="006301D0">
        <w:rPr>
          <w:i/>
          <w:color w:val="222222"/>
        </w:rPr>
        <w:t xml:space="preserve">, T. </w:t>
      </w:r>
      <w:proofErr w:type="spellStart"/>
      <w:r w:rsidRPr="006301D0">
        <w:rPr>
          <w:i/>
          <w:color w:val="222222"/>
        </w:rPr>
        <w:t>maleeae</w:t>
      </w:r>
      <w:proofErr w:type="spellEnd"/>
      <w:r w:rsidRPr="006301D0">
        <w:rPr>
          <w:i/>
          <w:color w:val="222222"/>
        </w:rPr>
        <w:t xml:space="preserve">, T. </w:t>
      </w:r>
      <w:proofErr w:type="spellStart"/>
      <w:r w:rsidRPr="006301D0">
        <w:rPr>
          <w:i/>
          <w:color w:val="222222"/>
        </w:rPr>
        <w:t>microellipsoides</w:t>
      </w:r>
      <w:proofErr w:type="spellEnd"/>
      <w:r w:rsidRPr="006301D0">
        <w:rPr>
          <w:i/>
          <w:color w:val="222222"/>
        </w:rPr>
        <w:t xml:space="preserve">, T. </w:t>
      </w:r>
      <w:proofErr w:type="spellStart"/>
      <w:r w:rsidRPr="006301D0">
        <w:rPr>
          <w:i/>
          <w:color w:val="222222"/>
        </w:rPr>
        <w:t>pretoriensis</w:t>
      </w:r>
      <w:proofErr w:type="spellEnd"/>
      <w:r w:rsidRPr="006301D0">
        <w:rPr>
          <w:i/>
          <w:color w:val="222222"/>
        </w:rPr>
        <w:t xml:space="preserve">, Z. </w:t>
      </w:r>
      <w:proofErr w:type="spellStart"/>
      <w:r w:rsidRPr="006301D0">
        <w:rPr>
          <w:i/>
          <w:color w:val="222222"/>
        </w:rPr>
        <w:t>bailii</w:t>
      </w:r>
      <w:proofErr w:type="spellEnd"/>
      <w:r w:rsidRPr="006301D0">
        <w:rPr>
          <w:i/>
          <w:color w:val="222222"/>
        </w:rPr>
        <w:t xml:space="preserve">, Z. </w:t>
      </w:r>
      <w:proofErr w:type="spellStart"/>
      <w:r w:rsidRPr="006301D0">
        <w:rPr>
          <w:i/>
          <w:color w:val="222222"/>
        </w:rPr>
        <w:t>rouxii</w:t>
      </w:r>
      <w:proofErr w:type="spellEnd"/>
      <w:r w:rsidRPr="006301D0">
        <w:rPr>
          <w:i/>
          <w:color w:val="222222"/>
        </w:rPr>
        <w:t xml:space="preserve">, Z. </w:t>
      </w:r>
      <w:proofErr w:type="spellStart"/>
      <w:r w:rsidRPr="006301D0">
        <w:rPr>
          <w:i/>
          <w:color w:val="222222"/>
        </w:rPr>
        <w:t>sapae</w:t>
      </w:r>
      <w:proofErr w:type="spellEnd"/>
      <w:r>
        <w:rPr>
          <w:i/>
          <w:color w:val="222222"/>
        </w:rPr>
        <w:t>.</w:t>
      </w:r>
    </w:p>
    <w:p w:rsidR="00396ECF" w:rsidRPr="005C6A68" w:rsidRDefault="00396ECF" w:rsidP="005C6A6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color w:val="000000"/>
        </w:rPr>
      </w:pPr>
      <w:bookmarkStart w:id="3" w:name="_GoBack"/>
      <w:bookmarkEnd w:id="2"/>
      <w:bookmarkEnd w:id="3"/>
    </w:p>
    <w:sectPr w:rsidR="00396ECF" w:rsidRPr="005C6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A68"/>
    <w:rsid w:val="002453D6"/>
    <w:rsid w:val="00396ECF"/>
    <w:rsid w:val="005C6A68"/>
    <w:rsid w:val="00F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8C77"/>
  <w15:chartTrackingRefBased/>
  <w15:docId w15:val="{15A1DAAF-BFF2-4385-A8CD-9204F0DE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5C6A68"/>
    <w:pPr>
      <w:spacing w:after="0" w:line="240" w:lineRule="auto"/>
    </w:pPr>
    <w:rPr>
      <w:rFonts w:ascii="Calibri" w:eastAsia="Calibri" w:hAnsi="Calibri" w:cs="Calibri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C6A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niagarcia@ibb.csic.es" TargetMode="External"/><Relationship Id="rId4" Type="http://schemas.openxmlformats.org/officeDocument/2006/relationships/hyperlink" Target="mailto:vpeska@ib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344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Vratislav Peška</dc:creator>
  <cp:keywords/>
  <dc:description/>
  <cp:lastModifiedBy>Vratislav Peska</cp:lastModifiedBy>
  <cp:revision>3</cp:revision>
  <dcterms:created xsi:type="dcterms:W3CDTF">2021-01-15T13:49:00Z</dcterms:created>
  <dcterms:modified xsi:type="dcterms:W3CDTF">2021-05-25T09:23:00Z</dcterms:modified>
</cp:coreProperties>
</file>