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63AE" w14:textId="77777777" w:rsidR="002D10A6" w:rsidRDefault="002D10A6" w:rsidP="00B600DC">
      <w:pPr>
        <w:rPr>
          <w:rFonts w:ascii="Arial" w:hAnsi="Arial" w:cs="Arial"/>
          <w:b/>
          <w:bCs/>
          <w:u w:val="single"/>
        </w:rPr>
      </w:pPr>
    </w:p>
    <w:p w14:paraId="781DF9B4" w14:textId="77777777" w:rsidR="002D10A6" w:rsidRDefault="002D10A6" w:rsidP="002D10A6">
      <w:pPr>
        <w:rPr>
          <w:rFonts w:ascii="Arial" w:hAnsi="Arial" w:cs="Arial"/>
          <w:b/>
          <w:bCs/>
        </w:rPr>
      </w:pPr>
      <w:r w:rsidRPr="00D7300C">
        <w:rPr>
          <w:rFonts w:ascii="Arial" w:hAnsi="Arial" w:cs="Arial"/>
          <w:b/>
          <w:bCs/>
        </w:rPr>
        <w:t>Immunodominant T-cell epitopes from the SARS-CoV-2 spike antigen reveal robust pre-existing T-cell immunity in unexposed individuals</w:t>
      </w:r>
    </w:p>
    <w:p w14:paraId="43CF1F4C" w14:textId="6233DFCB" w:rsidR="002D10A6" w:rsidRPr="00406A31" w:rsidRDefault="002D10A6" w:rsidP="00B600DC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Swapnil Mahajan*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Vasumathi</w:t>
      </w:r>
      <w:proofErr w:type="spellEnd"/>
      <w:r>
        <w:rPr>
          <w:rFonts w:ascii="Arial" w:hAnsi="Arial" w:cs="Arial"/>
        </w:rPr>
        <w:t xml:space="preserve"> Kode*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Keshav </w:t>
      </w:r>
      <w:proofErr w:type="spellStart"/>
      <w:r>
        <w:rPr>
          <w:rFonts w:ascii="Arial" w:hAnsi="Arial" w:cs="Arial"/>
        </w:rPr>
        <w:t>Bhojak</w:t>
      </w:r>
      <w:proofErr w:type="spellEnd"/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Coral </w:t>
      </w:r>
      <w:r w:rsidR="00903BD2">
        <w:rPr>
          <w:rFonts w:ascii="Arial" w:hAnsi="Arial" w:cs="Arial"/>
        </w:rPr>
        <w:t>Karunakaran</w:t>
      </w:r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Kayla Lee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Malini Manoharan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Athulya</w:t>
      </w:r>
      <w:proofErr w:type="spellEnd"/>
      <w:r>
        <w:rPr>
          <w:rFonts w:ascii="Arial" w:hAnsi="Arial" w:cs="Arial"/>
        </w:rPr>
        <w:t xml:space="preserve"> Ramesh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Sudheendra</w:t>
      </w:r>
      <w:proofErr w:type="spellEnd"/>
      <w:r>
        <w:rPr>
          <w:rFonts w:ascii="Arial" w:hAnsi="Arial" w:cs="Arial"/>
        </w:rPr>
        <w:t xml:space="preserve"> HV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., Ankita Srivastava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Rekha Sathian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Tahira</w:t>
      </w:r>
      <w:proofErr w:type="spellEnd"/>
      <w:r>
        <w:rPr>
          <w:rFonts w:ascii="Arial" w:hAnsi="Arial" w:cs="Arial"/>
        </w:rPr>
        <w:t xml:space="preserve"> Khan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Prasanna Kumar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 w:rsidR="00FD48D9">
        <w:rPr>
          <w:rFonts w:ascii="Arial" w:hAnsi="Arial" w:cs="Arial"/>
        </w:rPr>
        <w:t xml:space="preserve"> Ravi Gupta</w:t>
      </w:r>
      <w:r w:rsidR="00FD48D9">
        <w:rPr>
          <w:rFonts w:ascii="Arial" w:hAnsi="Arial" w:cs="Arial"/>
          <w:vertAlign w:val="superscript"/>
        </w:rPr>
        <w:t>1</w:t>
      </w:r>
      <w:r w:rsidR="00FD48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Papia</w:t>
      </w:r>
      <w:proofErr w:type="spellEnd"/>
      <w:r>
        <w:rPr>
          <w:rFonts w:ascii="Arial" w:hAnsi="Arial" w:cs="Arial"/>
        </w:rPr>
        <w:t xml:space="preserve"> Chakraborty**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and Amitabha Chaudhuri**</w:t>
      </w:r>
      <w:r>
        <w:rPr>
          <w:rFonts w:ascii="Arial" w:hAnsi="Arial" w:cs="Arial"/>
          <w:vertAlign w:val="superscript"/>
        </w:rPr>
        <w:t>2</w:t>
      </w:r>
    </w:p>
    <w:p w14:paraId="7D0AE4FA" w14:textId="77777777" w:rsidR="002D10A6" w:rsidRDefault="002D10A6" w:rsidP="00B600DC">
      <w:pPr>
        <w:rPr>
          <w:rFonts w:ascii="Arial" w:hAnsi="Arial" w:cs="Arial"/>
          <w:b/>
          <w:bCs/>
          <w:u w:val="single"/>
        </w:rPr>
      </w:pPr>
    </w:p>
    <w:p w14:paraId="475EC89C" w14:textId="6B38CC84" w:rsidR="00B600DC" w:rsidRPr="00BB7C4B" w:rsidRDefault="00B600DC" w:rsidP="00B600DC">
      <w:pPr>
        <w:rPr>
          <w:rFonts w:ascii="Arial" w:hAnsi="Arial" w:cs="Arial"/>
          <w:b/>
          <w:bCs/>
          <w:u w:val="single"/>
        </w:rPr>
      </w:pPr>
      <w:r w:rsidRPr="00B4203C">
        <w:rPr>
          <w:rFonts w:ascii="Arial" w:hAnsi="Arial" w:cs="Arial"/>
          <w:b/>
          <w:bCs/>
          <w:u w:val="single"/>
        </w:rPr>
        <w:t>SUPPLEMENTARY FIGURES</w:t>
      </w:r>
      <w:r w:rsidR="002D10A6">
        <w:rPr>
          <w:rFonts w:ascii="Arial" w:hAnsi="Arial" w:cs="Arial"/>
          <w:b/>
          <w:bCs/>
          <w:u w:val="single"/>
        </w:rPr>
        <w:t xml:space="preserve"> LEGEND</w:t>
      </w:r>
    </w:p>
    <w:p w14:paraId="1A42D1BB" w14:textId="14C807B8" w:rsidR="00B600DC" w:rsidRPr="005D2D42" w:rsidRDefault="00B600DC" w:rsidP="00B600DC">
      <w:pPr>
        <w:spacing w:line="360" w:lineRule="auto"/>
        <w:rPr>
          <w:rFonts w:ascii="Arial" w:hAnsi="Arial" w:cs="Arial"/>
        </w:rPr>
      </w:pPr>
      <w:r w:rsidRPr="00B4203C">
        <w:rPr>
          <w:rFonts w:ascii="Arial" w:hAnsi="Arial" w:cs="Arial"/>
          <w:b/>
          <w:bCs/>
        </w:rPr>
        <w:t>Figure S1</w:t>
      </w:r>
      <w:r w:rsidRPr="005D2D42">
        <w:rPr>
          <w:rFonts w:ascii="Arial" w:hAnsi="Arial" w:cs="Arial"/>
        </w:rPr>
        <w:t xml:space="preserve">. </w:t>
      </w:r>
      <w:r w:rsidRPr="005D2D42">
        <w:rPr>
          <w:rFonts w:ascii="Arial" w:hAnsi="Arial" w:cs="Arial"/>
          <w:b/>
          <w:bCs/>
        </w:rPr>
        <w:t>A-E.</w:t>
      </w:r>
      <w:r w:rsidRPr="005D2D42">
        <w:rPr>
          <w:rFonts w:ascii="Arial" w:hAnsi="Arial" w:cs="Arial"/>
        </w:rPr>
        <w:t xml:space="preserve"> Kinetics and magnitude of IFN-</w:t>
      </w:r>
      <w:r w:rsidRPr="005D2D42">
        <w:rPr>
          <w:rFonts w:ascii="Arial" w:hAnsi="Arial" w:cs="Arial"/>
        </w:rPr>
        <w:sym w:font="Symbol" w:char="F067"/>
      </w:r>
      <w:r w:rsidRPr="005D2D42">
        <w:rPr>
          <w:rFonts w:ascii="Arial" w:hAnsi="Arial" w:cs="Arial"/>
        </w:rPr>
        <w:t xml:space="preserve"> expression by CD8 T-cells in the presence of individual peptides from the 11-peptide-mix in unexposed donors.</w:t>
      </w:r>
      <w:r w:rsidR="006B1896">
        <w:rPr>
          <w:rFonts w:ascii="Arial" w:hAnsi="Arial" w:cs="Arial"/>
        </w:rPr>
        <w:t xml:space="preserve"> PBMCs from unexposed donors were incubated with individual peptides for the indicated time points and the magnitude of CD8 T-cell activation was quantitated by intracellular IFN-</w:t>
      </w:r>
      <w:r w:rsidR="006B1896">
        <w:rPr>
          <w:rFonts w:ascii="Arial" w:hAnsi="Arial" w:cs="Arial"/>
        </w:rPr>
        <w:sym w:font="Symbol" w:char="F067"/>
      </w:r>
      <w:r w:rsidR="006B1896">
        <w:rPr>
          <w:rFonts w:ascii="Arial" w:hAnsi="Arial" w:cs="Arial"/>
        </w:rPr>
        <w:t xml:space="preserve"> staining by FACS. See Methods for more details.</w:t>
      </w:r>
    </w:p>
    <w:p w14:paraId="1074AA3C" w14:textId="7380D17C" w:rsidR="00B600DC" w:rsidRPr="005D2D42" w:rsidRDefault="00B600DC" w:rsidP="00B600DC">
      <w:pPr>
        <w:spacing w:line="360" w:lineRule="auto"/>
        <w:rPr>
          <w:rFonts w:ascii="Arial" w:hAnsi="Arial" w:cs="Arial"/>
        </w:rPr>
      </w:pPr>
      <w:r w:rsidRPr="00B4203C">
        <w:rPr>
          <w:rFonts w:ascii="Arial" w:hAnsi="Arial" w:cs="Arial"/>
          <w:b/>
          <w:bCs/>
        </w:rPr>
        <w:t>Figure S2.</w:t>
      </w:r>
      <w:r w:rsidRPr="005D2D42">
        <w:rPr>
          <w:rFonts w:ascii="Arial" w:hAnsi="Arial" w:cs="Arial"/>
        </w:rPr>
        <w:t xml:space="preserve"> </w:t>
      </w:r>
      <w:r w:rsidRPr="005D2D42">
        <w:rPr>
          <w:rFonts w:ascii="Arial" w:hAnsi="Arial" w:cs="Arial"/>
          <w:b/>
          <w:bCs/>
        </w:rPr>
        <w:t>A-F.</w:t>
      </w:r>
      <w:r w:rsidRPr="005D2D42">
        <w:rPr>
          <w:rFonts w:ascii="Arial" w:hAnsi="Arial" w:cs="Arial"/>
        </w:rPr>
        <w:t xml:space="preserve"> Kinetics and magnitude of 4-1BB expression by CD8 T-cells in the presence of</w:t>
      </w:r>
      <w:r w:rsidR="006B32A4">
        <w:rPr>
          <w:rFonts w:ascii="Arial" w:hAnsi="Arial" w:cs="Arial"/>
        </w:rPr>
        <w:t xml:space="preserve"> the 11-peptide mix or</w:t>
      </w:r>
      <w:r w:rsidRPr="005D2D42">
        <w:rPr>
          <w:rFonts w:ascii="Arial" w:hAnsi="Arial" w:cs="Arial"/>
        </w:rPr>
        <w:t xml:space="preserve"> individual peptides in unexposed donors</w:t>
      </w:r>
      <w:r>
        <w:rPr>
          <w:rFonts w:ascii="Arial" w:hAnsi="Arial" w:cs="Arial"/>
        </w:rPr>
        <w:t>.</w:t>
      </w:r>
      <w:r w:rsidR="006B1896">
        <w:rPr>
          <w:rFonts w:ascii="Arial" w:hAnsi="Arial" w:cs="Arial"/>
        </w:rPr>
        <w:t xml:space="preserve"> See Figure S1 legend and Methods for more details.</w:t>
      </w:r>
      <w:r w:rsidR="006B32A4">
        <w:rPr>
          <w:rFonts w:ascii="Arial" w:hAnsi="Arial" w:cs="Arial"/>
        </w:rPr>
        <w:t xml:space="preserve"> A. Activation of CD8 T-cells in different donors. Representative FACS plots of donors D142, D167, D169</w:t>
      </w:r>
      <w:r w:rsidR="00F86003">
        <w:rPr>
          <w:rFonts w:ascii="Arial" w:hAnsi="Arial" w:cs="Arial"/>
        </w:rPr>
        <w:t>,</w:t>
      </w:r>
      <w:r w:rsidR="006B32A4">
        <w:rPr>
          <w:rFonts w:ascii="Arial" w:hAnsi="Arial" w:cs="Arial"/>
        </w:rPr>
        <w:t xml:space="preserve"> and D176 are given in Figure S9-S12. </w:t>
      </w:r>
    </w:p>
    <w:p w14:paraId="66B37538" w14:textId="4030EDFC" w:rsidR="00B600DC" w:rsidRPr="00E477B8" w:rsidRDefault="00B600DC" w:rsidP="00B600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Figure S3. A-</w:t>
      </w:r>
      <w:r w:rsidR="006B32A4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Kinetics and magnitude of IFN-</w:t>
      </w:r>
      <w:r>
        <w:rPr>
          <w:rFonts w:ascii="Arial" w:hAnsi="Arial" w:cs="Arial"/>
        </w:rPr>
        <w:sym w:font="Symbol" w:char="F067"/>
      </w:r>
      <w:r>
        <w:rPr>
          <w:rFonts w:ascii="Arial" w:hAnsi="Arial" w:cs="Arial"/>
        </w:rPr>
        <w:t xml:space="preserve"> and 4-1BB expression by CD4 T-cells in the presence o</w:t>
      </w:r>
      <w:r w:rsidR="006B32A4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 individual peptides in unexposed donors.</w:t>
      </w:r>
      <w:r w:rsidR="006B32A4">
        <w:rPr>
          <w:rFonts w:ascii="Arial" w:hAnsi="Arial" w:cs="Arial"/>
        </w:rPr>
        <w:t xml:space="preserve"> See Figure S1 legend and Methods for more details.</w:t>
      </w:r>
    </w:p>
    <w:p w14:paraId="1DC532A5" w14:textId="2FF167A2" w:rsidR="00F8476D" w:rsidRDefault="002722BF" w:rsidP="00B600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Figure S4. A-D. </w:t>
      </w:r>
      <w:r>
        <w:rPr>
          <w:rFonts w:ascii="Arial" w:hAnsi="Arial" w:cs="Arial"/>
        </w:rPr>
        <w:t>Kinetics and magnitude of IFN-</w:t>
      </w:r>
      <w:r>
        <w:rPr>
          <w:rFonts w:ascii="Arial" w:hAnsi="Arial" w:cs="Arial"/>
        </w:rPr>
        <w:sym w:font="Symbol" w:char="F067"/>
      </w:r>
      <w:r>
        <w:rPr>
          <w:rFonts w:ascii="Arial" w:hAnsi="Arial" w:cs="Arial"/>
        </w:rPr>
        <w:t xml:space="preserve"> and 4-1BB expression by CD8 T-cells in the presence of Spike-S1, Pep-1, Pep-7</w:t>
      </w:r>
      <w:r w:rsidR="00F860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the All-11-peptide mix.</w:t>
      </w:r>
      <w:r w:rsidR="006B32A4">
        <w:rPr>
          <w:rFonts w:ascii="Arial" w:hAnsi="Arial" w:cs="Arial"/>
        </w:rPr>
        <w:t xml:space="preserve"> A. PBMCs from donor D089 were incubated with the indicated antigens for different time points and the expression of IFN-</w:t>
      </w:r>
      <w:r w:rsidR="006B32A4">
        <w:rPr>
          <w:rFonts w:ascii="Arial" w:hAnsi="Arial" w:cs="Arial"/>
        </w:rPr>
        <w:sym w:font="Symbol" w:char="F067"/>
      </w:r>
      <w:r w:rsidR="006B32A4">
        <w:rPr>
          <w:rFonts w:ascii="Arial" w:hAnsi="Arial" w:cs="Arial"/>
        </w:rPr>
        <w:t xml:space="preserve"> and 4-1BB in CD8 T-cells was quantitated by FACS. B.</w:t>
      </w:r>
      <w:r w:rsidR="00F8476D">
        <w:rPr>
          <w:rFonts w:ascii="Arial" w:hAnsi="Arial" w:cs="Arial"/>
        </w:rPr>
        <w:t xml:space="preserve"> Same for donor D225.</w:t>
      </w:r>
      <w:r w:rsidR="006B32A4">
        <w:rPr>
          <w:rFonts w:ascii="Arial" w:hAnsi="Arial" w:cs="Arial"/>
        </w:rPr>
        <w:t xml:space="preserve"> </w:t>
      </w:r>
    </w:p>
    <w:p w14:paraId="633CC6F8" w14:textId="694496AF" w:rsidR="002722BF" w:rsidRPr="002722BF" w:rsidRDefault="002722BF" w:rsidP="00B600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Cells were used for bulk and single-cell TCR/transcriptomic analysis.</w:t>
      </w:r>
      <w:r w:rsidR="00F8476D">
        <w:rPr>
          <w:rFonts w:ascii="Arial" w:hAnsi="Arial" w:cs="Arial"/>
        </w:rPr>
        <w:t xml:space="preserve"> See text for details</w:t>
      </w:r>
    </w:p>
    <w:p w14:paraId="0DA4D2BE" w14:textId="2E2A374E" w:rsidR="00B600DC" w:rsidRPr="005D2D42" w:rsidRDefault="00B600DC" w:rsidP="00B600DC">
      <w:pPr>
        <w:spacing w:line="360" w:lineRule="auto"/>
        <w:rPr>
          <w:rFonts w:ascii="Arial" w:hAnsi="Arial" w:cs="Arial"/>
        </w:rPr>
      </w:pPr>
      <w:r w:rsidRPr="00B4203C">
        <w:rPr>
          <w:rFonts w:ascii="Arial" w:hAnsi="Arial" w:cs="Arial"/>
          <w:b/>
          <w:bCs/>
        </w:rPr>
        <w:t>Figure S</w:t>
      </w:r>
      <w:r w:rsidR="002722BF">
        <w:rPr>
          <w:rFonts w:ascii="Arial" w:hAnsi="Arial" w:cs="Arial"/>
          <w:b/>
          <w:bCs/>
        </w:rPr>
        <w:t>5</w:t>
      </w:r>
      <w:r w:rsidRPr="00B4203C">
        <w:rPr>
          <w:rFonts w:ascii="Arial" w:hAnsi="Arial" w:cs="Arial"/>
          <w:b/>
          <w:bCs/>
        </w:rPr>
        <w:t>.</w:t>
      </w:r>
      <w:r w:rsidRPr="005D2D42">
        <w:rPr>
          <w:rFonts w:ascii="Arial" w:hAnsi="Arial" w:cs="Arial"/>
        </w:rPr>
        <w:t xml:space="preserve"> </w:t>
      </w:r>
      <w:r w:rsidRPr="005D2D42">
        <w:rPr>
          <w:rFonts w:ascii="Arial" w:hAnsi="Arial" w:cs="Arial"/>
          <w:b/>
          <w:bCs/>
        </w:rPr>
        <w:t>A-D.</w:t>
      </w:r>
      <w:r w:rsidRPr="005D2D42">
        <w:rPr>
          <w:rFonts w:ascii="Arial" w:hAnsi="Arial" w:cs="Arial"/>
        </w:rPr>
        <w:t xml:space="preserve"> Expression of T-cell activation and phenotype markers in different cell clusters from single-cell sequencing</w:t>
      </w:r>
      <w:r>
        <w:rPr>
          <w:rFonts w:ascii="Arial" w:hAnsi="Arial" w:cs="Arial"/>
        </w:rPr>
        <w:t>.</w:t>
      </w:r>
      <w:r w:rsidR="00F8476D">
        <w:rPr>
          <w:rFonts w:ascii="Arial" w:hAnsi="Arial" w:cs="Arial"/>
        </w:rPr>
        <w:t xml:space="preserve"> Expression of cell-type</w:t>
      </w:r>
      <w:r w:rsidR="00F86003">
        <w:rPr>
          <w:rFonts w:ascii="Arial" w:hAnsi="Arial" w:cs="Arial"/>
        </w:rPr>
        <w:t>-</w:t>
      </w:r>
      <w:r w:rsidR="00F8476D">
        <w:rPr>
          <w:rFonts w:ascii="Arial" w:hAnsi="Arial" w:cs="Arial"/>
        </w:rPr>
        <w:t>specific and T-cell phenotype markers</w:t>
      </w:r>
      <w:r w:rsidR="00644169">
        <w:rPr>
          <w:rFonts w:ascii="Arial" w:hAnsi="Arial" w:cs="Arial"/>
        </w:rPr>
        <w:t xml:space="preserve"> are</w:t>
      </w:r>
      <w:r w:rsidR="00F8476D">
        <w:rPr>
          <w:rFonts w:ascii="Arial" w:hAnsi="Arial" w:cs="Arial"/>
        </w:rPr>
        <w:t xml:space="preserve"> shown on the X-axis. The color and the size of the circles indicate average expression and the proportion of cells expressing a particular marker</w:t>
      </w:r>
      <w:r w:rsidR="00644169">
        <w:rPr>
          <w:rFonts w:ascii="Arial" w:hAnsi="Arial" w:cs="Arial"/>
        </w:rPr>
        <w:t xml:space="preserve"> respectively</w:t>
      </w:r>
      <w:r w:rsidR="00F8476D">
        <w:rPr>
          <w:rFonts w:ascii="Arial" w:hAnsi="Arial" w:cs="Arial"/>
        </w:rPr>
        <w:t>.</w:t>
      </w:r>
    </w:p>
    <w:p w14:paraId="07357DFF" w14:textId="73793EF3" w:rsidR="00B600DC" w:rsidRDefault="00B600DC" w:rsidP="00B600DC">
      <w:pPr>
        <w:spacing w:line="360" w:lineRule="auto"/>
        <w:rPr>
          <w:rFonts w:ascii="Arial" w:hAnsi="Arial" w:cs="Arial"/>
        </w:rPr>
      </w:pPr>
      <w:r w:rsidRPr="00B4203C">
        <w:rPr>
          <w:rFonts w:ascii="Arial" w:hAnsi="Arial" w:cs="Arial"/>
          <w:b/>
          <w:bCs/>
        </w:rPr>
        <w:t>Figure S</w:t>
      </w:r>
      <w:r w:rsidR="002722BF">
        <w:rPr>
          <w:rFonts w:ascii="Arial" w:hAnsi="Arial" w:cs="Arial"/>
          <w:b/>
          <w:bCs/>
        </w:rPr>
        <w:t>6</w:t>
      </w:r>
      <w:r w:rsidRPr="00B4203C">
        <w:rPr>
          <w:rFonts w:ascii="Arial" w:hAnsi="Arial" w:cs="Arial"/>
          <w:b/>
          <w:bCs/>
        </w:rPr>
        <w:t>.</w:t>
      </w:r>
      <w:r w:rsidRPr="005D2D42">
        <w:rPr>
          <w:rFonts w:ascii="Arial" w:hAnsi="Arial" w:cs="Arial"/>
        </w:rPr>
        <w:t xml:space="preserve"> </w:t>
      </w:r>
      <w:r w:rsidRPr="005D2D42">
        <w:rPr>
          <w:rFonts w:ascii="Arial" w:hAnsi="Arial" w:cs="Arial"/>
          <w:b/>
          <w:bCs/>
        </w:rPr>
        <w:t xml:space="preserve">A-D. </w:t>
      </w:r>
      <w:r w:rsidRPr="005D2D42">
        <w:rPr>
          <w:rFonts w:ascii="Arial" w:hAnsi="Arial" w:cs="Arial"/>
        </w:rPr>
        <w:t>Expression of T-cell activation and phenotype markers in top-30 clonotypes from single-cell sequencing</w:t>
      </w:r>
      <w:r>
        <w:rPr>
          <w:rFonts w:ascii="Arial" w:hAnsi="Arial" w:cs="Arial"/>
        </w:rPr>
        <w:t>.</w:t>
      </w:r>
      <w:r w:rsidR="00A21BF7">
        <w:rPr>
          <w:rFonts w:ascii="Arial" w:hAnsi="Arial" w:cs="Arial"/>
        </w:rPr>
        <w:t xml:space="preserve"> Expression of cell-type</w:t>
      </w:r>
      <w:r w:rsidR="00F86003">
        <w:rPr>
          <w:rFonts w:ascii="Arial" w:hAnsi="Arial" w:cs="Arial"/>
        </w:rPr>
        <w:t>-</w:t>
      </w:r>
      <w:r w:rsidR="00A21BF7">
        <w:rPr>
          <w:rFonts w:ascii="Arial" w:hAnsi="Arial" w:cs="Arial"/>
        </w:rPr>
        <w:t>specific and T-cell phenotype markers</w:t>
      </w:r>
      <w:r w:rsidR="00644169">
        <w:rPr>
          <w:rFonts w:ascii="Arial" w:hAnsi="Arial" w:cs="Arial"/>
        </w:rPr>
        <w:t xml:space="preserve"> in </w:t>
      </w:r>
      <w:r w:rsidR="00644169">
        <w:rPr>
          <w:rFonts w:ascii="Arial" w:hAnsi="Arial" w:cs="Arial"/>
        </w:rPr>
        <w:lastRenderedPageBreak/>
        <w:t>the top 30 clonotypes are</w:t>
      </w:r>
      <w:r w:rsidR="00A21BF7">
        <w:rPr>
          <w:rFonts w:ascii="Arial" w:hAnsi="Arial" w:cs="Arial"/>
        </w:rPr>
        <w:t xml:space="preserve"> shown on the X-axis.</w:t>
      </w:r>
      <w:r w:rsidR="00644169">
        <w:rPr>
          <w:rFonts w:ascii="Arial" w:hAnsi="Arial" w:cs="Arial"/>
        </w:rPr>
        <w:t xml:space="preserve"> Each clonotype corresponds to a cluster of cells with </w:t>
      </w:r>
      <w:r w:rsidR="00F86003">
        <w:rPr>
          <w:rFonts w:ascii="Arial" w:hAnsi="Arial" w:cs="Arial"/>
        </w:rPr>
        <w:t xml:space="preserve">a </w:t>
      </w:r>
      <w:r w:rsidR="00644169">
        <w:rPr>
          <w:rFonts w:ascii="Arial" w:hAnsi="Arial" w:cs="Arial"/>
        </w:rPr>
        <w:t>similar gene expression pattern.</w:t>
      </w:r>
    </w:p>
    <w:p w14:paraId="2A2F513E" w14:textId="404AD5EB" w:rsidR="00B600DC" w:rsidRDefault="00B600DC" w:rsidP="00B600DC">
      <w:pPr>
        <w:spacing w:line="360" w:lineRule="auto"/>
        <w:rPr>
          <w:rFonts w:ascii="Arial" w:hAnsi="Arial" w:cs="Arial"/>
        </w:rPr>
      </w:pPr>
      <w:r w:rsidRPr="00E477B8">
        <w:rPr>
          <w:rFonts w:ascii="Arial" w:hAnsi="Arial" w:cs="Arial"/>
          <w:b/>
          <w:bCs/>
        </w:rPr>
        <w:t>Figure S</w:t>
      </w:r>
      <w:r w:rsidR="002722BF">
        <w:rPr>
          <w:rFonts w:ascii="Arial" w:hAnsi="Arial" w:cs="Arial"/>
          <w:b/>
          <w:bCs/>
        </w:rPr>
        <w:t>7</w:t>
      </w:r>
      <w:r w:rsidRPr="00E477B8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QC of cells from single</w:t>
      </w:r>
      <w:r w:rsidR="00F86003">
        <w:rPr>
          <w:rFonts w:ascii="Arial" w:hAnsi="Arial" w:cs="Arial"/>
        </w:rPr>
        <w:t>-</w:t>
      </w:r>
      <w:r>
        <w:rPr>
          <w:rFonts w:ascii="Arial" w:hAnsi="Arial" w:cs="Arial"/>
        </w:rPr>
        <w:t>cell transcriptomic analysis. The cells outside the red bars</w:t>
      </w:r>
      <w:r w:rsidR="00644169">
        <w:rPr>
          <w:rFonts w:ascii="Arial" w:hAnsi="Arial" w:cs="Arial"/>
        </w:rPr>
        <w:t xml:space="preserve"> expressing mitochondrial genes</w:t>
      </w:r>
      <w:r>
        <w:rPr>
          <w:rFonts w:ascii="Arial" w:hAnsi="Arial" w:cs="Arial"/>
        </w:rPr>
        <w:t xml:space="preserve"> were excluded from the analysis (see Methods for details</w:t>
      </w:r>
      <w:r w:rsidR="00644169">
        <w:rPr>
          <w:rFonts w:ascii="Arial" w:hAnsi="Arial" w:cs="Arial"/>
        </w:rPr>
        <w:t xml:space="preserve"> and Supplementary Methods for the codes.</w:t>
      </w:r>
    </w:p>
    <w:p w14:paraId="744C7470" w14:textId="11FD6327" w:rsidR="00B600DC" w:rsidRDefault="00B600DC" w:rsidP="00B600DC">
      <w:pPr>
        <w:spacing w:line="360" w:lineRule="auto"/>
        <w:rPr>
          <w:rFonts w:ascii="Arial" w:hAnsi="Arial" w:cs="Arial"/>
        </w:rPr>
      </w:pPr>
      <w:r w:rsidRPr="00E477B8">
        <w:rPr>
          <w:rFonts w:ascii="Arial" w:hAnsi="Arial" w:cs="Arial"/>
          <w:b/>
          <w:bCs/>
        </w:rPr>
        <w:t>Figure S</w:t>
      </w:r>
      <w:r w:rsidR="002722BF">
        <w:rPr>
          <w:rFonts w:ascii="Arial" w:hAnsi="Arial" w:cs="Arial"/>
          <w:b/>
          <w:bCs/>
        </w:rPr>
        <w:t>8</w:t>
      </w:r>
      <w:r w:rsidRPr="00E477B8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Clustering of cells without and with the expression of G1, G2/M</w:t>
      </w:r>
      <w:r w:rsidR="00F860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S cell cycle genes. Cell-type-specific clustering was achieved by regressing out the expression of cell cycle genes.</w:t>
      </w:r>
      <w:r w:rsidR="00644169">
        <w:rPr>
          <w:rFonts w:ascii="Arial" w:hAnsi="Arial" w:cs="Arial"/>
        </w:rPr>
        <w:t xml:space="preserve"> See Supplementary Methods for the codes</w:t>
      </w:r>
      <w:r w:rsidR="00CF3913">
        <w:rPr>
          <w:rFonts w:ascii="Arial" w:hAnsi="Arial" w:cs="Arial"/>
        </w:rPr>
        <w:t>.</w:t>
      </w:r>
    </w:p>
    <w:p w14:paraId="712AE48B" w14:textId="31AAD231" w:rsidR="0036269B" w:rsidRDefault="0036269B" w:rsidP="00B600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Figure S9 – S12. </w:t>
      </w:r>
      <w:r>
        <w:rPr>
          <w:rFonts w:ascii="Arial" w:hAnsi="Arial" w:cs="Arial"/>
        </w:rPr>
        <w:t>FACS profile of CD4 and CD8 T-cell activation in the presence of different antigens. The gating scheme included the following steps: Live cells &gt; CD3</w:t>
      </w:r>
      <w:r>
        <w:rPr>
          <w:rFonts w:ascii="Arial" w:hAnsi="Arial" w:cs="Arial"/>
          <w:vertAlign w:val="superscript"/>
        </w:rPr>
        <w:t>+</w:t>
      </w:r>
      <w:r>
        <w:rPr>
          <w:rFonts w:ascii="Arial" w:hAnsi="Arial" w:cs="Arial"/>
        </w:rPr>
        <w:t xml:space="preserve"> T-cells &gt; CD4 and CD8 T-cells &gt; CD4-IFN-g/4-1BB and CD8-IFNg/4-1BB</w:t>
      </w:r>
      <w:r w:rsidR="00CF3913">
        <w:rPr>
          <w:rFonts w:ascii="Arial" w:hAnsi="Arial" w:cs="Arial"/>
        </w:rPr>
        <w:t>.</w:t>
      </w:r>
    </w:p>
    <w:p w14:paraId="27C89D49" w14:textId="40D18D49" w:rsidR="009F2398" w:rsidRDefault="009F2398" w:rsidP="00B600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Figure S13. </w:t>
      </w:r>
      <w:r>
        <w:rPr>
          <w:rFonts w:ascii="Arial" w:hAnsi="Arial" w:cs="Arial"/>
        </w:rPr>
        <w:t xml:space="preserve">Aggregated T-cell activation data of convalescent patient samples. </w:t>
      </w:r>
      <w:r w:rsidR="00CF3913">
        <w:rPr>
          <w:rFonts w:ascii="Arial" w:hAnsi="Arial" w:cs="Arial"/>
        </w:rPr>
        <w:t>PBMCs from asymptomatic (AS), mild/moderate (M/M)</w:t>
      </w:r>
      <w:r w:rsidR="00F86003">
        <w:rPr>
          <w:rFonts w:ascii="Arial" w:hAnsi="Arial" w:cs="Arial"/>
        </w:rPr>
        <w:t>,</w:t>
      </w:r>
      <w:r w:rsidR="00CF3913">
        <w:rPr>
          <w:rFonts w:ascii="Arial" w:hAnsi="Arial" w:cs="Arial"/>
        </w:rPr>
        <w:t xml:space="preserve"> and severe COVID-19 infected patients were incubated with the indicated antigens for 48 h. CD4 and CD8 T-cells expressing IFN-</w:t>
      </w:r>
      <w:r w:rsidR="00CF3913">
        <w:rPr>
          <w:rFonts w:ascii="Arial" w:hAnsi="Arial" w:cs="Arial"/>
        </w:rPr>
        <w:sym w:font="Symbol" w:char="F067"/>
      </w:r>
      <w:r w:rsidR="00CF3913">
        <w:rPr>
          <w:rFonts w:ascii="Arial" w:hAnsi="Arial" w:cs="Arial"/>
        </w:rPr>
        <w:t xml:space="preserve"> and/or 4-1BB were quantitated by FACS. Individual patient data is shown in Figure 5.</w:t>
      </w:r>
    </w:p>
    <w:p w14:paraId="772BA9B2" w14:textId="44F1ADE6" w:rsidR="00CF3913" w:rsidRPr="00CF3913" w:rsidRDefault="00CF3913" w:rsidP="00B600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Figure S14.</w:t>
      </w:r>
      <w:r>
        <w:rPr>
          <w:rFonts w:ascii="Arial" w:hAnsi="Arial" w:cs="Arial"/>
        </w:rPr>
        <w:t xml:space="preserve"> A comparison of CD8 T-cell activation in unexposed donors and convalescent asymptomatic COVID-19 infected patients. CD8 T-cell activation from 48h time</w:t>
      </w:r>
      <w:r w:rsidR="00F860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point was plotted. See Me</w:t>
      </w:r>
      <w:r w:rsidR="007B282E">
        <w:rPr>
          <w:rFonts w:ascii="Arial" w:hAnsi="Arial" w:cs="Arial"/>
        </w:rPr>
        <w:t>thods for details</w:t>
      </w:r>
    </w:p>
    <w:p w14:paraId="4A703ED6" w14:textId="77777777" w:rsidR="006477D3" w:rsidRPr="00B600DC" w:rsidRDefault="006477D3">
      <w:pPr>
        <w:rPr>
          <w:rFonts w:ascii="Arial" w:hAnsi="Arial" w:cs="Arial"/>
        </w:rPr>
      </w:pPr>
    </w:p>
    <w:sectPr w:rsidR="006477D3" w:rsidRPr="00B60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NDM0MzExtDAyNDdR0lEKTi0uzszPAykwrwUAy4TOiywAAAA="/>
  </w:docVars>
  <w:rsids>
    <w:rsidRoot w:val="00B600DC"/>
    <w:rsid w:val="00074C55"/>
    <w:rsid w:val="0023664B"/>
    <w:rsid w:val="002722BF"/>
    <w:rsid w:val="002D10A6"/>
    <w:rsid w:val="0036269B"/>
    <w:rsid w:val="00406A31"/>
    <w:rsid w:val="00644169"/>
    <w:rsid w:val="006477D3"/>
    <w:rsid w:val="006B1896"/>
    <w:rsid w:val="006B32A4"/>
    <w:rsid w:val="007B282E"/>
    <w:rsid w:val="00903BD2"/>
    <w:rsid w:val="009F2398"/>
    <w:rsid w:val="00A21BF7"/>
    <w:rsid w:val="00B600DC"/>
    <w:rsid w:val="00CF3913"/>
    <w:rsid w:val="00F8476D"/>
    <w:rsid w:val="00F86003"/>
    <w:rsid w:val="00FD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CF6BD"/>
  <w15:chartTrackingRefBased/>
  <w15:docId w15:val="{B02E722B-DAC2-4822-962C-52A848BC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Amitabha Chaudhuri</dc:creator>
  <cp:keywords/>
  <dc:description/>
  <cp:lastModifiedBy>Amit Chaudhuri</cp:lastModifiedBy>
  <cp:revision>2</cp:revision>
  <cp:lastPrinted>2021-04-22T15:36:00Z</cp:lastPrinted>
  <dcterms:created xsi:type="dcterms:W3CDTF">2021-04-29T18:42:00Z</dcterms:created>
  <dcterms:modified xsi:type="dcterms:W3CDTF">2021-04-29T18:42:00Z</dcterms:modified>
</cp:coreProperties>
</file>