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B3" w:rsidRPr="00AC436B" w:rsidRDefault="004B33B3" w:rsidP="004B33B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r w:rsidRPr="00AC436B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 w:eastAsia="es-ES"/>
        </w:rPr>
        <w:t xml:space="preserve">Supplementary material. </w:t>
      </w:r>
      <w:r w:rsidR="00522F7F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t>A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t xml:space="preserve">) The area under the Receiving Operating Characteristics curve (AUC) was extracted to determine that compared to a Median Fluorescence Intensity ratio approach used previously for CD27 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fldChar w:fldCharType="begin">
          <w:fldData xml:space="preserve">PEVuZE5vdGU+PENpdGU+PEF1dGhvcj5Qb3J0ZXZpbjwvQXV0aG9yPjxZZWFyPjIwMTQ8L1llYXI+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</w:fldData>
        </w:fldChar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instrText xml:space="preserve"> ADDIN EN.CITE </w:instrTex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fldChar w:fldCharType="begin">
          <w:fldData xml:space="preserve">PEVuZE5vdGU+PENpdGU+PEF1dGhvcj5Qb3J0ZXZpbjwvQXV0aG9yPjxZZWFyPjIwMTQ8L1llYXI+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</w:fldData>
        </w:fldChar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instrText xml:space="preserve"> ADDIN EN.CITE.DATA </w:instrTex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fldChar w:fldCharType="end"/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fldChar w:fldCharType="separate"/>
      </w:r>
      <w:r>
        <w:rPr>
          <w:rFonts w:ascii="Times New Roman" w:hAnsi="Times New Roman" w:cs="Times New Roman"/>
          <w:i w:val="0"/>
          <w:noProof/>
          <w:color w:val="auto"/>
          <w:sz w:val="24"/>
          <w:szCs w:val="24"/>
          <w:lang w:val="en-GB" w:eastAsia="es-ES"/>
        </w:rPr>
        <w:t>[10]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fldChar w:fldCharType="end"/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t xml:space="preserve">, the Q2/Q3 ratio and a minimum of five cytokine-producing CD4 T cells were required to optimally diagnose TB in this cohort of presumptive TB patients. </w:t>
      </w:r>
      <w:r w:rsidR="00522F7F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t>B</w:t>
      </w:r>
      <w:bookmarkStart w:id="0" w:name="_GoBack"/>
      <w:bookmarkEnd w:id="0"/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t>)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GB" w:eastAsia="es-ES"/>
        </w:rPr>
        <w:t xml:space="preserve"> 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Risk factors for 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>GeneXpert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GB"/>
        </w:rPr>
        <w:t>®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positivity and 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>GeneXpert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GB"/>
        </w:rPr>
        <w:t>®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negativity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: 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Body mass index (BMI); Human immunodeficiency virus (HIV)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; 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Unadjusted Odds ratios (ORs); Adjusted Odds ratio (</w:t>
      </w:r>
      <w:proofErr w:type="spellStart"/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aORs</w:t>
      </w:r>
      <w:proofErr w:type="spellEnd"/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; 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Logistic regression models (univariate and multivariable logistic regression) was performed to determine association between binary outcome (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>GeneXpert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GB"/>
        </w:rPr>
        <w:t>®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positive and 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lang w:val="en-GB"/>
        </w:rPr>
        <w:t>GeneXpert</w:t>
      </w:r>
      <w:r w:rsidRPr="00C75024">
        <w:rPr>
          <w:rFonts w:ascii="Times New Roman" w:hAnsi="Times New Roman" w:cs="Times New Roman"/>
          <w:i w:val="0"/>
          <w:color w:val="auto"/>
          <w:sz w:val="24"/>
          <w:szCs w:val="24"/>
          <w:vertAlign w:val="superscript"/>
          <w:lang w:val="en-GB"/>
        </w:rPr>
        <w:t>®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negative) and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a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ge in years,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ex,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b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ody mass 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i</w:t>
      </w:r>
      <w:r w:rsidRPr="00AC436B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ndex, smoking and HIV status</w:t>
      </w:r>
      <w:r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.</w:t>
      </w:r>
    </w:p>
    <w:p w:rsidR="002D2870" w:rsidRDefault="002D2870">
      <w:pPr>
        <w:rPr>
          <w:rFonts w:cs="Arial"/>
          <w:sz w:val="26"/>
          <w:szCs w:val="26"/>
          <w:lang w:val="en-GB" w:eastAsia="es-ES"/>
        </w:rPr>
      </w:pPr>
      <w:r>
        <w:rPr>
          <w:rFonts w:cs="Arial"/>
          <w:sz w:val="26"/>
          <w:szCs w:val="26"/>
          <w:lang w:val="en-GB" w:eastAsia="es-ES"/>
        </w:rPr>
        <w:br w:type="page"/>
      </w:r>
    </w:p>
    <w:p w:rsidR="002D2870" w:rsidRDefault="002D2870" w:rsidP="002D2870">
      <w:pPr>
        <w:spacing w:line="240" w:lineRule="auto"/>
        <w:jc w:val="both"/>
        <w:rPr>
          <w:rFonts w:cs="Arial"/>
          <w:sz w:val="26"/>
          <w:szCs w:val="26"/>
          <w:lang w:val="en-GB" w:eastAsia="es-ES"/>
        </w:rPr>
      </w:pPr>
      <w:r>
        <w:rPr>
          <w:rFonts w:cs="Arial"/>
          <w:sz w:val="26"/>
          <w:szCs w:val="26"/>
          <w:lang w:val="en-GB" w:eastAsia="es-ES"/>
        </w:rPr>
        <w:lastRenderedPageBreak/>
        <w:t>A</w:t>
      </w:r>
    </w:p>
    <w:p w:rsidR="002D2870" w:rsidRPr="00164BE9" w:rsidRDefault="002D2870" w:rsidP="002D2870">
      <w:pPr>
        <w:spacing w:line="240" w:lineRule="auto"/>
        <w:jc w:val="both"/>
        <w:rPr>
          <w:rFonts w:cs="Arial"/>
          <w:sz w:val="26"/>
          <w:szCs w:val="26"/>
          <w:lang w:val="en-GB" w:eastAsia="es-ES"/>
        </w:rPr>
      </w:pPr>
      <w:r>
        <w:rPr>
          <w:rFonts w:cs="Arial"/>
          <w:noProof/>
          <w:sz w:val="26"/>
          <w:szCs w:val="26"/>
          <w:lang w:eastAsia="de-CH"/>
        </w:rPr>
        <w:drawing>
          <wp:inline distT="0" distB="0" distL="0" distR="0">
            <wp:extent cx="2261621" cy="2014732"/>
            <wp:effectExtent l="0" t="0" r="571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material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621" cy="201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3B3" w:rsidRDefault="002D2870" w:rsidP="002D287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 w:eastAsia="es-ES"/>
        </w:rPr>
      </w:pPr>
      <w:r>
        <w:rPr>
          <w:rFonts w:cs="Arial"/>
          <w:sz w:val="26"/>
          <w:szCs w:val="26"/>
          <w:lang w:val="en-GB" w:eastAsia="es-ES"/>
        </w:rPr>
        <w:t>B</w:t>
      </w:r>
    </w:p>
    <w:tbl>
      <w:tblPr>
        <w:tblStyle w:val="TableGrid"/>
        <w:tblpPr w:leftFromText="141" w:rightFromText="141" w:vertAnchor="text" w:horzAnchor="margin" w:tblpY="519"/>
        <w:tblW w:w="9209" w:type="dxa"/>
        <w:tblLook w:val="04A0" w:firstRow="1" w:lastRow="0" w:firstColumn="1" w:lastColumn="0" w:noHBand="0" w:noVBand="1"/>
      </w:tblPr>
      <w:tblGrid>
        <w:gridCol w:w="2120"/>
        <w:gridCol w:w="1136"/>
        <w:gridCol w:w="1134"/>
        <w:gridCol w:w="1559"/>
        <w:gridCol w:w="850"/>
        <w:gridCol w:w="1560"/>
        <w:gridCol w:w="850"/>
      </w:tblGrid>
      <w:tr w:rsidR="004B33B3" w:rsidRPr="00146A2E" w:rsidTr="006B1DC1">
        <w:tc>
          <w:tcPr>
            <w:tcW w:w="2120" w:type="dxa"/>
            <w:vMerge w:val="restart"/>
          </w:tcPr>
          <w:p w:rsidR="004B33B3" w:rsidRPr="00146A2E" w:rsidRDefault="004B33B3" w:rsidP="006B1DC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Characteristics</w:t>
            </w:r>
          </w:p>
        </w:tc>
        <w:tc>
          <w:tcPr>
            <w:tcW w:w="2270" w:type="dxa"/>
            <w:gridSpan w:val="2"/>
          </w:tcPr>
          <w:p w:rsidR="004B33B3" w:rsidRPr="00A528F4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02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GeneXpert</w:t>
            </w:r>
            <w:r w:rsidRPr="00C7502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®</w:t>
            </w:r>
            <w:r w:rsidRPr="00A528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status</w:t>
            </w:r>
            <w:proofErr w:type="spellEnd"/>
          </w:p>
          <w:p w:rsidR="004B33B3" w:rsidRPr="00A528F4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Unadjusted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Adjusted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  <w:vMerge/>
          </w:tcPr>
          <w:p w:rsidR="004B33B3" w:rsidRPr="00146A2E" w:rsidRDefault="004B33B3" w:rsidP="006B1DC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528F4">
              <w:rPr>
                <w:rFonts w:ascii="Times New Roman" w:hAnsi="Times New Roman" w:cs="Times New Roman"/>
                <w:b/>
                <w:sz w:val="20"/>
                <w:szCs w:val="20"/>
              </w:rPr>
              <w:t>positive, n(%)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528F4">
              <w:rPr>
                <w:rFonts w:ascii="Times New Roman" w:hAnsi="Times New Roman" w:cs="Times New Roman"/>
                <w:b/>
                <w:sz w:val="20"/>
                <w:szCs w:val="20"/>
              </w:rPr>
              <w:t>negative, n (%)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OR (95%CI)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aOR</w:t>
            </w:r>
            <w:proofErr w:type="spellEnd"/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(95%CI)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 value</w:t>
            </w:r>
          </w:p>
        </w:tc>
      </w:tr>
      <w:tr w:rsidR="004B33B3" w:rsidRPr="00146A2E" w:rsidTr="006B1DC1">
        <w:tc>
          <w:tcPr>
            <w:tcW w:w="212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Age group (years)</w:t>
            </w:r>
          </w:p>
        </w:tc>
        <w:tc>
          <w:tcPr>
            <w:tcW w:w="1136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18-24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105 (21.9)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8 (7.4)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25-44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174 (36.3)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26 (24.1)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0.94(0.86-1.03)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0.18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 (0.90-1.08)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0.77</w:t>
            </w: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35-44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129 (26.9)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41 (37.9)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0.84(0.77-0.92)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0.89(0.81-0.98)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0.02</w:t>
            </w: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&gt;45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71 (14.8)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33 (30.6)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0.78(0.71-0.86)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0.83(0.75-0.92)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0.001</w:t>
            </w:r>
          </w:p>
        </w:tc>
      </w:tr>
      <w:tr w:rsidR="004B33B3" w:rsidRPr="00146A2E" w:rsidTr="006B1DC1">
        <w:tc>
          <w:tcPr>
            <w:tcW w:w="2120" w:type="dxa"/>
            <w:shd w:val="clear" w:color="auto" w:fill="F2F2F2" w:themeFill="background1" w:themeFillShade="F2"/>
          </w:tcPr>
          <w:p w:rsidR="004B33B3" w:rsidRPr="00353B4B" w:rsidRDefault="004B33B3" w:rsidP="006B1DC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Sex</w:t>
            </w:r>
          </w:p>
        </w:tc>
        <w:tc>
          <w:tcPr>
            <w:tcW w:w="1136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133 (27.7)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35 (32.4)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 (72.3)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 (67.6)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1.04 (0.96-1.11)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0.33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1.05 (0.98-1.13)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0.16</w:t>
            </w:r>
          </w:p>
        </w:tc>
      </w:tr>
      <w:tr w:rsidR="004B33B3" w:rsidRPr="00146A2E" w:rsidTr="006B1DC1">
        <w:tc>
          <w:tcPr>
            <w:tcW w:w="2120" w:type="dxa"/>
            <w:shd w:val="clear" w:color="auto" w:fill="F2F2F2" w:themeFill="background1" w:themeFillShade="F2"/>
          </w:tcPr>
          <w:p w:rsidR="004B33B3" w:rsidRPr="00353B4B" w:rsidRDefault="004B33B3" w:rsidP="006B1DC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BMI category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g/m</w:t>
            </w: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136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</w:rPr>
              <w:t>BMI≥18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 (45.9)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 (80.1)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BMI&lt;18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.5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259 (54.1)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(19.9)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1.23(1.16-1.31</w:t>
            </w: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1.14</w:t>
            </w: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1.08-1.21</w:t>
            </w: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&lt;0.001</w:t>
            </w:r>
          </w:p>
        </w:tc>
      </w:tr>
      <w:tr w:rsidR="004B33B3" w:rsidRPr="00146A2E" w:rsidTr="006B1DC1">
        <w:tc>
          <w:tcPr>
            <w:tcW w:w="2120" w:type="dxa"/>
            <w:shd w:val="clear" w:color="auto" w:fill="F2F2F2" w:themeFill="background1" w:themeFillShade="F2"/>
          </w:tcPr>
          <w:p w:rsidR="004B33B3" w:rsidRPr="00353B4B" w:rsidRDefault="004B33B3" w:rsidP="006B1DC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Smoking status</w:t>
            </w:r>
          </w:p>
        </w:tc>
        <w:tc>
          <w:tcPr>
            <w:tcW w:w="1136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368(76.8)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73(67.6)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1136" w:type="dxa"/>
          </w:tcPr>
          <w:p w:rsidR="004B33B3" w:rsidRPr="00A4561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5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111 (23.2)</w:t>
            </w:r>
          </w:p>
        </w:tc>
        <w:tc>
          <w:tcPr>
            <w:tcW w:w="1134" w:type="dxa"/>
          </w:tcPr>
          <w:p w:rsidR="004B33B3" w:rsidRPr="00A4561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4561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 (32.4)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0.93(0.86-0.99)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0.045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0.94(0.87-1.02)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0.12</w:t>
            </w:r>
          </w:p>
        </w:tc>
      </w:tr>
      <w:tr w:rsidR="004B33B3" w:rsidRPr="00146A2E" w:rsidTr="006B1DC1">
        <w:tc>
          <w:tcPr>
            <w:tcW w:w="2120" w:type="dxa"/>
            <w:shd w:val="clear" w:color="auto" w:fill="F2F2F2" w:themeFill="background1" w:themeFillShade="F2"/>
          </w:tcPr>
          <w:p w:rsidR="004B33B3" w:rsidRPr="00353B4B" w:rsidRDefault="004B33B3" w:rsidP="006B1DC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353B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HIV status</w:t>
            </w:r>
          </w:p>
        </w:tc>
        <w:tc>
          <w:tcPr>
            <w:tcW w:w="1136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</w:rPr>
              <w:t>Negative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401(83.7)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82(75.9)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Ref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3B3" w:rsidRPr="00146A2E" w:rsidTr="006B1DC1">
        <w:tc>
          <w:tcPr>
            <w:tcW w:w="2120" w:type="dxa"/>
          </w:tcPr>
          <w:p w:rsidR="004B33B3" w:rsidRPr="00146A2E" w:rsidRDefault="004B33B3" w:rsidP="006B1DC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Positive</w:t>
            </w:r>
          </w:p>
        </w:tc>
        <w:tc>
          <w:tcPr>
            <w:tcW w:w="1136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78 (16.3)</w:t>
            </w:r>
          </w:p>
        </w:tc>
        <w:tc>
          <w:tcPr>
            <w:tcW w:w="1134" w:type="dxa"/>
          </w:tcPr>
          <w:p w:rsidR="004B33B3" w:rsidRPr="00762CD8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2CD8">
              <w:rPr>
                <w:rFonts w:ascii="Times New Roman" w:hAnsi="Times New Roman" w:cs="Times New Roman"/>
                <w:sz w:val="20"/>
                <w:szCs w:val="20"/>
              </w:rPr>
              <w:t>26 (24.1)</w:t>
            </w:r>
          </w:p>
        </w:tc>
        <w:tc>
          <w:tcPr>
            <w:tcW w:w="1559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0.92(0.85-1.00)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0.055</w:t>
            </w:r>
          </w:p>
        </w:tc>
        <w:tc>
          <w:tcPr>
            <w:tcW w:w="156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0.95(0.88-1.03)</w:t>
            </w:r>
          </w:p>
        </w:tc>
        <w:tc>
          <w:tcPr>
            <w:tcW w:w="850" w:type="dxa"/>
          </w:tcPr>
          <w:p w:rsidR="004B33B3" w:rsidRPr="00146A2E" w:rsidRDefault="004B33B3" w:rsidP="006B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46A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0.24</w:t>
            </w:r>
          </w:p>
        </w:tc>
      </w:tr>
    </w:tbl>
    <w:p w:rsidR="004B33B3" w:rsidRDefault="004B33B3" w:rsidP="004B33B3">
      <w:pPr>
        <w:pStyle w:val="Caption"/>
        <w:keepNext/>
        <w:rPr>
          <w:rFonts w:ascii="Times New Roman" w:hAnsi="Times New Roman" w:cs="Times New Roman"/>
          <w:b/>
          <w:sz w:val="24"/>
          <w:szCs w:val="24"/>
          <w:lang w:val="en-GB" w:eastAsia="es-ES"/>
        </w:rPr>
      </w:pPr>
    </w:p>
    <w:p w:rsidR="004B33B3" w:rsidRDefault="004B33B3" w:rsidP="004B33B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 w:eastAsia="es-ES"/>
        </w:rPr>
      </w:pPr>
    </w:p>
    <w:p w:rsidR="004B33B3" w:rsidRDefault="004B33B3" w:rsidP="004B33B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 w:eastAsia="es-ES"/>
        </w:rPr>
      </w:pPr>
    </w:p>
    <w:p w:rsidR="004B33B3" w:rsidRDefault="004B33B3" w:rsidP="004B33B3">
      <w:pPr>
        <w:pStyle w:val="Caption"/>
        <w:keepNext/>
        <w:spacing w:line="480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GB" w:eastAsia="es-ES"/>
        </w:rPr>
      </w:pPr>
    </w:p>
    <w:p w:rsidR="004B33B3" w:rsidRPr="003A7DAE" w:rsidRDefault="004B33B3" w:rsidP="004B33B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 w:eastAsia="es-ES"/>
        </w:rPr>
      </w:pPr>
    </w:p>
    <w:p w:rsidR="00BB01B3" w:rsidRPr="004B33B3" w:rsidRDefault="00BB01B3" w:rsidP="005621EA">
      <w:pPr>
        <w:rPr>
          <w:rFonts w:cs="Arial"/>
          <w:lang w:val="en-US"/>
        </w:rPr>
      </w:pPr>
    </w:p>
    <w:sectPr w:rsidR="00BB01B3" w:rsidRPr="004B33B3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A5F" w:rsidRDefault="00415956">
      <w:pPr>
        <w:spacing w:after="0" w:line="240" w:lineRule="auto"/>
      </w:pPr>
      <w:r>
        <w:separator/>
      </w:r>
    </w:p>
  </w:endnote>
  <w:endnote w:type="continuationSeparator" w:id="0">
    <w:p w:rsidR="00114A5F" w:rsidRDefault="0041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30363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6606" w:rsidRDefault="004B33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4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6606" w:rsidRDefault="00C30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A5F" w:rsidRDefault="00415956">
      <w:pPr>
        <w:spacing w:after="0" w:line="240" w:lineRule="auto"/>
      </w:pPr>
      <w:r>
        <w:separator/>
      </w:r>
    </w:p>
  </w:footnote>
  <w:footnote w:type="continuationSeparator" w:id="0">
    <w:p w:rsidR="00114A5F" w:rsidRDefault="004159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B3"/>
    <w:rsid w:val="000254E1"/>
    <w:rsid w:val="00030FD9"/>
    <w:rsid w:val="00034D95"/>
    <w:rsid w:val="0004799D"/>
    <w:rsid w:val="00052445"/>
    <w:rsid w:val="0005537D"/>
    <w:rsid w:val="00055874"/>
    <w:rsid w:val="00056475"/>
    <w:rsid w:val="0007148E"/>
    <w:rsid w:val="00095406"/>
    <w:rsid w:val="0009591C"/>
    <w:rsid w:val="000A651D"/>
    <w:rsid w:val="000C7BAF"/>
    <w:rsid w:val="000D6913"/>
    <w:rsid w:val="000E01C5"/>
    <w:rsid w:val="000E4932"/>
    <w:rsid w:val="000F6AC6"/>
    <w:rsid w:val="000F6CA5"/>
    <w:rsid w:val="000F70C1"/>
    <w:rsid w:val="00114A5F"/>
    <w:rsid w:val="00126E20"/>
    <w:rsid w:val="0013417B"/>
    <w:rsid w:val="00151712"/>
    <w:rsid w:val="001518F4"/>
    <w:rsid w:val="00151A74"/>
    <w:rsid w:val="0015266D"/>
    <w:rsid w:val="001549C3"/>
    <w:rsid w:val="00160010"/>
    <w:rsid w:val="00161984"/>
    <w:rsid w:val="00163A47"/>
    <w:rsid w:val="00166A3D"/>
    <w:rsid w:val="001678CE"/>
    <w:rsid w:val="001A137D"/>
    <w:rsid w:val="001A35FA"/>
    <w:rsid w:val="001A65B3"/>
    <w:rsid w:val="001A7931"/>
    <w:rsid w:val="001C1A54"/>
    <w:rsid w:val="001C4395"/>
    <w:rsid w:val="001E2FB7"/>
    <w:rsid w:val="002032DA"/>
    <w:rsid w:val="002234C1"/>
    <w:rsid w:val="00224317"/>
    <w:rsid w:val="002258EF"/>
    <w:rsid w:val="00226099"/>
    <w:rsid w:val="00241090"/>
    <w:rsid w:val="002442C7"/>
    <w:rsid w:val="0024648C"/>
    <w:rsid w:val="00266028"/>
    <w:rsid w:val="00274349"/>
    <w:rsid w:val="0028659C"/>
    <w:rsid w:val="002A0A24"/>
    <w:rsid w:val="002B27DA"/>
    <w:rsid w:val="002B28A4"/>
    <w:rsid w:val="002B6100"/>
    <w:rsid w:val="002C1A9F"/>
    <w:rsid w:val="002D2870"/>
    <w:rsid w:val="002F2170"/>
    <w:rsid w:val="00305AC7"/>
    <w:rsid w:val="00307372"/>
    <w:rsid w:val="00314700"/>
    <w:rsid w:val="00326733"/>
    <w:rsid w:val="00336C88"/>
    <w:rsid w:val="00337622"/>
    <w:rsid w:val="00353919"/>
    <w:rsid w:val="00356129"/>
    <w:rsid w:val="00363467"/>
    <w:rsid w:val="00381B6E"/>
    <w:rsid w:val="00382C94"/>
    <w:rsid w:val="003840BA"/>
    <w:rsid w:val="0039303B"/>
    <w:rsid w:val="003B1F15"/>
    <w:rsid w:val="003E57A8"/>
    <w:rsid w:val="003F7EF9"/>
    <w:rsid w:val="00415956"/>
    <w:rsid w:val="00423EC3"/>
    <w:rsid w:val="00434976"/>
    <w:rsid w:val="00437BBA"/>
    <w:rsid w:val="0044000A"/>
    <w:rsid w:val="004575EC"/>
    <w:rsid w:val="00473F3A"/>
    <w:rsid w:val="0048054D"/>
    <w:rsid w:val="00480EC7"/>
    <w:rsid w:val="00486263"/>
    <w:rsid w:val="00493C70"/>
    <w:rsid w:val="004B33B3"/>
    <w:rsid w:val="004D290D"/>
    <w:rsid w:val="004E46E2"/>
    <w:rsid w:val="004F3AD9"/>
    <w:rsid w:val="005039FE"/>
    <w:rsid w:val="00503D56"/>
    <w:rsid w:val="0051003E"/>
    <w:rsid w:val="00514147"/>
    <w:rsid w:val="005169EC"/>
    <w:rsid w:val="005211E4"/>
    <w:rsid w:val="00522F7F"/>
    <w:rsid w:val="00531BC8"/>
    <w:rsid w:val="0053447E"/>
    <w:rsid w:val="005464E2"/>
    <w:rsid w:val="005621EA"/>
    <w:rsid w:val="00565404"/>
    <w:rsid w:val="0057482C"/>
    <w:rsid w:val="00585413"/>
    <w:rsid w:val="00585AF3"/>
    <w:rsid w:val="005A1044"/>
    <w:rsid w:val="005A23B0"/>
    <w:rsid w:val="005A4156"/>
    <w:rsid w:val="005A48CE"/>
    <w:rsid w:val="005B1A5C"/>
    <w:rsid w:val="005B1ED3"/>
    <w:rsid w:val="005D6ABF"/>
    <w:rsid w:val="005F6AE0"/>
    <w:rsid w:val="006204FB"/>
    <w:rsid w:val="00621FE6"/>
    <w:rsid w:val="00625045"/>
    <w:rsid w:val="00641AB2"/>
    <w:rsid w:val="00670BF8"/>
    <w:rsid w:val="006756FD"/>
    <w:rsid w:val="00676DF6"/>
    <w:rsid w:val="00681EAA"/>
    <w:rsid w:val="00697630"/>
    <w:rsid w:val="006A2DAC"/>
    <w:rsid w:val="006C5A59"/>
    <w:rsid w:val="006E61FF"/>
    <w:rsid w:val="006F49D5"/>
    <w:rsid w:val="007012A2"/>
    <w:rsid w:val="0070496C"/>
    <w:rsid w:val="00705BB5"/>
    <w:rsid w:val="00711530"/>
    <w:rsid w:val="0072537C"/>
    <w:rsid w:val="00732934"/>
    <w:rsid w:val="00737B3F"/>
    <w:rsid w:val="007410D4"/>
    <w:rsid w:val="00751ECA"/>
    <w:rsid w:val="0076280C"/>
    <w:rsid w:val="00763C9B"/>
    <w:rsid w:val="0076671E"/>
    <w:rsid w:val="0077294D"/>
    <w:rsid w:val="00781E32"/>
    <w:rsid w:val="00793BBA"/>
    <w:rsid w:val="007A502D"/>
    <w:rsid w:val="007B5F20"/>
    <w:rsid w:val="007D39F2"/>
    <w:rsid w:val="007D6846"/>
    <w:rsid w:val="007E0186"/>
    <w:rsid w:val="007E03D3"/>
    <w:rsid w:val="007E0694"/>
    <w:rsid w:val="007F3215"/>
    <w:rsid w:val="007F48CF"/>
    <w:rsid w:val="008079FF"/>
    <w:rsid w:val="008105A8"/>
    <w:rsid w:val="00813CE9"/>
    <w:rsid w:val="00827BAF"/>
    <w:rsid w:val="0083321A"/>
    <w:rsid w:val="00834D3F"/>
    <w:rsid w:val="00841CE9"/>
    <w:rsid w:val="008713C9"/>
    <w:rsid w:val="00874961"/>
    <w:rsid w:val="00883201"/>
    <w:rsid w:val="0089604E"/>
    <w:rsid w:val="008A7623"/>
    <w:rsid w:val="008C7EBB"/>
    <w:rsid w:val="008D004B"/>
    <w:rsid w:val="008D23DC"/>
    <w:rsid w:val="008D39D2"/>
    <w:rsid w:val="008D5DC4"/>
    <w:rsid w:val="008E2D06"/>
    <w:rsid w:val="008E620D"/>
    <w:rsid w:val="008F66CE"/>
    <w:rsid w:val="00903ADD"/>
    <w:rsid w:val="00906819"/>
    <w:rsid w:val="009114D4"/>
    <w:rsid w:val="009253F2"/>
    <w:rsid w:val="00930B87"/>
    <w:rsid w:val="0093425A"/>
    <w:rsid w:val="00990B9D"/>
    <w:rsid w:val="009A48DD"/>
    <w:rsid w:val="009B6758"/>
    <w:rsid w:val="009E014A"/>
    <w:rsid w:val="009E419B"/>
    <w:rsid w:val="009E4B12"/>
    <w:rsid w:val="00A02A21"/>
    <w:rsid w:val="00A22D7F"/>
    <w:rsid w:val="00A3399C"/>
    <w:rsid w:val="00A33E8B"/>
    <w:rsid w:val="00A35533"/>
    <w:rsid w:val="00A4136E"/>
    <w:rsid w:val="00A52B04"/>
    <w:rsid w:val="00A54061"/>
    <w:rsid w:val="00A602AC"/>
    <w:rsid w:val="00A77464"/>
    <w:rsid w:val="00A7748F"/>
    <w:rsid w:val="00A83FE5"/>
    <w:rsid w:val="00A90EC2"/>
    <w:rsid w:val="00A95AFB"/>
    <w:rsid w:val="00A97589"/>
    <w:rsid w:val="00AA25D8"/>
    <w:rsid w:val="00AC069D"/>
    <w:rsid w:val="00AC21F1"/>
    <w:rsid w:val="00AF1632"/>
    <w:rsid w:val="00B20998"/>
    <w:rsid w:val="00B26E82"/>
    <w:rsid w:val="00B34F42"/>
    <w:rsid w:val="00B35409"/>
    <w:rsid w:val="00B35C17"/>
    <w:rsid w:val="00B365CE"/>
    <w:rsid w:val="00B52588"/>
    <w:rsid w:val="00B66039"/>
    <w:rsid w:val="00B75B76"/>
    <w:rsid w:val="00B818C6"/>
    <w:rsid w:val="00BA5ED5"/>
    <w:rsid w:val="00BB01B3"/>
    <w:rsid w:val="00BC4987"/>
    <w:rsid w:val="00BF06BE"/>
    <w:rsid w:val="00C06CCE"/>
    <w:rsid w:val="00C23CD2"/>
    <w:rsid w:val="00C3046E"/>
    <w:rsid w:val="00C462FE"/>
    <w:rsid w:val="00C52E57"/>
    <w:rsid w:val="00C66D10"/>
    <w:rsid w:val="00C73CA2"/>
    <w:rsid w:val="00CC0072"/>
    <w:rsid w:val="00CC6613"/>
    <w:rsid w:val="00CD2AC7"/>
    <w:rsid w:val="00CD7206"/>
    <w:rsid w:val="00CD7DB3"/>
    <w:rsid w:val="00CE12A1"/>
    <w:rsid w:val="00CE5D07"/>
    <w:rsid w:val="00D010F6"/>
    <w:rsid w:val="00D07A7F"/>
    <w:rsid w:val="00D25B66"/>
    <w:rsid w:val="00D342EA"/>
    <w:rsid w:val="00D619D5"/>
    <w:rsid w:val="00D639EB"/>
    <w:rsid w:val="00D6499E"/>
    <w:rsid w:val="00D70129"/>
    <w:rsid w:val="00D70FB2"/>
    <w:rsid w:val="00D810E8"/>
    <w:rsid w:val="00D84105"/>
    <w:rsid w:val="00D8569F"/>
    <w:rsid w:val="00D85A06"/>
    <w:rsid w:val="00DA6B5D"/>
    <w:rsid w:val="00DA781F"/>
    <w:rsid w:val="00DE6A54"/>
    <w:rsid w:val="00DF0705"/>
    <w:rsid w:val="00E005DB"/>
    <w:rsid w:val="00E05BDB"/>
    <w:rsid w:val="00E202DE"/>
    <w:rsid w:val="00E21ED9"/>
    <w:rsid w:val="00E31774"/>
    <w:rsid w:val="00E35DCD"/>
    <w:rsid w:val="00E63C2C"/>
    <w:rsid w:val="00E63F1A"/>
    <w:rsid w:val="00E74286"/>
    <w:rsid w:val="00E84E98"/>
    <w:rsid w:val="00E925AA"/>
    <w:rsid w:val="00E9670A"/>
    <w:rsid w:val="00E96F7B"/>
    <w:rsid w:val="00EA6B1B"/>
    <w:rsid w:val="00EB0E06"/>
    <w:rsid w:val="00EC1466"/>
    <w:rsid w:val="00EE2727"/>
    <w:rsid w:val="00EE4B0F"/>
    <w:rsid w:val="00EF6A91"/>
    <w:rsid w:val="00EF71D7"/>
    <w:rsid w:val="00F11BEC"/>
    <w:rsid w:val="00F32D41"/>
    <w:rsid w:val="00F46C12"/>
    <w:rsid w:val="00F6578F"/>
    <w:rsid w:val="00F71D62"/>
    <w:rsid w:val="00F71EF4"/>
    <w:rsid w:val="00FA537D"/>
    <w:rsid w:val="00FB1670"/>
    <w:rsid w:val="00FB1DB5"/>
    <w:rsid w:val="00FC1B08"/>
    <w:rsid w:val="00FC63D9"/>
    <w:rsid w:val="00FC6DD0"/>
    <w:rsid w:val="00FD1BEB"/>
    <w:rsid w:val="00FE37E1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AFF4D"/>
  <w15:chartTrackingRefBased/>
  <w15:docId w15:val="{AD7A34DD-693B-4A5F-8CEF-F0928148C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3B3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B33B3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4B33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B3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3B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TPH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Portevin</dc:creator>
  <cp:keywords/>
  <dc:description/>
  <cp:lastModifiedBy>Damien Portevin</cp:lastModifiedBy>
  <cp:revision>3</cp:revision>
  <dcterms:created xsi:type="dcterms:W3CDTF">2021-05-06T13:12:00Z</dcterms:created>
  <dcterms:modified xsi:type="dcterms:W3CDTF">2021-05-06T16:03:00Z</dcterms:modified>
</cp:coreProperties>
</file>