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42D483" w14:textId="77777777" w:rsidR="002D4043" w:rsidRPr="000D4AB1" w:rsidRDefault="002D4043" w:rsidP="002D4043">
      <w:pPr>
        <w:pStyle w:val="NormalWeb"/>
        <w:spacing w:line="480" w:lineRule="auto"/>
        <w:rPr>
          <w:rFonts w:eastAsiaTheme="majorEastAsia"/>
          <w:b/>
          <w:bCs/>
          <w:sz w:val="28"/>
          <w:szCs w:val="28"/>
        </w:rPr>
      </w:pPr>
      <w:r w:rsidRPr="000D4AB1">
        <w:rPr>
          <w:rFonts w:eastAsiaTheme="majorEastAsia"/>
          <w:b/>
          <w:bCs/>
          <w:sz w:val="28"/>
          <w:szCs w:val="28"/>
        </w:rPr>
        <w:t>Chromosome anchoring in Se</w:t>
      </w:r>
      <w:bookmarkStart w:id="0" w:name="_GoBack"/>
      <w:bookmarkEnd w:id="0"/>
      <w:r w:rsidRPr="000D4AB1">
        <w:rPr>
          <w:rFonts w:eastAsiaTheme="majorEastAsia"/>
          <w:b/>
          <w:bCs/>
          <w:sz w:val="28"/>
          <w:szCs w:val="28"/>
        </w:rPr>
        <w:t>negalese sole (</w:t>
      </w:r>
      <w:r w:rsidRPr="000D4AB1">
        <w:rPr>
          <w:rFonts w:eastAsiaTheme="majorEastAsia"/>
          <w:b/>
          <w:bCs/>
          <w:i/>
          <w:iCs/>
          <w:sz w:val="28"/>
          <w:szCs w:val="28"/>
        </w:rPr>
        <w:t>Solea senegalensis</w:t>
      </w:r>
      <w:r w:rsidRPr="000D4AB1">
        <w:rPr>
          <w:rFonts w:eastAsiaTheme="majorEastAsia"/>
          <w:b/>
          <w:bCs/>
          <w:sz w:val="28"/>
          <w:szCs w:val="28"/>
        </w:rPr>
        <w:t>) reveals sex-associated markers and genome rearrangements in flatfish</w:t>
      </w:r>
    </w:p>
    <w:p w14:paraId="4A086B54" w14:textId="77777777" w:rsidR="0029484C" w:rsidRPr="000D4AB1" w:rsidRDefault="0029484C" w:rsidP="0029484C">
      <w:pPr>
        <w:pStyle w:val="NormalWeb"/>
        <w:spacing w:line="480" w:lineRule="auto"/>
        <w:rPr>
          <w:lang w:val="es-ES"/>
        </w:rPr>
      </w:pPr>
      <w:r w:rsidRPr="000D4AB1">
        <w:rPr>
          <w:lang w:val="es-ES"/>
        </w:rPr>
        <w:t>Israel Guerrero-Cózar</w:t>
      </w:r>
      <w:r w:rsidRPr="000D4AB1">
        <w:rPr>
          <w:vertAlign w:val="superscript"/>
          <w:lang w:val="es-ES"/>
        </w:rPr>
        <w:t>1</w:t>
      </w:r>
      <w:r w:rsidRPr="000D4AB1">
        <w:rPr>
          <w:lang w:val="es-ES"/>
        </w:rPr>
        <w:t>;</w:t>
      </w:r>
      <w:r w:rsidRPr="000D4AB1">
        <w:rPr>
          <w:rFonts w:eastAsiaTheme="minorEastAsia"/>
          <w:lang w:val="es-ES" w:eastAsia="en-GB"/>
        </w:rPr>
        <w:t xml:space="preserve"> Jessica Gomez-Garrido</w:t>
      </w:r>
      <w:r w:rsidRPr="000D4AB1">
        <w:rPr>
          <w:vertAlign w:val="superscript"/>
          <w:lang w:val="es-ES"/>
        </w:rPr>
        <w:t>2</w:t>
      </w:r>
      <w:r w:rsidRPr="000D4AB1">
        <w:rPr>
          <w:rFonts w:eastAsiaTheme="minorEastAsia"/>
          <w:lang w:val="es-ES" w:eastAsia="en-GB"/>
        </w:rPr>
        <w:t>; Concha Berbel</w:t>
      </w:r>
      <w:r w:rsidRPr="000D4AB1">
        <w:rPr>
          <w:vertAlign w:val="superscript"/>
          <w:lang w:val="es-ES"/>
        </w:rPr>
        <w:t xml:space="preserve">1; </w:t>
      </w:r>
      <w:r w:rsidRPr="000D4AB1">
        <w:rPr>
          <w:rFonts w:eastAsiaTheme="minorEastAsia"/>
          <w:lang w:val="es-ES" w:eastAsia="en-GB"/>
        </w:rPr>
        <w:t>Juan F. Martinez-Blanch</w:t>
      </w:r>
      <w:r w:rsidRPr="000D4AB1">
        <w:rPr>
          <w:vertAlign w:val="superscript"/>
          <w:lang w:val="es-ES"/>
        </w:rPr>
        <w:t>3</w:t>
      </w:r>
      <w:r w:rsidRPr="000D4AB1">
        <w:rPr>
          <w:rFonts w:eastAsiaTheme="minorEastAsia"/>
          <w:lang w:val="es-ES" w:eastAsia="en-GB"/>
        </w:rPr>
        <w:t>; Tyler Alioto</w:t>
      </w:r>
      <w:r w:rsidRPr="000D4AB1">
        <w:rPr>
          <w:vertAlign w:val="superscript"/>
          <w:lang w:val="es-ES"/>
        </w:rPr>
        <w:t>2,4</w:t>
      </w:r>
      <w:r w:rsidRPr="000D4AB1">
        <w:rPr>
          <w:lang w:val="es-ES"/>
        </w:rPr>
        <w:t>;</w:t>
      </w:r>
      <w:r w:rsidRPr="000D4AB1">
        <w:rPr>
          <w:rFonts w:eastAsiaTheme="minorEastAsia"/>
          <w:lang w:val="es-ES" w:eastAsia="en-GB"/>
        </w:rPr>
        <w:t xml:space="preserve"> M. Gonzalo Claros</w:t>
      </w:r>
      <w:r w:rsidRPr="000D4AB1">
        <w:rPr>
          <w:vertAlign w:val="superscript"/>
          <w:lang w:val="es-ES"/>
        </w:rPr>
        <w:t>5,6,7,8</w:t>
      </w:r>
      <w:r w:rsidRPr="000D4AB1">
        <w:rPr>
          <w:rFonts w:eastAsiaTheme="minorEastAsia"/>
          <w:lang w:val="es-ES" w:eastAsia="en-GB"/>
        </w:rPr>
        <w:t xml:space="preserve">; </w:t>
      </w:r>
      <w:r w:rsidRPr="000D4AB1">
        <w:rPr>
          <w:rFonts w:asciiTheme="majorBidi" w:hAnsiTheme="majorBidi" w:cstheme="majorBidi"/>
          <w:lang w:val="fr-FR"/>
        </w:rPr>
        <w:t>Pierre-Alexandre Gagnaire</w:t>
      </w:r>
      <w:r w:rsidRPr="000D4AB1">
        <w:rPr>
          <w:vertAlign w:val="superscript"/>
          <w:lang w:val="fr-FR"/>
        </w:rPr>
        <w:t>9</w:t>
      </w:r>
      <w:r w:rsidRPr="000D4AB1">
        <w:rPr>
          <w:rFonts w:asciiTheme="majorBidi" w:hAnsiTheme="majorBidi" w:cstheme="majorBidi"/>
          <w:lang w:val="fr-FR"/>
        </w:rPr>
        <w:t xml:space="preserve">; </w:t>
      </w:r>
      <w:r w:rsidRPr="000D4AB1">
        <w:rPr>
          <w:rFonts w:eastAsiaTheme="minorEastAsia"/>
          <w:lang w:val="es-ES" w:eastAsia="en-GB"/>
        </w:rPr>
        <w:t>Manuel Manchado</w:t>
      </w:r>
      <w:r w:rsidRPr="000D4AB1">
        <w:rPr>
          <w:vertAlign w:val="superscript"/>
          <w:lang w:val="es-ES"/>
        </w:rPr>
        <w:t>1,10*</w:t>
      </w:r>
    </w:p>
    <w:p w14:paraId="400A464A" w14:textId="77777777" w:rsidR="0029484C" w:rsidRPr="000D4AB1" w:rsidRDefault="0029484C" w:rsidP="0029484C">
      <w:pPr>
        <w:spacing w:after="120" w:line="360" w:lineRule="auto"/>
        <w:rPr>
          <w:sz w:val="22"/>
          <w:szCs w:val="22"/>
          <w:lang w:val="es-ES"/>
        </w:rPr>
      </w:pPr>
      <w:r w:rsidRPr="000D4AB1">
        <w:rPr>
          <w:sz w:val="22"/>
          <w:szCs w:val="22"/>
          <w:vertAlign w:val="superscript"/>
          <w:lang w:val="es-ES"/>
        </w:rPr>
        <w:t>1</w:t>
      </w:r>
      <w:r w:rsidRPr="000D4AB1">
        <w:rPr>
          <w:sz w:val="22"/>
          <w:szCs w:val="22"/>
          <w:lang w:val="es-ES"/>
        </w:rPr>
        <w:t>IFAPA Centro El Toruño, Junta de Andalucía, Camino Tiro Pichón s/n, 11500 El Puerto de Santa María, Cádiz, Spain</w:t>
      </w:r>
    </w:p>
    <w:p w14:paraId="65375760" w14:textId="77777777" w:rsidR="0029484C" w:rsidRPr="000D4AB1" w:rsidRDefault="0029484C" w:rsidP="0029484C">
      <w:pPr>
        <w:spacing w:after="120" w:line="360" w:lineRule="auto"/>
        <w:rPr>
          <w:sz w:val="22"/>
          <w:szCs w:val="22"/>
        </w:rPr>
      </w:pPr>
      <w:r w:rsidRPr="000D4AB1">
        <w:rPr>
          <w:sz w:val="22"/>
          <w:szCs w:val="22"/>
          <w:vertAlign w:val="superscript"/>
        </w:rPr>
        <w:t>2</w:t>
      </w:r>
      <w:r w:rsidRPr="000D4AB1">
        <w:rPr>
          <w:sz w:val="22"/>
          <w:szCs w:val="22"/>
        </w:rPr>
        <w:t>CNAG-CRG, Centre for Genomic Regulation (CRG), Barcelona Institute of Science and Technology (BIST), Barcelona, 08028, Spain.</w:t>
      </w:r>
    </w:p>
    <w:p w14:paraId="171FFD8E" w14:textId="77777777" w:rsidR="0029484C" w:rsidRPr="000D4AB1" w:rsidRDefault="0029484C" w:rsidP="0029484C">
      <w:pPr>
        <w:spacing w:after="120" w:line="360" w:lineRule="auto"/>
        <w:rPr>
          <w:sz w:val="22"/>
          <w:szCs w:val="22"/>
          <w:lang w:val="es-ES"/>
        </w:rPr>
      </w:pPr>
      <w:r w:rsidRPr="000D4AB1">
        <w:rPr>
          <w:sz w:val="22"/>
          <w:szCs w:val="22"/>
          <w:vertAlign w:val="superscript"/>
          <w:lang w:val="es-ES"/>
        </w:rPr>
        <w:t>3</w:t>
      </w:r>
      <w:r w:rsidRPr="000D4AB1">
        <w:rPr>
          <w:sz w:val="22"/>
          <w:szCs w:val="22"/>
          <w:lang w:val="es-ES"/>
        </w:rPr>
        <w:t>LifeSequencing, Parc Cientific Universidad De Valencia, Edif. 2, C/ Catedrático Agustín Escardino Benlloch, 9, 46980 Paterna, Spain</w:t>
      </w:r>
    </w:p>
    <w:p w14:paraId="414EF7D8" w14:textId="77777777" w:rsidR="0029484C" w:rsidRPr="000D4AB1" w:rsidRDefault="0029484C" w:rsidP="0029484C">
      <w:pPr>
        <w:spacing w:after="120" w:line="360" w:lineRule="auto"/>
        <w:rPr>
          <w:sz w:val="22"/>
          <w:szCs w:val="22"/>
          <w:lang w:val="es-ES"/>
        </w:rPr>
      </w:pPr>
      <w:r w:rsidRPr="000D4AB1">
        <w:rPr>
          <w:sz w:val="22"/>
          <w:szCs w:val="22"/>
          <w:vertAlign w:val="superscript"/>
          <w:lang w:val="es-ES"/>
        </w:rPr>
        <w:t>4</w:t>
      </w:r>
      <w:r w:rsidRPr="000D4AB1">
        <w:rPr>
          <w:color w:val="000000" w:themeColor="text1"/>
          <w:sz w:val="22"/>
          <w:szCs w:val="22"/>
          <w:lang w:val="es-ES"/>
        </w:rPr>
        <w:t>Universitat Pompeu Fabra (UPF). 08003 Barcelona, Spain</w:t>
      </w:r>
    </w:p>
    <w:p w14:paraId="0D86E959" w14:textId="77777777" w:rsidR="0029484C" w:rsidRPr="000D4AB1" w:rsidRDefault="0029484C" w:rsidP="0029484C">
      <w:pPr>
        <w:spacing w:after="120" w:line="360" w:lineRule="auto"/>
        <w:rPr>
          <w:sz w:val="22"/>
          <w:szCs w:val="22"/>
        </w:rPr>
      </w:pPr>
      <w:r w:rsidRPr="000D4AB1">
        <w:rPr>
          <w:sz w:val="22"/>
          <w:szCs w:val="22"/>
          <w:vertAlign w:val="superscript"/>
        </w:rPr>
        <w:t>5</w:t>
      </w:r>
      <w:r w:rsidRPr="000D4AB1">
        <w:rPr>
          <w:sz w:val="22"/>
          <w:szCs w:val="22"/>
        </w:rPr>
        <w:t>Universidad de Málaga, Department of Molecular Biology and Biochemistry, Málaga, E-29071, Spain</w:t>
      </w:r>
    </w:p>
    <w:p w14:paraId="0BB2A093" w14:textId="77777777" w:rsidR="0029484C" w:rsidRPr="000D4AB1" w:rsidRDefault="0029484C" w:rsidP="0029484C">
      <w:pPr>
        <w:spacing w:after="120" w:line="360" w:lineRule="auto"/>
        <w:rPr>
          <w:sz w:val="22"/>
          <w:szCs w:val="22"/>
          <w:lang w:val="es-ES"/>
        </w:rPr>
      </w:pPr>
      <w:r w:rsidRPr="000D4AB1">
        <w:rPr>
          <w:sz w:val="22"/>
          <w:szCs w:val="22"/>
          <w:vertAlign w:val="superscript"/>
          <w:lang w:val="es-ES"/>
        </w:rPr>
        <w:t>6</w:t>
      </w:r>
      <w:r w:rsidRPr="000D4AB1">
        <w:rPr>
          <w:sz w:val="22"/>
          <w:szCs w:val="22"/>
          <w:lang w:val="es-ES"/>
        </w:rPr>
        <w:t>CIBER de Enfermedades Raras (CIBERER), Málaga, E-29071, Spain</w:t>
      </w:r>
    </w:p>
    <w:p w14:paraId="5EC6E571" w14:textId="77777777" w:rsidR="0029484C" w:rsidRPr="000D4AB1" w:rsidRDefault="0029484C" w:rsidP="0029484C">
      <w:pPr>
        <w:spacing w:after="120" w:line="360" w:lineRule="auto"/>
        <w:rPr>
          <w:sz w:val="22"/>
          <w:szCs w:val="22"/>
          <w:lang w:val="es-ES"/>
        </w:rPr>
      </w:pPr>
      <w:r w:rsidRPr="000D4AB1">
        <w:rPr>
          <w:sz w:val="22"/>
          <w:szCs w:val="22"/>
          <w:vertAlign w:val="superscript"/>
          <w:lang w:val="es-ES"/>
        </w:rPr>
        <w:t>7</w:t>
      </w:r>
      <w:r w:rsidRPr="000D4AB1">
        <w:rPr>
          <w:sz w:val="22"/>
          <w:szCs w:val="22"/>
          <w:lang w:val="es-ES"/>
        </w:rPr>
        <w:t>Institute of Biomedical Research in Málaga (IBIMA), IBIMA-RARE, Málaga, E-29010, Spain</w:t>
      </w:r>
    </w:p>
    <w:p w14:paraId="0F5D092E" w14:textId="77777777" w:rsidR="0029484C" w:rsidRPr="000D4AB1" w:rsidRDefault="0029484C" w:rsidP="0029484C">
      <w:pPr>
        <w:spacing w:after="120" w:line="360" w:lineRule="auto"/>
        <w:rPr>
          <w:sz w:val="22"/>
          <w:szCs w:val="22"/>
          <w:lang w:val="es-ES"/>
        </w:rPr>
      </w:pPr>
      <w:r w:rsidRPr="000D4AB1">
        <w:rPr>
          <w:sz w:val="22"/>
          <w:szCs w:val="22"/>
          <w:vertAlign w:val="superscript"/>
          <w:lang w:val="es-ES"/>
        </w:rPr>
        <w:t>8</w:t>
      </w:r>
      <w:r w:rsidRPr="000D4AB1">
        <w:rPr>
          <w:sz w:val="22"/>
          <w:szCs w:val="22"/>
          <w:lang w:val="es-ES"/>
        </w:rPr>
        <w:t>Instituto de Hortofruticultura Subtropical y Mediterránea (IHSM-UMA-CSIC), Málaga, E-29010, Spain.</w:t>
      </w:r>
    </w:p>
    <w:p w14:paraId="7F35D71D" w14:textId="77777777" w:rsidR="0029484C" w:rsidRPr="000D4AB1" w:rsidRDefault="0029484C" w:rsidP="0029484C">
      <w:pPr>
        <w:spacing w:after="120" w:line="360" w:lineRule="auto"/>
        <w:rPr>
          <w:sz w:val="22"/>
          <w:szCs w:val="22"/>
        </w:rPr>
      </w:pPr>
      <w:r w:rsidRPr="000D4AB1">
        <w:rPr>
          <w:sz w:val="22"/>
          <w:szCs w:val="22"/>
          <w:vertAlign w:val="superscript"/>
        </w:rPr>
        <w:t>9</w:t>
      </w:r>
      <w:r w:rsidRPr="000D4AB1">
        <w:rPr>
          <w:sz w:val="22"/>
          <w:szCs w:val="22"/>
        </w:rPr>
        <w:t>ISEM, Univ Montpellier, CNRS, EPHE, IRD, Montpellier, France</w:t>
      </w:r>
    </w:p>
    <w:p w14:paraId="4F8A7696" w14:textId="77777777" w:rsidR="0029484C" w:rsidRPr="000D4AB1" w:rsidRDefault="0029484C" w:rsidP="0029484C">
      <w:pPr>
        <w:spacing w:after="120" w:line="360" w:lineRule="auto"/>
        <w:rPr>
          <w:sz w:val="22"/>
          <w:szCs w:val="22"/>
          <w:lang w:val="es-ES"/>
        </w:rPr>
      </w:pPr>
      <w:r w:rsidRPr="000D4AB1">
        <w:rPr>
          <w:sz w:val="22"/>
          <w:szCs w:val="22"/>
          <w:vertAlign w:val="superscript"/>
          <w:lang w:val="es-ES"/>
        </w:rPr>
        <w:t xml:space="preserve">10 </w:t>
      </w:r>
      <w:r w:rsidRPr="000D4AB1">
        <w:rPr>
          <w:sz w:val="22"/>
          <w:szCs w:val="22"/>
          <w:lang w:val="es-ES"/>
        </w:rPr>
        <w:t xml:space="preserve">“Crecimiento Azul", Centro IFAPA El Toruño, Unidad Asociada al CSIC” </w:t>
      </w:r>
    </w:p>
    <w:p w14:paraId="0DF4267F" w14:textId="77777777" w:rsidR="0029484C" w:rsidRPr="000D4AB1" w:rsidRDefault="0029484C" w:rsidP="0029484C">
      <w:pPr>
        <w:rPr>
          <w:sz w:val="22"/>
          <w:szCs w:val="22"/>
          <w:lang w:val="es-ES"/>
        </w:rPr>
      </w:pPr>
    </w:p>
    <w:p w14:paraId="6A758CFB" w14:textId="77777777" w:rsidR="0029484C" w:rsidRPr="000D4AB1" w:rsidRDefault="0029484C" w:rsidP="0029484C">
      <w:pPr>
        <w:rPr>
          <w:sz w:val="22"/>
          <w:szCs w:val="22"/>
          <w:lang w:val="es-ES"/>
        </w:rPr>
      </w:pPr>
    </w:p>
    <w:p w14:paraId="3AAE77E3" w14:textId="77777777" w:rsidR="0029484C" w:rsidRPr="000D4AB1" w:rsidRDefault="0029484C" w:rsidP="0029484C">
      <w:pPr>
        <w:rPr>
          <w:sz w:val="22"/>
          <w:szCs w:val="22"/>
          <w:lang w:val="es-ES"/>
        </w:rPr>
      </w:pPr>
      <w:r w:rsidRPr="000D4AB1">
        <w:rPr>
          <w:sz w:val="22"/>
          <w:szCs w:val="22"/>
          <w:lang w:val="es-ES"/>
        </w:rPr>
        <w:t>*Corresponding author:</w:t>
      </w:r>
    </w:p>
    <w:p w14:paraId="523A1F39" w14:textId="77777777" w:rsidR="0029484C" w:rsidRPr="000D4AB1" w:rsidRDefault="0029484C" w:rsidP="0029484C">
      <w:pPr>
        <w:rPr>
          <w:rStyle w:val="FootnoteAnchor"/>
          <w:sz w:val="22"/>
          <w:szCs w:val="22"/>
        </w:rPr>
      </w:pPr>
      <w:r w:rsidRPr="000D4AB1">
        <w:rPr>
          <w:sz w:val="22"/>
          <w:szCs w:val="22"/>
          <w:lang w:val="es-ES"/>
        </w:rPr>
        <w:t xml:space="preserve">Manuel Manchado. IFAPA Centro </w:t>
      </w:r>
      <w:r w:rsidRPr="000D4AB1">
        <w:rPr>
          <w:i/>
          <w:sz w:val="22"/>
          <w:szCs w:val="22"/>
          <w:lang w:val="es-ES"/>
        </w:rPr>
        <w:t>El Toruño</w:t>
      </w:r>
      <w:r w:rsidRPr="000D4AB1">
        <w:rPr>
          <w:sz w:val="22"/>
          <w:szCs w:val="22"/>
          <w:lang w:val="es-ES"/>
        </w:rPr>
        <w:t xml:space="preserve">. Camino Tiro de Pichón s/n. 11500 El Puerto de Santa María (Cádiz), Spain. </w:t>
      </w:r>
      <w:r w:rsidRPr="000D4AB1">
        <w:rPr>
          <w:sz w:val="22"/>
          <w:szCs w:val="22"/>
        </w:rPr>
        <w:t xml:space="preserve">Tel: +34 671532088. Fax: +34 856102033. Email: </w:t>
      </w:r>
      <w:hyperlink r:id="rId6" w:history="1">
        <w:r w:rsidRPr="000D4AB1">
          <w:rPr>
            <w:rStyle w:val="Hyperlink"/>
            <w:color w:val="000000" w:themeColor="text1"/>
            <w:sz w:val="22"/>
            <w:szCs w:val="22"/>
          </w:rPr>
          <w:t>manuel.manchado@juntadeandalucia.es</w:t>
        </w:r>
      </w:hyperlink>
    </w:p>
    <w:p w14:paraId="2EDE92F0" w14:textId="2BB7BB55" w:rsidR="004D6D09" w:rsidRPr="000D4AB1" w:rsidRDefault="004D6D09" w:rsidP="00E95FF4">
      <w:pPr>
        <w:rPr>
          <w:rStyle w:val="Hyperlink"/>
          <w:color w:val="000000" w:themeColor="text1"/>
          <w:lang w:val="en-GB"/>
        </w:rPr>
      </w:pPr>
    </w:p>
    <w:p w14:paraId="429A83EB" w14:textId="07CA4230" w:rsidR="000B5795" w:rsidRPr="000D4AB1" w:rsidRDefault="000B5795">
      <w:pPr>
        <w:rPr>
          <w:rStyle w:val="Hyperlink"/>
          <w:color w:val="000000" w:themeColor="text1"/>
          <w:lang w:val="en-GB"/>
        </w:rPr>
      </w:pPr>
      <w:r w:rsidRPr="000D4AB1">
        <w:rPr>
          <w:rStyle w:val="Hyperlink"/>
          <w:color w:val="000000" w:themeColor="text1"/>
          <w:lang w:val="en-GB"/>
        </w:rPr>
        <w:br w:type="page"/>
      </w:r>
    </w:p>
    <w:p w14:paraId="429589DE" w14:textId="337739A1" w:rsidR="000B5795" w:rsidRPr="000D4AB1" w:rsidRDefault="000B5795" w:rsidP="000B5795">
      <w:pPr>
        <w:pStyle w:val="NormalWeb"/>
        <w:spacing w:after="0" w:afterAutospacing="0"/>
        <w:rPr>
          <w:lang w:val="en-US"/>
        </w:rPr>
      </w:pPr>
      <w:r w:rsidRPr="000D4AB1">
        <w:rPr>
          <w:b/>
          <w:bCs/>
        </w:rPr>
        <w:t xml:space="preserve">Supplementary Fig. </w:t>
      </w:r>
      <w:r w:rsidR="00ED05F7" w:rsidRPr="000D4AB1">
        <w:rPr>
          <w:b/>
          <w:bCs/>
        </w:rPr>
        <w:t>S</w:t>
      </w:r>
      <w:r w:rsidRPr="000D4AB1">
        <w:rPr>
          <w:b/>
          <w:bCs/>
        </w:rPr>
        <w:t xml:space="preserve">1. Data filtering of markers with Mendelian errors </w:t>
      </w:r>
      <w:r w:rsidRPr="000D4AB1">
        <w:rPr>
          <w:lang w:val="en-US"/>
        </w:rPr>
        <w:t>(available as a separate pdf file).</w:t>
      </w:r>
    </w:p>
    <w:p w14:paraId="1ECEB806" w14:textId="3BBE7DD2" w:rsidR="000B5795" w:rsidRPr="000D4AB1" w:rsidRDefault="000B5795" w:rsidP="000B5795">
      <w:pPr>
        <w:snapToGrid w:val="0"/>
        <w:spacing w:after="240"/>
      </w:pPr>
      <w:r w:rsidRPr="000D4AB1">
        <w:t xml:space="preserve">(A) Data by family </w:t>
      </w:r>
      <w:r w:rsidR="005D49DF" w:rsidRPr="000D4AB1">
        <w:t xml:space="preserve">(F). </w:t>
      </w:r>
      <w:r w:rsidRPr="000D4AB1">
        <w:t>The % markers with Mendelian errors in each family are indicated on the bars. (B) Relationship between number of markers with Mendelian errors and % individuals identified. Markers with an error % higher than the threshold (10% in dashed red line) were removed; (C) Relationship between the number of individuals and number of markers with Mendelian errors. Individuals with more than 5% of markers with Mendelian were removed (dashed red line).</w:t>
      </w:r>
    </w:p>
    <w:p w14:paraId="57B15B9F" w14:textId="7FEAA38F" w:rsidR="000B5795" w:rsidRPr="000D4AB1" w:rsidRDefault="000B5795" w:rsidP="000B5795">
      <w:pPr>
        <w:pStyle w:val="NormalWeb"/>
        <w:spacing w:before="0" w:beforeAutospacing="0" w:after="0" w:afterAutospacing="0"/>
        <w:rPr>
          <w:lang w:val="en-US"/>
        </w:rPr>
      </w:pPr>
      <w:r w:rsidRPr="000D4AB1">
        <w:rPr>
          <w:b/>
          <w:bCs/>
        </w:rPr>
        <w:t xml:space="preserve">Supplementary </w:t>
      </w:r>
      <w:r w:rsidR="000955EA" w:rsidRPr="000D4AB1">
        <w:rPr>
          <w:b/>
          <w:bCs/>
        </w:rPr>
        <w:t xml:space="preserve">Fig. </w:t>
      </w:r>
      <w:r w:rsidR="00ED05F7" w:rsidRPr="000D4AB1">
        <w:rPr>
          <w:b/>
          <w:bCs/>
        </w:rPr>
        <w:t>S</w:t>
      </w:r>
      <w:r w:rsidRPr="000D4AB1">
        <w:rPr>
          <w:b/>
          <w:bCs/>
        </w:rPr>
        <w:t>2. Relationship between physical and genetic distances for linkage groups (SseLG) in male</w:t>
      </w:r>
      <w:r w:rsidRPr="000D4AB1">
        <w:t xml:space="preserve">. </w:t>
      </w:r>
      <w:r w:rsidRPr="000D4AB1">
        <w:rPr>
          <w:lang w:val="en-US"/>
        </w:rPr>
        <w:t>(available as a separate pdf file).</w:t>
      </w:r>
    </w:p>
    <w:p w14:paraId="7B767998" w14:textId="696B6292" w:rsidR="000B5795" w:rsidRPr="000D4AB1" w:rsidRDefault="000B5795" w:rsidP="000B5795">
      <w:pPr>
        <w:snapToGrid w:val="0"/>
        <w:spacing w:after="240"/>
      </w:pPr>
      <w:r w:rsidRPr="000D4AB1">
        <w:t xml:space="preserve">The square below indicates the specific recombination landscape. </w:t>
      </w:r>
    </w:p>
    <w:p w14:paraId="0CBE4AE3" w14:textId="6791AF7D" w:rsidR="000B5795" w:rsidRPr="000D4AB1" w:rsidRDefault="000B5795" w:rsidP="000B5795">
      <w:pPr>
        <w:pStyle w:val="NormalWeb"/>
        <w:spacing w:after="0" w:afterAutospacing="0"/>
        <w:rPr>
          <w:lang w:val="en-US"/>
        </w:rPr>
      </w:pPr>
      <w:r w:rsidRPr="000D4AB1">
        <w:rPr>
          <w:b/>
          <w:bCs/>
        </w:rPr>
        <w:t xml:space="preserve">Supplementary </w:t>
      </w:r>
      <w:r w:rsidR="000955EA" w:rsidRPr="000D4AB1">
        <w:rPr>
          <w:b/>
          <w:bCs/>
        </w:rPr>
        <w:t xml:space="preserve">Fig. </w:t>
      </w:r>
      <w:r w:rsidR="00ED05F7" w:rsidRPr="000D4AB1">
        <w:rPr>
          <w:b/>
          <w:bCs/>
        </w:rPr>
        <w:t>S</w:t>
      </w:r>
      <w:r w:rsidRPr="000D4AB1">
        <w:rPr>
          <w:b/>
          <w:bCs/>
        </w:rPr>
        <w:t>3. Relationship between physical and genetic distances for linkage groups (SseLG) in female</w:t>
      </w:r>
      <w:r w:rsidRPr="000D4AB1">
        <w:t xml:space="preserve"> </w:t>
      </w:r>
      <w:r w:rsidRPr="000D4AB1">
        <w:rPr>
          <w:lang w:val="en-US"/>
        </w:rPr>
        <w:t>(available as a separate pdf file).</w:t>
      </w:r>
    </w:p>
    <w:p w14:paraId="0B23BE00" w14:textId="06BDBD3E" w:rsidR="000B5795" w:rsidRPr="000D4AB1" w:rsidRDefault="000B5795" w:rsidP="000B5795">
      <w:pPr>
        <w:snapToGrid w:val="0"/>
        <w:spacing w:after="240"/>
      </w:pPr>
      <w:r w:rsidRPr="000D4AB1">
        <w:t xml:space="preserve">The square below indicates the specific recombination landscape. </w:t>
      </w:r>
    </w:p>
    <w:p w14:paraId="1327BF8F" w14:textId="5B064911" w:rsidR="000B5795" w:rsidRPr="000D4AB1" w:rsidRDefault="000B5795" w:rsidP="000955EA">
      <w:pPr>
        <w:pStyle w:val="NormalWeb"/>
        <w:spacing w:before="0" w:beforeAutospacing="0" w:after="0" w:afterAutospacing="0"/>
        <w:rPr>
          <w:b/>
          <w:bCs/>
        </w:rPr>
      </w:pPr>
      <w:r w:rsidRPr="000D4AB1">
        <w:rPr>
          <w:b/>
        </w:rPr>
        <w:t xml:space="preserve">Supplementary </w:t>
      </w:r>
      <w:r w:rsidR="000955EA" w:rsidRPr="000D4AB1">
        <w:rPr>
          <w:b/>
          <w:bCs/>
        </w:rPr>
        <w:t xml:space="preserve">Fig. </w:t>
      </w:r>
      <w:r w:rsidR="00ED05F7" w:rsidRPr="000D4AB1">
        <w:rPr>
          <w:b/>
          <w:bCs/>
        </w:rPr>
        <w:t>S</w:t>
      </w:r>
      <w:r w:rsidRPr="000D4AB1">
        <w:rPr>
          <w:b/>
        </w:rPr>
        <w:t xml:space="preserve">4. </w:t>
      </w:r>
      <w:r w:rsidRPr="000D4AB1">
        <w:rPr>
          <w:b/>
          <w:bCs/>
        </w:rPr>
        <w:t>Plots illustrating the recombination frequency estimates (RFm) for intervals between markers for SseLG using the sex-average genetic map</w:t>
      </w:r>
      <w:r w:rsidRPr="000D4AB1">
        <w:t>.</w:t>
      </w:r>
      <w:r w:rsidRPr="000D4AB1">
        <w:rPr>
          <w:lang w:val="en-US"/>
        </w:rPr>
        <w:t xml:space="preserve"> (available as a separate pdf file).</w:t>
      </w:r>
    </w:p>
    <w:p w14:paraId="753CAA30" w14:textId="561B4A71" w:rsidR="000B5795" w:rsidRPr="000D4AB1" w:rsidRDefault="000B5795" w:rsidP="000B5795">
      <w:pPr>
        <w:snapToGrid w:val="0"/>
        <w:spacing w:after="240"/>
      </w:pPr>
      <w:r w:rsidRPr="000D4AB1">
        <w:t xml:space="preserve">RFm values were calculated from both chromosomal extremities (right: red circles; left: blue circles), using each of the two terminal markers as a reference starting point. </w:t>
      </w:r>
    </w:p>
    <w:p w14:paraId="4C2AA3BE" w14:textId="1B2DF848" w:rsidR="000473FC" w:rsidRPr="000D4AB1" w:rsidRDefault="005D49DF" w:rsidP="000473FC">
      <w:r w:rsidRPr="000D4AB1">
        <w:rPr>
          <w:b/>
        </w:rPr>
        <w:t xml:space="preserve">Supplementary </w:t>
      </w:r>
      <w:r w:rsidRPr="000D4AB1">
        <w:rPr>
          <w:b/>
          <w:bCs/>
        </w:rPr>
        <w:t xml:space="preserve">Fig. </w:t>
      </w:r>
      <w:r w:rsidR="00ED05F7" w:rsidRPr="000D4AB1">
        <w:rPr>
          <w:b/>
          <w:bCs/>
        </w:rPr>
        <w:t>S</w:t>
      </w:r>
      <w:r w:rsidRPr="000D4AB1">
        <w:rPr>
          <w:b/>
        </w:rPr>
        <w:t xml:space="preserve">5. </w:t>
      </w:r>
      <w:r w:rsidRPr="000D4AB1">
        <w:rPr>
          <w:b/>
          <w:bCs/>
        </w:rPr>
        <w:t>Sex-associated SNPs and gene distribution in SseLG18.</w:t>
      </w:r>
      <w:r w:rsidRPr="000D4AB1">
        <w:t xml:space="preserve"> </w:t>
      </w:r>
      <w:r w:rsidR="000473FC" w:rsidRPr="000D4AB1">
        <w:t>(available as a separate excel file).</w:t>
      </w:r>
    </w:p>
    <w:p w14:paraId="5C982E01" w14:textId="1AD882E6" w:rsidR="005D49DF" w:rsidRPr="000D4AB1" w:rsidRDefault="005D49DF" w:rsidP="000B5795">
      <w:pPr>
        <w:rPr>
          <w:b/>
          <w:szCs w:val="22"/>
        </w:rPr>
      </w:pPr>
      <w:r w:rsidRPr="000D4AB1">
        <w:t>Significant SNPs using seven families are indicated in red and th</w:t>
      </w:r>
      <w:r w:rsidR="003C72F1" w:rsidRPr="000D4AB1">
        <w:t>ose significant by</w:t>
      </w:r>
      <w:r w:rsidRPr="000D4AB1">
        <w:t xml:space="preserve"> famil</w:t>
      </w:r>
      <w:r w:rsidR="003C72F1" w:rsidRPr="000D4AB1">
        <w:t>y</w:t>
      </w:r>
      <w:r w:rsidRPr="000D4AB1">
        <w:t xml:space="preserve"> are indicated in green. The gene names and distribution through the SseLG18 are shown. The hot region and the gene candidate </w:t>
      </w:r>
      <w:r w:rsidRPr="000D4AB1">
        <w:rPr>
          <w:i/>
          <w:iCs/>
        </w:rPr>
        <w:t>fshr</w:t>
      </w:r>
      <w:r w:rsidRPr="000D4AB1">
        <w:t xml:space="preserve"> are indicated</w:t>
      </w:r>
    </w:p>
    <w:p w14:paraId="3CF1F28B" w14:textId="4CC388E9" w:rsidR="005D49DF" w:rsidRPr="000D4AB1" w:rsidRDefault="005D49DF" w:rsidP="000B5795">
      <w:pPr>
        <w:rPr>
          <w:b/>
          <w:szCs w:val="22"/>
        </w:rPr>
      </w:pPr>
      <w:r w:rsidRPr="000D4AB1">
        <w:rPr>
          <w:b/>
          <w:szCs w:val="22"/>
        </w:rPr>
        <w:t xml:space="preserve"> </w:t>
      </w:r>
    </w:p>
    <w:p w14:paraId="7FADD72F" w14:textId="77777777" w:rsidR="005D49DF" w:rsidRPr="000D4AB1" w:rsidRDefault="005D49DF" w:rsidP="000B5795">
      <w:pPr>
        <w:rPr>
          <w:b/>
          <w:szCs w:val="22"/>
        </w:rPr>
      </w:pPr>
    </w:p>
    <w:p w14:paraId="7B74E53F" w14:textId="45047E6D" w:rsidR="000955EA" w:rsidRPr="000D4AB1" w:rsidRDefault="000B5795" w:rsidP="000B5795">
      <w:r w:rsidRPr="000D4AB1">
        <w:rPr>
          <w:b/>
          <w:szCs w:val="22"/>
        </w:rPr>
        <w:t xml:space="preserve">Supplementary </w:t>
      </w:r>
      <w:r w:rsidR="000955EA" w:rsidRPr="000D4AB1">
        <w:rPr>
          <w:b/>
          <w:bCs/>
        </w:rPr>
        <w:t xml:space="preserve">Fig. </w:t>
      </w:r>
      <w:r w:rsidR="00ED05F7" w:rsidRPr="000D4AB1">
        <w:rPr>
          <w:b/>
          <w:bCs/>
        </w:rPr>
        <w:t>S</w:t>
      </w:r>
      <w:r w:rsidR="005D49DF" w:rsidRPr="000D4AB1">
        <w:rPr>
          <w:b/>
          <w:szCs w:val="22"/>
        </w:rPr>
        <w:t>6</w:t>
      </w:r>
      <w:r w:rsidRPr="000D4AB1">
        <w:rPr>
          <w:b/>
          <w:szCs w:val="22"/>
        </w:rPr>
        <w:t xml:space="preserve">. </w:t>
      </w:r>
      <w:r w:rsidRPr="000D4AB1">
        <w:rPr>
          <w:b/>
        </w:rPr>
        <w:t xml:space="preserve">Dot plot </w:t>
      </w:r>
      <w:r w:rsidR="000473FC" w:rsidRPr="000D4AB1">
        <w:rPr>
          <w:b/>
        </w:rPr>
        <w:t xml:space="preserve">alignment </w:t>
      </w:r>
      <w:r w:rsidRPr="000D4AB1">
        <w:rPr>
          <w:b/>
        </w:rPr>
        <w:t xml:space="preserve">of </w:t>
      </w:r>
      <w:r w:rsidRPr="000D4AB1">
        <w:rPr>
          <w:b/>
          <w:i/>
          <w:iCs/>
        </w:rPr>
        <w:t xml:space="preserve">S. maximus vs C. semilaevis </w:t>
      </w:r>
      <w:r w:rsidRPr="000D4AB1">
        <w:rPr>
          <w:b/>
        </w:rPr>
        <w:t xml:space="preserve">(panel left), </w:t>
      </w:r>
      <w:r w:rsidRPr="000D4AB1">
        <w:rPr>
          <w:b/>
          <w:i/>
          <w:iCs/>
        </w:rPr>
        <w:t>S. maximus</w:t>
      </w:r>
      <w:r w:rsidRPr="000D4AB1">
        <w:rPr>
          <w:b/>
        </w:rPr>
        <w:t xml:space="preserve"> </w:t>
      </w:r>
      <w:r w:rsidRPr="000D4AB1">
        <w:rPr>
          <w:b/>
          <w:i/>
          <w:iCs/>
        </w:rPr>
        <w:t xml:space="preserve">vs P. </w:t>
      </w:r>
      <w:r w:rsidR="008D1053" w:rsidRPr="000D4AB1">
        <w:rPr>
          <w:b/>
          <w:i/>
          <w:iCs/>
        </w:rPr>
        <w:t>olivaceus</w:t>
      </w:r>
      <w:r w:rsidRPr="000D4AB1">
        <w:rPr>
          <w:b/>
        </w:rPr>
        <w:t xml:space="preserve"> (pane</w:t>
      </w:r>
      <w:r w:rsidR="000955EA" w:rsidRPr="000D4AB1">
        <w:rPr>
          <w:b/>
        </w:rPr>
        <w:t>l</w:t>
      </w:r>
      <w:r w:rsidRPr="000D4AB1">
        <w:rPr>
          <w:b/>
        </w:rPr>
        <w:t xml:space="preserve"> center) and </w:t>
      </w:r>
      <w:r w:rsidRPr="000D4AB1">
        <w:rPr>
          <w:b/>
          <w:i/>
          <w:iCs/>
        </w:rPr>
        <w:t xml:space="preserve">P. </w:t>
      </w:r>
      <w:r w:rsidR="008D1053" w:rsidRPr="000D4AB1">
        <w:rPr>
          <w:b/>
          <w:i/>
          <w:iCs/>
        </w:rPr>
        <w:t>olivaceus</w:t>
      </w:r>
      <w:r w:rsidRPr="000D4AB1">
        <w:rPr>
          <w:b/>
          <w:i/>
          <w:iCs/>
        </w:rPr>
        <w:t xml:space="preserve"> vs C. semilaevis</w:t>
      </w:r>
      <w:r w:rsidRPr="000D4AB1">
        <w:rPr>
          <w:b/>
        </w:rPr>
        <w:t xml:space="preserve"> (panel right).</w:t>
      </w:r>
      <w:r w:rsidRPr="000D4AB1">
        <w:t xml:space="preserve"> </w:t>
      </w:r>
      <w:r w:rsidR="000955EA" w:rsidRPr="000D4AB1">
        <w:t>(available as a separate pdf file).</w:t>
      </w:r>
    </w:p>
    <w:p w14:paraId="3359E960" w14:textId="12818D14" w:rsidR="000B5795" w:rsidRPr="000D4AB1" w:rsidRDefault="000B5795" w:rsidP="000B5795">
      <w:r w:rsidRPr="000D4AB1">
        <w:t xml:space="preserve">Chromosome numbers are indicated. The chromosome fusions are boxed. </w:t>
      </w:r>
      <w:r w:rsidR="003E6467" w:rsidRPr="000D4AB1">
        <w:t>Identity s</w:t>
      </w:r>
      <w:r w:rsidRPr="000D4AB1">
        <w:t xml:space="preserve">cale is indicated below. </w:t>
      </w:r>
    </w:p>
    <w:p w14:paraId="7559E521" w14:textId="780AB923" w:rsidR="004D6D09" w:rsidRPr="000D4AB1" w:rsidRDefault="004D6D09" w:rsidP="00E95FF4">
      <w:pPr>
        <w:rPr>
          <w:rStyle w:val="Hyperlink"/>
          <w:color w:val="000000" w:themeColor="text1"/>
          <w:lang w:val="en-GB"/>
        </w:rPr>
      </w:pPr>
    </w:p>
    <w:p w14:paraId="260E7EC9" w14:textId="4D023E13" w:rsidR="000473FC" w:rsidRPr="000D4AB1" w:rsidRDefault="003E6467" w:rsidP="003E6467">
      <w:pPr>
        <w:rPr>
          <w:b/>
          <w:bCs/>
        </w:rPr>
      </w:pPr>
      <w:r w:rsidRPr="000D4AB1">
        <w:rPr>
          <w:b/>
          <w:szCs w:val="22"/>
        </w:rPr>
        <w:t xml:space="preserve">Supplementary </w:t>
      </w:r>
      <w:r w:rsidRPr="000D4AB1">
        <w:rPr>
          <w:b/>
          <w:bCs/>
        </w:rPr>
        <w:t xml:space="preserve">Fig. </w:t>
      </w:r>
      <w:r w:rsidR="00ED05F7" w:rsidRPr="000D4AB1">
        <w:rPr>
          <w:b/>
          <w:bCs/>
        </w:rPr>
        <w:t>S</w:t>
      </w:r>
      <w:r w:rsidRPr="000D4AB1">
        <w:rPr>
          <w:b/>
          <w:szCs w:val="22"/>
        </w:rPr>
        <w:t xml:space="preserve">7. </w:t>
      </w:r>
      <w:r w:rsidRPr="000D4AB1">
        <w:rPr>
          <w:b/>
        </w:rPr>
        <w:t xml:space="preserve">Synteny </w:t>
      </w:r>
      <w:r w:rsidR="003C72F1" w:rsidRPr="000D4AB1">
        <w:rPr>
          <w:b/>
        </w:rPr>
        <w:t>between</w:t>
      </w:r>
      <w:r w:rsidRPr="000D4AB1">
        <w:rPr>
          <w:b/>
        </w:rPr>
        <w:t xml:space="preserve"> SseLG1, SseLG2 and SseLG3 </w:t>
      </w:r>
      <w:r w:rsidR="003C72F1" w:rsidRPr="000D4AB1">
        <w:rPr>
          <w:b/>
          <w:bCs/>
        </w:rPr>
        <w:t>and</w:t>
      </w:r>
      <w:r w:rsidRPr="000D4AB1">
        <w:rPr>
          <w:b/>
          <w:bCs/>
        </w:rPr>
        <w:t xml:space="preserve"> the genomes of the flatfish </w:t>
      </w:r>
      <w:r w:rsidRPr="000D4AB1">
        <w:rPr>
          <w:b/>
          <w:bCs/>
          <w:i/>
          <w:iCs/>
        </w:rPr>
        <w:t>C. semilaevis</w:t>
      </w:r>
      <w:r w:rsidRPr="000D4AB1">
        <w:rPr>
          <w:b/>
          <w:bCs/>
        </w:rPr>
        <w:t xml:space="preserve"> (</w:t>
      </w:r>
      <w:r w:rsidR="003C72F1" w:rsidRPr="000D4AB1">
        <w:rPr>
          <w:b/>
          <w:bCs/>
        </w:rPr>
        <w:t>top</w:t>
      </w:r>
      <w:r w:rsidRPr="000D4AB1">
        <w:rPr>
          <w:b/>
          <w:bCs/>
        </w:rPr>
        <w:t xml:space="preserve">), </w:t>
      </w:r>
      <w:r w:rsidRPr="000D4AB1">
        <w:rPr>
          <w:b/>
          <w:bCs/>
          <w:i/>
          <w:iCs/>
        </w:rPr>
        <w:t>S. maximus</w:t>
      </w:r>
      <w:r w:rsidRPr="000D4AB1">
        <w:rPr>
          <w:b/>
          <w:bCs/>
        </w:rPr>
        <w:t xml:space="preserve"> (center) and </w:t>
      </w:r>
      <w:r w:rsidRPr="000D4AB1">
        <w:rPr>
          <w:b/>
          <w:bCs/>
          <w:i/>
          <w:iCs/>
        </w:rPr>
        <w:t xml:space="preserve">P. </w:t>
      </w:r>
      <w:r w:rsidR="008D1053" w:rsidRPr="000D4AB1">
        <w:rPr>
          <w:b/>
          <w:bCs/>
          <w:i/>
          <w:iCs/>
        </w:rPr>
        <w:t>olivaceus</w:t>
      </w:r>
      <w:r w:rsidRPr="000D4AB1">
        <w:rPr>
          <w:b/>
          <w:bCs/>
        </w:rPr>
        <w:t xml:space="preserve"> (</w:t>
      </w:r>
      <w:r w:rsidR="003C72F1" w:rsidRPr="000D4AB1">
        <w:rPr>
          <w:b/>
          <w:bCs/>
        </w:rPr>
        <w:t>bottom</w:t>
      </w:r>
      <w:r w:rsidRPr="000D4AB1">
        <w:rPr>
          <w:b/>
          <w:bCs/>
        </w:rPr>
        <w:t xml:space="preserve">). </w:t>
      </w:r>
      <w:r w:rsidR="000473FC" w:rsidRPr="000D4AB1">
        <w:t>(available as a separate pdf file).</w:t>
      </w:r>
    </w:p>
    <w:p w14:paraId="3CC17D7F" w14:textId="741D6091" w:rsidR="003E6467" w:rsidRPr="000D4AB1" w:rsidRDefault="003E6467" w:rsidP="003E6467">
      <w:r w:rsidRPr="000D4AB1">
        <w:t>Pictures were obtained after syntenic block identification using Satsuma and visualization using Mizbee</w:t>
      </w:r>
    </w:p>
    <w:p w14:paraId="4E6D7411" w14:textId="580A8FDC" w:rsidR="003E6467" w:rsidRPr="000D4AB1" w:rsidRDefault="003E6467" w:rsidP="00E95FF4">
      <w:pPr>
        <w:rPr>
          <w:rStyle w:val="Hyperlink"/>
          <w:color w:val="000000" w:themeColor="text1"/>
          <w:lang w:val="en-GB"/>
        </w:rPr>
      </w:pPr>
    </w:p>
    <w:p w14:paraId="283DC30A" w14:textId="77777777" w:rsidR="003E6467" w:rsidRPr="000D4AB1" w:rsidRDefault="003E6467" w:rsidP="00E95FF4">
      <w:pPr>
        <w:rPr>
          <w:rStyle w:val="Hyperlink"/>
          <w:color w:val="000000" w:themeColor="text1"/>
          <w:lang w:val="en-GB"/>
        </w:rPr>
      </w:pPr>
    </w:p>
    <w:p w14:paraId="00C8AC2A" w14:textId="66FCBA5B" w:rsidR="004E62AD" w:rsidRPr="000D4AB1" w:rsidRDefault="000955EA" w:rsidP="000178E7">
      <w:r w:rsidRPr="000D4AB1">
        <w:rPr>
          <w:b/>
          <w:bCs/>
        </w:rPr>
        <w:t>Supplementary Method. Methodology for genome annotation</w:t>
      </w:r>
      <w:r w:rsidRPr="000D4AB1">
        <w:t xml:space="preserve"> (available as a separate word file).</w:t>
      </w:r>
    </w:p>
    <w:p w14:paraId="08862754" w14:textId="1D9F7512" w:rsidR="000178E7" w:rsidRPr="000D4AB1" w:rsidRDefault="000178E7" w:rsidP="000178E7"/>
    <w:p w14:paraId="095AE5D2" w14:textId="77777777" w:rsidR="000178E7" w:rsidRPr="000D4AB1" w:rsidRDefault="000178E7" w:rsidP="000178E7"/>
    <w:p w14:paraId="638B72F2" w14:textId="69BD6691" w:rsidR="0031738F" w:rsidRPr="000D4AB1" w:rsidRDefault="0031738F" w:rsidP="0031738F">
      <w:r w:rsidRPr="000D4AB1">
        <w:rPr>
          <w:b/>
          <w:bCs/>
        </w:rPr>
        <w:t xml:space="preserve">Supplementary Table </w:t>
      </w:r>
      <w:r w:rsidR="00ED05F7" w:rsidRPr="000D4AB1">
        <w:rPr>
          <w:b/>
          <w:bCs/>
        </w:rPr>
        <w:t>S</w:t>
      </w:r>
      <w:r w:rsidRPr="000D4AB1">
        <w:rPr>
          <w:b/>
          <w:bCs/>
        </w:rPr>
        <w:t>1. Main features of ONT and Illumina libraries used in this study.</w:t>
      </w:r>
      <w:r w:rsidRPr="000D4AB1">
        <w:t xml:space="preserve"> (available as a separate word file).</w:t>
      </w:r>
    </w:p>
    <w:p w14:paraId="6CADAFF9" w14:textId="121D5429" w:rsidR="0031738F" w:rsidRPr="000D4AB1" w:rsidRDefault="0031738F" w:rsidP="000178E7">
      <w:pPr>
        <w:snapToGrid w:val="0"/>
        <w:spacing w:after="240"/>
      </w:pPr>
      <w:r w:rsidRPr="000D4AB1">
        <w:t>Library names, status and the number of reads, average length, total megabases (Mb) and average quality of raw data and after ONT trimming are indicated</w:t>
      </w:r>
    </w:p>
    <w:p w14:paraId="2D3D58D5" w14:textId="2214B147" w:rsidR="0031738F" w:rsidRPr="000D4AB1" w:rsidRDefault="0031738F" w:rsidP="0031738F">
      <w:r w:rsidRPr="000D4AB1">
        <w:rPr>
          <w:b/>
          <w:bCs/>
        </w:rPr>
        <w:t xml:space="preserve">Supplementary Table </w:t>
      </w:r>
      <w:r w:rsidR="00ED05F7" w:rsidRPr="000D4AB1">
        <w:rPr>
          <w:b/>
          <w:bCs/>
        </w:rPr>
        <w:t>S</w:t>
      </w:r>
      <w:r w:rsidRPr="000D4AB1">
        <w:rPr>
          <w:b/>
          <w:bCs/>
        </w:rPr>
        <w:t>2. Summary statistics for ddRAD</w:t>
      </w:r>
      <w:r w:rsidRPr="000D4AB1">
        <w:t xml:space="preserve"> (available as a separate excel file).</w:t>
      </w:r>
    </w:p>
    <w:p w14:paraId="0A1E8153" w14:textId="7FB1CF1A" w:rsidR="0031738F" w:rsidRPr="000D4AB1" w:rsidRDefault="0031738F" w:rsidP="0031738F">
      <w:pPr>
        <w:snapToGrid w:val="0"/>
        <w:spacing w:after="240"/>
      </w:pPr>
      <w:r w:rsidRPr="000D4AB1">
        <w:t>Sample name, family, number of sequences, average length, total megabases and average quality are indicated.</w:t>
      </w:r>
    </w:p>
    <w:p w14:paraId="5E96588C" w14:textId="0EE1BA27" w:rsidR="000846AD" w:rsidRPr="000D4AB1" w:rsidRDefault="003E6467" w:rsidP="00835970">
      <w:pPr>
        <w:rPr>
          <w:b/>
          <w:bCs/>
          <w:color w:val="000000" w:themeColor="text1"/>
          <w:lang w:val="en-GB"/>
        </w:rPr>
      </w:pPr>
      <w:r w:rsidRPr="000D4AB1">
        <w:rPr>
          <w:rFonts w:ascii="TimesNewRomanPSMT" w:hAnsi="TimesNewRomanPSMT"/>
          <w:b/>
          <w:bCs/>
          <w:color w:val="000000" w:themeColor="text1"/>
        </w:rPr>
        <w:t>Supplementary</w:t>
      </w:r>
      <w:r w:rsidRPr="000D4AB1">
        <w:rPr>
          <w:b/>
          <w:bCs/>
          <w:color w:val="000000" w:themeColor="text1"/>
          <w:lang w:val="en-GB"/>
        </w:rPr>
        <w:t xml:space="preserve"> Table </w:t>
      </w:r>
      <w:r w:rsidR="00ED05F7" w:rsidRPr="000D4AB1">
        <w:rPr>
          <w:b/>
          <w:bCs/>
          <w:color w:val="000000" w:themeColor="text1"/>
          <w:lang w:val="en-GB"/>
        </w:rPr>
        <w:t>S</w:t>
      </w:r>
      <w:r w:rsidR="007B7ABF" w:rsidRPr="000D4AB1">
        <w:rPr>
          <w:b/>
          <w:bCs/>
          <w:color w:val="000000" w:themeColor="text1"/>
          <w:lang w:val="en-GB"/>
        </w:rPr>
        <w:t>3</w:t>
      </w:r>
      <w:r w:rsidRPr="000D4AB1">
        <w:rPr>
          <w:b/>
          <w:bCs/>
          <w:color w:val="000000" w:themeColor="text1"/>
          <w:lang w:val="en-GB"/>
        </w:rPr>
        <w:t>.</w:t>
      </w:r>
      <w:r w:rsidR="00D95A0D" w:rsidRPr="000D4AB1">
        <w:rPr>
          <w:b/>
          <w:bCs/>
          <w:color w:val="000000" w:themeColor="text1"/>
          <w:lang w:val="en-GB"/>
        </w:rPr>
        <w:t xml:space="preserve"> Genome </w:t>
      </w:r>
      <w:r w:rsidR="002B45A3" w:rsidRPr="000D4AB1">
        <w:rPr>
          <w:b/>
          <w:bCs/>
          <w:color w:val="000000" w:themeColor="text1"/>
          <w:lang w:val="en-GB"/>
        </w:rPr>
        <w:t xml:space="preserve">Gene Ontology (GO) annotation. </w:t>
      </w:r>
      <w:r w:rsidR="000846AD" w:rsidRPr="000D4AB1">
        <w:t>available as a separate excel file).</w:t>
      </w:r>
    </w:p>
    <w:p w14:paraId="2C5DAC78" w14:textId="76B3257D" w:rsidR="003E6467" w:rsidRPr="000D4AB1" w:rsidRDefault="002B45A3" w:rsidP="00835970">
      <w:pPr>
        <w:rPr>
          <w:rFonts w:ascii="TimesNewRomanPSMT" w:hAnsi="TimesNewRomanPSMT"/>
          <w:color w:val="000000" w:themeColor="text1"/>
        </w:rPr>
      </w:pPr>
      <w:r w:rsidRPr="000D4AB1">
        <w:rPr>
          <w:color w:val="000000" w:themeColor="text1"/>
          <w:lang w:val="en-GB"/>
        </w:rPr>
        <w:t>Orthology between male and female genes (tab "Female_male_orthology", GO annotation (tab "Full_GOannotation") and sex-specific GO categories (tabs "Female unique"</w:t>
      </w:r>
      <w:r w:rsidR="001E3E4B" w:rsidRPr="000D4AB1">
        <w:rPr>
          <w:color w:val="000000" w:themeColor="text1"/>
          <w:lang w:val="en-GB"/>
        </w:rPr>
        <w:t xml:space="preserve"> </w:t>
      </w:r>
      <w:r w:rsidRPr="000D4AB1">
        <w:rPr>
          <w:color w:val="000000" w:themeColor="text1"/>
          <w:lang w:val="en-GB"/>
        </w:rPr>
        <w:t>and "Male unique")</w:t>
      </w:r>
    </w:p>
    <w:p w14:paraId="59B92988" w14:textId="77777777" w:rsidR="003E6467" w:rsidRPr="000D4AB1" w:rsidRDefault="003E6467" w:rsidP="00835970">
      <w:pPr>
        <w:rPr>
          <w:rFonts w:ascii="TimesNewRomanPSMT" w:hAnsi="TimesNewRomanPSMT"/>
          <w:color w:val="000000" w:themeColor="text1"/>
        </w:rPr>
      </w:pPr>
    </w:p>
    <w:p w14:paraId="6AD2C95F" w14:textId="04AF16FB" w:rsidR="00835970" w:rsidRPr="000D4AB1" w:rsidRDefault="00835970" w:rsidP="00835970">
      <w:r w:rsidRPr="000D4AB1">
        <w:rPr>
          <w:rFonts w:ascii="TimesNewRomanPSMT" w:hAnsi="TimesNewRomanPSMT"/>
          <w:b/>
          <w:bCs/>
          <w:color w:val="000000" w:themeColor="text1"/>
        </w:rPr>
        <w:t>Supplementary</w:t>
      </w:r>
      <w:r w:rsidRPr="000D4AB1">
        <w:rPr>
          <w:b/>
          <w:bCs/>
          <w:color w:val="000000" w:themeColor="text1"/>
          <w:lang w:val="en-GB"/>
        </w:rPr>
        <w:t xml:space="preserve"> Table </w:t>
      </w:r>
      <w:r w:rsidR="00ED05F7" w:rsidRPr="000D4AB1">
        <w:rPr>
          <w:b/>
          <w:bCs/>
          <w:color w:val="000000" w:themeColor="text1"/>
          <w:lang w:val="en-GB"/>
        </w:rPr>
        <w:t>S</w:t>
      </w:r>
      <w:r w:rsidR="003E6467" w:rsidRPr="000D4AB1">
        <w:rPr>
          <w:b/>
          <w:bCs/>
          <w:color w:val="000000" w:themeColor="text1"/>
          <w:lang w:val="en-GB"/>
        </w:rPr>
        <w:t>4</w:t>
      </w:r>
      <w:r w:rsidRPr="000D4AB1">
        <w:rPr>
          <w:b/>
          <w:bCs/>
          <w:color w:val="000000" w:themeColor="text1"/>
          <w:lang w:val="en-GB"/>
        </w:rPr>
        <w:t>. Summary statistics for male assembly using MaSuRCa and after seven rounds of Pilon.</w:t>
      </w:r>
      <w:r w:rsidRPr="000D4AB1">
        <w:rPr>
          <w:color w:val="000000" w:themeColor="text1"/>
          <w:lang w:val="en-GB"/>
        </w:rPr>
        <w:t xml:space="preserve"> </w:t>
      </w:r>
      <w:r w:rsidRPr="000D4AB1">
        <w:t>(available as a separate word file).</w:t>
      </w:r>
    </w:p>
    <w:p w14:paraId="73F1E992" w14:textId="51FB8366" w:rsidR="00835970" w:rsidRPr="000D4AB1" w:rsidRDefault="00835970" w:rsidP="00835970">
      <w:pPr>
        <w:snapToGrid w:val="0"/>
        <w:spacing w:after="240"/>
        <w:rPr>
          <w:color w:val="000000" w:themeColor="text1"/>
          <w:lang w:val="en-GB"/>
        </w:rPr>
      </w:pPr>
      <w:r w:rsidRPr="000D4AB1">
        <w:rPr>
          <w:color w:val="000000" w:themeColor="text1"/>
          <w:lang w:val="en-GB"/>
        </w:rPr>
        <w:t xml:space="preserve">For comparison </w:t>
      </w:r>
      <w:r w:rsidRPr="000D4AB1">
        <w:t>purposes</w:t>
      </w:r>
      <w:r w:rsidRPr="000D4AB1">
        <w:rPr>
          <w:color w:val="000000" w:themeColor="text1"/>
          <w:lang w:val="en-GB"/>
        </w:rPr>
        <w:t xml:space="preserve">, the main features </w:t>
      </w:r>
      <w:r w:rsidRPr="000D4AB1">
        <w:rPr>
          <w:rFonts w:ascii="TimesNewRomanPSMT" w:hAnsi="TimesNewRomanPSMT"/>
          <w:color w:val="000000" w:themeColor="text1"/>
          <w:lang w:val="en-GB"/>
        </w:rPr>
        <w:t>for</w:t>
      </w:r>
      <w:r w:rsidRPr="000D4AB1">
        <w:rPr>
          <w:color w:val="000000" w:themeColor="text1"/>
          <w:lang w:val="en-GB"/>
        </w:rPr>
        <w:t xml:space="preserve"> a female sole genome recently published are also shown.</w:t>
      </w:r>
    </w:p>
    <w:p w14:paraId="71359F61" w14:textId="4C11401F" w:rsidR="000846AD" w:rsidRPr="000D4AB1" w:rsidRDefault="002B45A3" w:rsidP="002B45A3">
      <w:pPr>
        <w:rPr>
          <w:color w:val="000000" w:themeColor="text1"/>
          <w:lang w:val="en-GB"/>
        </w:rPr>
      </w:pPr>
      <w:r w:rsidRPr="000D4AB1">
        <w:rPr>
          <w:rFonts w:ascii="TimesNewRomanPSMT" w:hAnsi="TimesNewRomanPSMT"/>
          <w:b/>
          <w:bCs/>
          <w:color w:val="000000" w:themeColor="text1"/>
        </w:rPr>
        <w:t>Supplementary</w:t>
      </w:r>
      <w:r w:rsidRPr="000D4AB1">
        <w:rPr>
          <w:b/>
          <w:bCs/>
          <w:color w:val="000000" w:themeColor="text1"/>
          <w:lang w:val="en-GB"/>
        </w:rPr>
        <w:t xml:space="preserve"> Table </w:t>
      </w:r>
      <w:r w:rsidR="00ED05F7" w:rsidRPr="000D4AB1">
        <w:rPr>
          <w:b/>
          <w:bCs/>
          <w:color w:val="000000" w:themeColor="text1"/>
          <w:lang w:val="en-GB"/>
        </w:rPr>
        <w:t>S</w:t>
      </w:r>
      <w:r w:rsidRPr="000D4AB1">
        <w:rPr>
          <w:b/>
          <w:bCs/>
          <w:color w:val="000000" w:themeColor="text1"/>
          <w:lang w:val="en-GB"/>
        </w:rPr>
        <w:t xml:space="preserve">5. Significant sex-associated markers </w:t>
      </w:r>
      <w:r w:rsidR="005B7C66" w:rsidRPr="000D4AB1">
        <w:rPr>
          <w:b/>
          <w:bCs/>
          <w:color w:val="000000" w:themeColor="text1"/>
          <w:lang w:val="en-GB"/>
        </w:rPr>
        <w:t>after GWAS analysis using 7 families (whole Population) or in separate families (F1, F3, F4, F5 and F8).</w:t>
      </w:r>
      <w:r w:rsidR="005B7C66" w:rsidRPr="000D4AB1">
        <w:rPr>
          <w:color w:val="000000" w:themeColor="text1"/>
          <w:lang w:val="en-GB"/>
        </w:rPr>
        <w:t xml:space="preserve"> </w:t>
      </w:r>
      <w:r w:rsidR="000846AD" w:rsidRPr="000D4AB1">
        <w:t>(available as a separate excel file).</w:t>
      </w:r>
    </w:p>
    <w:p w14:paraId="1713BB60" w14:textId="26B25271" w:rsidR="005B7C66" w:rsidRPr="000D4AB1" w:rsidRDefault="005B7C66" w:rsidP="002B45A3">
      <w:pPr>
        <w:rPr>
          <w:color w:val="000000" w:themeColor="text1"/>
        </w:rPr>
      </w:pPr>
      <w:r w:rsidRPr="000D4AB1">
        <w:rPr>
          <w:color w:val="000000" w:themeColor="text1"/>
          <w:lang w:val="en-GB"/>
        </w:rPr>
        <w:t>The marker name, pseudo-chromosome (Chr) location,</w:t>
      </w:r>
      <w:r w:rsidRPr="000D4AB1">
        <w:rPr>
          <w:color w:val="000000" w:themeColor="text1"/>
        </w:rPr>
        <w:t xml:space="preserve"> major (A1) and minor (A2), nimber of individuals analyzed (N), physical position in the pseudo-chromosome (Mb) and e-values for each marker are indicated. When the same marker was signficant in two families in the family-specific GWAS analysis, the number of individulas in each family separated by "/" is shown.</w:t>
      </w:r>
      <w:r w:rsidR="00D20978" w:rsidRPr="000D4AB1">
        <w:rPr>
          <w:color w:val="000000" w:themeColor="text1"/>
        </w:rPr>
        <w:t xml:space="preserve"> The percentage</w:t>
      </w:r>
      <w:r w:rsidR="00B41C63" w:rsidRPr="000D4AB1">
        <w:rPr>
          <w:color w:val="000000" w:themeColor="text1"/>
        </w:rPr>
        <w:t>s</w:t>
      </w:r>
      <w:r w:rsidR="00D20978" w:rsidRPr="000D4AB1">
        <w:rPr>
          <w:color w:val="000000" w:themeColor="text1"/>
        </w:rPr>
        <w:t xml:space="preserve"> </w:t>
      </w:r>
      <w:r w:rsidR="0089773A" w:rsidRPr="000D4AB1">
        <w:rPr>
          <w:color w:val="000000" w:themeColor="text1"/>
        </w:rPr>
        <w:t xml:space="preserve">(%) </w:t>
      </w:r>
      <w:r w:rsidR="00D20978" w:rsidRPr="000D4AB1">
        <w:rPr>
          <w:color w:val="000000" w:themeColor="text1"/>
        </w:rPr>
        <w:t xml:space="preserve">of heterozygous markers in males (M) and females (F) </w:t>
      </w:r>
      <w:r w:rsidR="00046576" w:rsidRPr="000D4AB1">
        <w:rPr>
          <w:color w:val="000000" w:themeColor="text1"/>
        </w:rPr>
        <w:t>are</w:t>
      </w:r>
      <w:r w:rsidR="00D20978" w:rsidRPr="000D4AB1">
        <w:rPr>
          <w:color w:val="000000" w:themeColor="text1"/>
        </w:rPr>
        <w:t xml:space="preserve"> indicated</w:t>
      </w:r>
      <w:r w:rsidR="00F55776" w:rsidRPr="000D4AB1">
        <w:rPr>
          <w:color w:val="000000" w:themeColor="text1"/>
        </w:rPr>
        <w:t>.</w:t>
      </w:r>
    </w:p>
    <w:p w14:paraId="15736C43" w14:textId="77777777" w:rsidR="005B7C66" w:rsidRPr="000D4AB1" w:rsidRDefault="005B7C66" w:rsidP="00835970">
      <w:pPr>
        <w:snapToGrid w:val="0"/>
        <w:spacing w:after="240"/>
        <w:rPr>
          <w:color w:val="000000" w:themeColor="text1"/>
          <w:lang w:val="en-GB"/>
        </w:rPr>
      </w:pPr>
    </w:p>
    <w:p w14:paraId="392F1329" w14:textId="2638F288" w:rsidR="000955EA" w:rsidRPr="000D4AB1" w:rsidRDefault="000955EA" w:rsidP="00835970">
      <w:pPr>
        <w:rPr>
          <w:rFonts w:ascii="TimesNewRomanPSMT" w:hAnsi="TimesNewRomanPSMT"/>
          <w:color w:val="000000" w:themeColor="text1"/>
        </w:rPr>
      </w:pPr>
      <w:r w:rsidRPr="000D4AB1">
        <w:rPr>
          <w:rFonts w:ascii="TimesNewRomanPSMT" w:hAnsi="TimesNewRomanPSMT"/>
          <w:b/>
          <w:bCs/>
          <w:color w:val="000000" w:themeColor="text1"/>
        </w:rPr>
        <w:t xml:space="preserve">Supplementary Table </w:t>
      </w:r>
      <w:r w:rsidR="00ED05F7" w:rsidRPr="000D4AB1">
        <w:rPr>
          <w:rFonts w:ascii="TimesNewRomanPSMT" w:hAnsi="TimesNewRomanPSMT"/>
          <w:b/>
          <w:bCs/>
          <w:color w:val="000000" w:themeColor="text1"/>
        </w:rPr>
        <w:t>S</w:t>
      </w:r>
      <w:r w:rsidR="002B45A3" w:rsidRPr="000D4AB1">
        <w:rPr>
          <w:rFonts w:ascii="TimesNewRomanPSMT" w:hAnsi="TimesNewRomanPSMT"/>
          <w:b/>
          <w:bCs/>
          <w:color w:val="000000" w:themeColor="text1"/>
        </w:rPr>
        <w:t>6</w:t>
      </w:r>
      <w:r w:rsidRPr="000D4AB1">
        <w:rPr>
          <w:rFonts w:ascii="TimesNewRomanPSMT" w:hAnsi="TimesNewRomanPSMT"/>
          <w:b/>
          <w:bCs/>
          <w:color w:val="000000" w:themeColor="text1"/>
        </w:rPr>
        <w:t>.</w:t>
      </w:r>
      <w:r w:rsidRPr="000D4AB1">
        <w:rPr>
          <w:rFonts w:ascii="TimesNewRomanPSMT" w:hAnsi="TimesNewRomanPSMT"/>
          <w:color w:val="000000" w:themeColor="text1"/>
        </w:rPr>
        <w:t xml:space="preserve"> </w:t>
      </w:r>
      <w:r w:rsidRPr="000D4AB1">
        <w:rPr>
          <w:rFonts w:ascii="TimesNewRomanPSMT" w:hAnsi="TimesNewRomanPSMT"/>
          <w:b/>
          <w:bCs/>
          <w:color w:val="000000" w:themeColor="text1"/>
        </w:rPr>
        <w:t xml:space="preserve">Macrosynteny of chromosomes between four flatfish species: </w:t>
      </w:r>
      <w:r w:rsidRPr="000D4AB1">
        <w:rPr>
          <w:rFonts w:ascii="TimesNewRomanPSMT" w:hAnsi="TimesNewRomanPSMT"/>
          <w:b/>
          <w:bCs/>
          <w:i/>
          <w:iCs/>
          <w:color w:val="000000" w:themeColor="text1"/>
        </w:rPr>
        <w:t>S senegalensis</w:t>
      </w:r>
      <w:r w:rsidRPr="000D4AB1">
        <w:rPr>
          <w:rFonts w:ascii="TimesNewRomanPSMT" w:hAnsi="TimesNewRomanPSMT"/>
          <w:b/>
          <w:bCs/>
          <w:color w:val="000000" w:themeColor="text1"/>
        </w:rPr>
        <w:t xml:space="preserve">, </w:t>
      </w:r>
      <w:r w:rsidRPr="000D4AB1">
        <w:rPr>
          <w:rFonts w:ascii="TimesNewRomanPSMT" w:hAnsi="TimesNewRomanPSMT"/>
          <w:b/>
          <w:bCs/>
          <w:i/>
          <w:iCs/>
          <w:color w:val="000000" w:themeColor="text1"/>
        </w:rPr>
        <w:t xml:space="preserve">C. semilaevis </w:t>
      </w:r>
      <w:r w:rsidRPr="000D4AB1">
        <w:rPr>
          <w:rFonts w:ascii="TimesNewRomanPSMT" w:hAnsi="TimesNewRomanPSMT"/>
          <w:b/>
          <w:bCs/>
          <w:color w:val="000000" w:themeColor="text1"/>
        </w:rPr>
        <w:t xml:space="preserve">(Cse), </w:t>
      </w:r>
      <w:r w:rsidRPr="000D4AB1">
        <w:rPr>
          <w:rFonts w:ascii="TimesNewRomanPSMT" w:hAnsi="TimesNewRomanPSMT"/>
          <w:b/>
          <w:bCs/>
          <w:i/>
          <w:iCs/>
          <w:color w:val="000000" w:themeColor="text1"/>
        </w:rPr>
        <w:t>S. maximus</w:t>
      </w:r>
      <w:r w:rsidRPr="000D4AB1">
        <w:rPr>
          <w:rFonts w:ascii="TimesNewRomanPSMT" w:hAnsi="TimesNewRomanPSMT"/>
          <w:b/>
          <w:bCs/>
          <w:color w:val="000000" w:themeColor="text1"/>
        </w:rPr>
        <w:t xml:space="preserve"> (Sma) and </w:t>
      </w:r>
      <w:r w:rsidRPr="000D4AB1">
        <w:rPr>
          <w:rFonts w:ascii="TimesNewRomanPSMT" w:hAnsi="TimesNewRomanPSMT"/>
          <w:b/>
          <w:bCs/>
          <w:i/>
          <w:iCs/>
          <w:color w:val="000000" w:themeColor="text1"/>
        </w:rPr>
        <w:t xml:space="preserve">P. </w:t>
      </w:r>
      <w:r w:rsidR="008D1053" w:rsidRPr="000D4AB1">
        <w:rPr>
          <w:rFonts w:ascii="TimesNewRomanPSMT" w:hAnsi="TimesNewRomanPSMT"/>
          <w:b/>
          <w:bCs/>
          <w:i/>
          <w:iCs/>
          <w:color w:val="000000" w:themeColor="text1"/>
        </w:rPr>
        <w:t>olivaceus</w:t>
      </w:r>
      <w:r w:rsidRPr="000D4AB1">
        <w:rPr>
          <w:rFonts w:ascii="TimesNewRomanPSMT" w:hAnsi="TimesNewRomanPSMT"/>
          <w:b/>
          <w:bCs/>
          <w:i/>
          <w:iCs/>
          <w:color w:val="000000" w:themeColor="text1"/>
        </w:rPr>
        <w:t xml:space="preserve"> </w:t>
      </w:r>
      <w:r w:rsidRPr="000D4AB1">
        <w:rPr>
          <w:rFonts w:ascii="TimesNewRomanPSMT" w:hAnsi="TimesNewRomanPSMT"/>
          <w:b/>
          <w:bCs/>
          <w:color w:val="000000" w:themeColor="text1"/>
        </w:rPr>
        <w:t>(Pol).</w:t>
      </w:r>
      <w:r w:rsidRPr="000D4AB1">
        <w:rPr>
          <w:rFonts w:ascii="TimesNewRomanPSMT" w:hAnsi="TimesNewRomanPSMT"/>
          <w:color w:val="000000" w:themeColor="text1"/>
        </w:rPr>
        <w:t xml:space="preserve"> </w:t>
      </w:r>
      <w:r w:rsidRPr="000D4AB1">
        <w:t>(available as a separate word file).</w:t>
      </w:r>
    </w:p>
    <w:p w14:paraId="6248B548" w14:textId="22588690" w:rsidR="000955EA" w:rsidRPr="002069A1" w:rsidRDefault="000955EA" w:rsidP="000955EA">
      <w:pPr>
        <w:pStyle w:val="NormalWeb"/>
        <w:rPr>
          <w:lang w:val="en-US"/>
        </w:rPr>
      </w:pPr>
      <w:r w:rsidRPr="000D4AB1">
        <w:rPr>
          <w:rFonts w:ascii="TimesNewRomanPSMT" w:hAnsi="TimesNewRomanPSMT"/>
          <w:color w:val="000000" w:themeColor="text1"/>
        </w:rPr>
        <w:t>Three comparisons were carried out using as reference the species indicated with asterisk. The chromosome number that matches between species is shown. The shaded SseLG denotes that matching with only one chromosome across the three flatfishes. The number of chromosomes (</w:t>
      </w:r>
      <w:r w:rsidRPr="000D4AB1">
        <w:rPr>
          <w:rFonts w:ascii="TimesNewRomanPSMT" w:hAnsi="TimesNewRomanPSMT"/>
          <w:i/>
          <w:iCs/>
          <w:color w:val="000000" w:themeColor="text1"/>
        </w:rPr>
        <w:t>n</w:t>
      </w:r>
      <w:r w:rsidRPr="000D4AB1">
        <w:rPr>
          <w:rFonts w:ascii="TimesNewRomanPSMT" w:hAnsi="TimesNewRomanPSMT"/>
          <w:color w:val="000000" w:themeColor="text1"/>
        </w:rPr>
        <w:t>) in each species is also indicated.</w:t>
      </w:r>
    </w:p>
    <w:p w14:paraId="0701F560" w14:textId="1A5F830B" w:rsidR="000955EA" w:rsidRPr="00A35B7A" w:rsidRDefault="000955EA" w:rsidP="00A32F15">
      <w:pPr>
        <w:pStyle w:val="NormalWeb"/>
        <w:spacing w:after="0" w:afterAutospacing="0"/>
        <w:rPr>
          <w:lang w:val="en-US"/>
        </w:rPr>
      </w:pPr>
    </w:p>
    <w:sectPr w:rsidR="000955EA" w:rsidRPr="00A35B7A" w:rsidSect="000D4AB1">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45CC8D" w14:textId="77777777" w:rsidR="00B2774A" w:rsidRDefault="00B2774A" w:rsidP="00E95FF4">
      <w:r>
        <w:separator/>
      </w:r>
    </w:p>
  </w:endnote>
  <w:endnote w:type="continuationSeparator" w:id="0">
    <w:p w14:paraId="31E4948E" w14:textId="77777777" w:rsidR="00B2774A" w:rsidRDefault="00B2774A" w:rsidP="00E95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TimesNewRomanPSMT">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6EA907" w14:textId="77777777" w:rsidR="00B2774A" w:rsidRDefault="00B2774A" w:rsidP="00E95FF4">
      <w:r>
        <w:separator/>
      </w:r>
    </w:p>
  </w:footnote>
  <w:footnote w:type="continuationSeparator" w:id="0">
    <w:p w14:paraId="04DA63F9" w14:textId="77777777" w:rsidR="00B2774A" w:rsidRDefault="00B2774A" w:rsidP="00E95F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5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D39"/>
    <w:rsid w:val="000178E7"/>
    <w:rsid w:val="0003688E"/>
    <w:rsid w:val="00046576"/>
    <w:rsid w:val="000473FC"/>
    <w:rsid w:val="000578D3"/>
    <w:rsid w:val="00062242"/>
    <w:rsid w:val="00073055"/>
    <w:rsid w:val="00081C5A"/>
    <w:rsid w:val="000846AD"/>
    <w:rsid w:val="000955EA"/>
    <w:rsid w:val="000A0AE1"/>
    <w:rsid w:val="000A2FB8"/>
    <w:rsid w:val="000B5795"/>
    <w:rsid w:val="000C02EE"/>
    <w:rsid w:val="000D4AB1"/>
    <w:rsid w:val="00100970"/>
    <w:rsid w:val="00104A68"/>
    <w:rsid w:val="001422AB"/>
    <w:rsid w:val="00147539"/>
    <w:rsid w:val="00155020"/>
    <w:rsid w:val="00165F0D"/>
    <w:rsid w:val="00173A9B"/>
    <w:rsid w:val="001943E3"/>
    <w:rsid w:val="0019627B"/>
    <w:rsid w:val="00196CC6"/>
    <w:rsid w:val="001A200D"/>
    <w:rsid w:val="001A27CC"/>
    <w:rsid w:val="001B4961"/>
    <w:rsid w:val="001E3E4B"/>
    <w:rsid w:val="001E4889"/>
    <w:rsid w:val="001E4F9A"/>
    <w:rsid w:val="00244232"/>
    <w:rsid w:val="00246104"/>
    <w:rsid w:val="00251009"/>
    <w:rsid w:val="00256D4F"/>
    <w:rsid w:val="002666F8"/>
    <w:rsid w:val="0029484C"/>
    <w:rsid w:val="002A4C69"/>
    <w:rsid w:val="002B45A3"/>
    <w:rsid w:val="002C4FE8"/>
    <w:rsid w:val="002D4043"/>
    <w:rsid w:val="002E1A7B"/>
    <w:rsid w:val="0031738F"/>
    <w:rsid w:val="0034002D"/>
    <w:rsid w:val="00351656"/>
    <w:rsid w:val="00363B0B"/>
    <w:rsid w:val="00373546"/>
    <w:rsid w:val="003C5939"/>
    <w:rsid w:val="003C72F1"/>
    <w:rsid w:val="003D1DC3"/>
    <w:rsid w:val="003E6467"/>
    <w:rsid w:val="003F3D39"/>
    <w:rsid w:val="00434019"/>
    <w:rsid w:val="00434C54"/>
    <w:rsid w:val="00440CA3"/>
    <w:rsid w:val="00446235"/>
    <w:rsid w:val="00457517"/>
    <w:rsid w:val="00482D5F"/>
    <w:rsid w:val="004847E4"/>
    <w:rsid w:val="004A1D68"/>
    <w:rsid w:val="004A34EC"/>
    <w:rsid w:val="004B3489"/>
    <w:rsid w:val="004B5A3F"/>
    <w:rsid w:val="004D035A"/>
    <w:rsid w:val="004D6D09"/>
    <w:rsid w:val="004E62AD"/>
    <w:rsid w:val="00506C08"/>
    <w:rsid w:val="00530DAA"/>
    <w:rsid w:val="005464C5"/>
    <w:rsid w:val="00547143"/>
    <w:rsid w:val="005533E5"/>
    <w:rsid w:val="0055378E"/>
    <w:rsid w:val="005564CC"/>
    <w:rsid w:val="00567924"/>
    <w:rsid w:val="00596CB6"/>
    <w:rsid w:val="005A2749"/>
    <w:rsid w:val="005B7C66"/>
    <w:rsid w:val="005D49DF"/>
    <w:rsid w:val="005D4B00"/>
    <w:rsid w:val="005E0292"/>
    <w:rsid w:val="005E12AC"/>
    <w:rsid w:val="005E44F5"/>
    <w:rsid w:val="005F7C9B"/>
    <w:rsid w:val="00622A29"/>
    <w:rsid w:val="00651A0A"/>
    <w:rsid w:val="00660A60"/>
    <w:rsid w:val="006766D9"/>
    <w:rsid w:val="006B58C2"/>
    <w:rsid w:val="006C4723"/>
    <w:rsid w:val="006C6BBF"/>
    <w:rsid w:val="006F1170"/>
    <w:rsid w:val="006F3E01"/>
    <w:rsid w:val="006F620B"/>
    <w:rsid w:val="00701A5D"/>
    <w:rsid w:val="0072203A"/>
    <w:rsid w:val="00737676"/>
    <w:rsid w:val="0076094A"/>
    <w:rsid w:val="00780D61"/>
    <w:rsid w:val="0079444D"/>
    <w:rsid w:val="007B7ABF"/>
    <w:rsid w:val="007B7DA8"/>
    <w:rsid w:val="007C0175"/>
    <w:rsid w:val="007D6A09"/>
    <w:rsid w:val="007F52A4"/>
    <w:rsid w:val="007F723F"/>
    <w:rsid w:val="00811E59"/>
    <w:rsid w:val="008122DF"/>
    <w:rsid w:val="00816D03"/>
    <w:rsid w:val="008234CD"/>
    <w:rsid w:val="008261E7"/>
    <w:rsid w:val="00827FF3"/>
    <w:rsid w:val="00835970"/>
    <w:rsid w:val="008614AE"/>
    <w:rsid w:val="00864B8C"/>
    <w:rsid w:val="0089773A"/>
    <w:rsid w:val="008C51F0"/>
    <w:rsid w:val="008D1053"/>
    <w:rsid w:val="008F26B2"/>
    <w:rsid w:val="008F2EDF"/>
    <w:rsid w:val="008F76A9"/>
    <w:rsid w:val="0090654A"/>
    <w:rsid w:val="00915A1E"/>
    <w:rsid w:val="00946038"/>
    <w:rsid w:val="0096277E"/>
    <w:rsid w:val="00962C46"/>
    <w:rsid w:val="00970958"/>
    <w:rsid w:val="0098478F"/>
    <w:rsid w:val="009A4F60"/>
    <w:rsid w:val="009B014F"/>
    <w:rsid w:val="009B0EA8"/>
    <w:rsid w:val="009C40DE"/>
    <w:rsid w:val="009D001B"/>
    <w:rsid w:val="00A26439"/>
    <w:rsid w:val="00A32F15"/>
    <w:rsid w:val="00A3457C"/>
    <w:rsid w:val="00A35B7A"/>
    <w:rsid w:val="00A45825"/>
    <w:rsid w:val="00A51B6D"/>
    <w:rsid w:val="00A80A94"/>
    <w:rsid w:val="00A842FF"/>
    <w:rsid w:val="00A956DB"/>
    <w:rsid w:val="00AA4EBF"/>
    <w:rsid w:val="00AA5BAD"/>
    <w:rsid w:val="00AB44D5"/>
    <w:rsid w:val="00AC0788"/>
    <w:rsid w:val="00AD400E"/>
    <w:rsid w:val="00AF52F2"/>
    <w:rsid w:val="00B07FC1"/>
    <w:rsid w:val="00B11D88"/>
    <w:rsid w:val="00B14C4B"/>
    <w:rsid w:val="00B2774A"/>
    <w:rsid w:val="00B41C63"/>
    <w:rsid w:val="00B473BC"/>
    <w:rsid w:val="00B750A3"/>
    <w:rsid w:val="00B834FF"/>
    <w:rsid w:val="00B857F3"/>
    <w:rsid w:val="00B87546"/>
    <w:rsid w:val="00BA5C8C"/>
    <w:rsid w:val="00BC46BC"/>
    <w:rsid w:val="00BE05EC"/>
    <w:rsid w:val="00BF7107"/>
    <w:rsid w:val="00C1087D"/>
    <w:rsid w:val="00C14783"/>
    <w:rsid w:val="00C163B5"/>
    <w:rsid w:val="00C54FF7"/>
    <w:rsid w:val="00C625EB"/>
    <w:rsid w:val="00C82B2E"/>
    <w:rsid w:val="00C82E90"/>
    <w:rsid w:val="00C8478A"/>
    <w:rsid w:val="00C975F2"/>
    <w:rsid w:val="00CB27F5"/>
    <w:rsid w:val="00CD26F9"/>
    <w:rsid w:val="00CE416E"/>
    <w:rsid w:val="00CF0ED0"/>
    <w:rsid w:val="00D00204"/>
    <w:rsid w:val="00D20978"/>
    <w:rsid w:val="00D4175D"/>
    <w:rsid w:val="00D465B1"/>
    <w:rsid w:val="00D47DD5"/>
    <w:rsid w:val="00D522E4"/>
    <w:rsid w:val="00D528BA"/>
    <w:rsid w:val="00D65FBB"/>
    <w:rsid w:val="00D95A0D"/>
    <w:rsid w:val="00D9722A"/>
    <w:rsid w:val="00DC24D9"/>
    <w:rsid w:val="00DE6028"/>
    <w:rsid w:val="00DF123C"/>
    <w:rsid w:val="00E30C65"/>
    <w:rsid w:val="00E31913"/>
    <w:rsid w:val="00E355C5"/>
    <w:rsid w:val="00E62884"/>
    <w:rsid w:val="00E66B29"/>
    <w:rsid w:val="00E76F97"/>
    <w:rsid w:val="00E82FC8"/>
    <w:rsid w:val="00E95FF4"/>
    <w:rsid w:val="00EC0DA2"/>
    <w:rsid w:val="00EC3D54"/>
    <w:rsid w:val="00EC7880"/>
    <w:rsid w:val="00ED05F7"/>
    <w:rsid w:val="00ED417E"/>
    <w:rsid w:val="00EE66E9"/>
    <w:rsid w:val="00EE6891"/>
    <w:rsid w:val="00EF66A0"/>
    <w:rsid w:val="00F265F1"/>
    <w:rsid w:val="00F37ABF"/>
    <w:rsid w:val="00F47F28"/>
    <w:rsid w:val="00F55776"/>
    <w:rsid w:val="00F7234E"/>
    <w:rsid w:val="00F81C19"/>
    <w:rsid w:val="00F87FE5"/>
    <w:rsid w:val="00F95652"/>
    <w:rsid w:val="00FA049E"/>
    <w:rsid w:val="00FA1E19"/>
    <w:rsid w:val="00FB5570"/>
    <w:rsid w:val="00FC152C"/>
    <w:rsid w:val="00FC5AA0"/>
    <w:rsid w:val="00FD2248"/>
    <w:rsid w:val="00FE5D52"/>
    <w:rsid w:val="00FF0A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F8F31"/>
  <w14:defaultImageDpi w14:val="32767"/>
  <w15:chartTrackingRefBased/>
  <w15:docId w15:val="{57FBAD64-E29E-C94B-A772-9CBFE4087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FF4"/>
    <w:rPr>
      <w:rFonts w:ascii="Times New Roman" w:eastAsia="Times New Roman" w:hAnsi="Times New Roman" w:cs="Times New Roman"/>
      <w:lang w:val="en-US"/>
    </w:rPr>
  </w:style>
  <w:style w:type="paragraph" w:styleId="Heading1">
    <w:name w:val="heading 1"/>
    <w:basedOn w:val="Normal"/>
    <w:next w:val="Normal"/>
    <w:link w:val="Heading1Char"/>
    <w:uiPriority w:val="9"/>
    <w:qFormat/>
    <w:rsid w:val="00E95FF4"/>
    <w:pPr>
      <w:keepNext/>
      <w:keepLines/>
      <w:widowControl w:val="0"/>
      <w:suppressAutoHyphens/>
      <w:autoSpaceDE w:val="0"/>
      <w:autoSpaceDN w:val="0"/>
      <w:adjustRightInd w:val="0"/>
      <w:spacing w:before="480" w:after="120" w:line="480" w:lineRule="auto"/>
      <w:jc w:val="both"/>
      <w:outlineLvl w:val="0"/>
    </w:pPr>
    <w:rPr>
      <w:rFonts w:eastAsiaTheme="majorEastAsia"/>
      <w:b/>
      <w:bCs/>
      <w:iCs/>
      <w:color w:val="000000" w:themeColor="text1"/>
      <w:sz w:val="28"/>
      <w:szCs w:val="28"/>
    </w:rPr>
  </w:style>
  <w:style w:type="paragraph" w:styleId="Heading2">
    <w:name w:val="heading 2"/>
    <w:basedOn w:val="Normal"/>
    <w:next w:val="Normal"/>
    <w:link w:val="Heading2Char"/>
    <w:uiPriority w:val="9"/>
    <w:semiHidden/>
    <w:unhideWhenUsed/>
    <w:qFormat/>
    <w:rsid w:val="0029484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next w:val="Normal"/>
    <w:qFormat/>
    <w:rsid w:val="0055378E"/>
    <w:pPr>
      <w:pBdr>
        <w:top w:val="nil"/>
        <w:left w:val="nil"/>
        <w:bottom w:val="nil"/>
        <w:right w:val="nil"/>
        <w:between w:val="nil"/>
      </w:pBdr>
      <w:spacing w:before="220" w:after="120" w:line="276" w:lineRule="auto"/>
      <w:ind w:left="180"/>
      <w:jc w:val="both"/>
    </w:pPr>
    <w:rPr>
      <w:rFonts w:ascii="Arial" w:eastAsia="Arial" w:hAnsi="Arial" w:cs="Arial"/>
      <w:b/>
      <w:i/>
      <w:color w:val="000000"/>
      <w:sz w:val="22"/>
      <w:szCs w:val="22"/>
      <w:lang w:val="es-ES" w:eastAsia="en-GB"/>
    </w:rPr>
  </w:style>
  <w:style w:type="paragraph" w:customStyle="1" w:styleId="Style2">
    <w:name w:val="Style2"/>
    <w:basedOn w:val="Normal"/>
    <w:next w:val="Normal"/>
    <w:qFormat/>
    <w:rsid w:val="0055378E"/>
    <w:pPr>
      <w:pBdr>
        <w:top w:val="nil"/>
        <w:left w:val="nil"/>
        <w:bottom w:val="nil"/>
        <w:right w:val="nil"/>
        <w:between w:val="nil"/>
      </w:pBdr>
      <w:spacing w:after="120"/>
      <w:ind w:left="181"/>
      <w:jc w:val="both"/>
      <w:outlineLvl w:val="1"/>
    </w:pPr>
    <w:rPr>
      <w:rFonts w:ascii="Arial" w:eastAsia="Arial" w:hAnsi="Arial" w:cs="Arial"/>
      <w:i/>
      <w:sz w:val="22"/>
      <w:szCs w:val="22"/>
      <w:lang w:val="es-ES" w:eastAsia="en-GB"/>
    </w:rPr>
  </w:style>
  <w:style w:type="character" w:customStyle="1" w:styleId="Heading1Char">
    <w:name w:val="Heading 1 Char"/>
    <w:basedOn w:val="DefaultParagraphFont"/>
    <w:link w:val="Heading1"/>
    <w:uiPriority w:val="9"/>
    <w:rsid w:val="00E95FF4"/>
    <w:rPr>
      <w:rFonts w:ascii="Times New Roman" w:eastAsiaTheme="majorEastAsia" w:hAnsi="Times New Roman" w:cs="Times New Roman"/>
      <w:b/>
      <w:bCs/>
      <w:iCs/>
      <w:color w:val="000000" w:themeColor="text1"/>
      <w:sz w:val="28"/>
      <w:szCs w:val="28"/>
      <w:lang w:val="en-US"/>
    </w:rPr>
  </w:style>
  <w:style w:type="paragraph" w:styleId="NormalWeb">
    <w:name w:val="Normal (Web)"/>
    <w:basedOn w:val="Normal"/>
    <w:link w:val="NormalWebChar"/>
    <w:uiPriority w:val="99"/>
    <w:unhideWhenUsed/>
    <w:rsid w:val="00E95FF4"/>
    <w:pPr>
      <w:spacing w:before="100" w:beforeAutospacing="1" w:after="100" w:afterAutospacing="1"/>
    </w:pPr>
    <w:rPr>
      <w:lang w:val="en-GB"/>
    </w:rPr>
  </w:style>
  <w:style w:type="character" w:customStyle="1" w:styleId="NormalWebChar">
    <w:name w:val="Normal (Web) Char"/>
    <w:basedOn w:val="DefaultParagraphFont"/>
    <w:link w:val="NormalWeb"/>
    <w:uiPriority w:val="99"/>
    <w:rsid w:val="00E95FF4"/>
    <w:rPr>
      <w:rFonts w:ascii="Times New Roman" w:eastAsia="Times New Roman" w:hAnsi="Times New Roman" w:cs="Times New Roman"/>
    </w:rPr>
  </w:style>
  <w:style w:type="character" w:styleId="Hyperlink">
    <w:name w:val="Hyperlink"/>
    <w:basedOn w:val="DefaultParagraphFont"/>
    <w:uiPriority w:val="99"/>
    <w:unhideWhenUsed/>
    <w:rsid w:val="00E95FF4"/>
    <w:rPr>
      <w:color w:val="0000FF"/>
      <w:u w:val="single"/>
    </w:rPr>
  </w:style>
  <w:style w:type="character" w:styleId="FootnoteReference">
    <w:name w:val="footnote reference"/>
    <w:qFormat/>
    <w:rsid w:val="00E95FF4"/>
    <w:rPr>
      <w:rFonts w:cs="Times New Roman"/>
      <w:vertAlign w:val="superscript"/>
    </w:rPr>
  </w:style>
  <w:style w:type="character" w:customStyle="1" w:styleId="FootnoteAnchor">
    <w:name w:val="Footnote Anchor"/>
    <w:rsid w:val="00E95FF4"/>
    <w:rPr>
      <w:vertAlign w:val="superscript"/>
    </w:rPr>
  </w:style>
  <w:style w:type="paragraph" w:styleId="FootnoteText">
    <w:name w:val="footnote text"/>
    <w:basedOn w:val="Normal"/>
    <w:link w:val="FootnoteTextChar"/>
    <w:rsid w:val="00E95FF4"/>
    <w:rPr>
      <w:rFonts w:ascii="Times" w:hAnsi="Times"/>
      <w:szCs w:val="20"/>
      <w:lang w:val="es-ES_tradnl" w:eastAsia="en-GB"/>
    </w:rPr>
  </w:style>
  <w:style w:type="character" w:customStyle="1" w:styleId="FootnoteTextChar">
    <w:name w:val="Footnote Text Char"/>
    <w:basedOn w:val="DefaultParagraphFont"/>
    <w:link w:val="FootnoteText"/>
    <w:rsid w:val="00E95FF4"/>
    <w:rPr>
      <w:rFonts w:ascii="Times" w:eastAsia="Times New Roman" w:hAnsi="Times" w:cs="Times New Roman"/>
      <w:szCs w:val="20"/>
      <w:lang w:val="es-ES_tradnl" w:eastAsia="en-GB"/>
    </w:rPr>
  </w:style>
  <w:style w:type="paragraph" w:customStyle="1" w:styleId="paragraph">
    <w:name w:val="paragraph"/>
    <w:basedOn w:val="Normal"/>
    <w:rsid w:val="000955EA"/>
    <w:pPr>
      <w:spacing w:before="100" w:beforeAutospacing="1" w:after="100" w:afterAutospacing="1"/>
    </w:pPr>
    <w:rPr>
      <w:rFonts w:eastAsiaTheme="minorEastAsia"/>
      <w:lang w:eastAsia="zh-CN"/>
    </w:rPr>
  </w:style>
  <w:style w:type="character" w:customStyle="1" w:styleId="normaltextrun">
    <w:name w:val="normaltextrun"/>
    <w:basedOn w:val="DefaultParagraphFont"/>
    <w:rsid w:val="000955EA"/>
  </w:style>
  <w:style w:type="character" w:customStyle="1" w:styleId="Heading2Char">
    <w:name w:val="Heading 2 Char"/>
    <w:basedOn w:val="DefaultParagraphFont"/>
    <w:link w:val="Heading2"/>
    <w:uiPriority w:val="9"/>
    <w:semiHidden/>
    <w:rsid w:val="0029484C"/>
    <w:rPr>
      <w:rFonts w:asciiTheme="majorHAnsi" w:eastAsiaTheme="majorEastAsia" w:hAnsiTheme="majorHAnsi" w:cstheme="majorBidi"/>
      <w:color w:val="2F5496" w:themeColor="accent1" w:themeShade="BF"/>
      <w:sz w:val="26"/>
      <w:szCs w:val="26"/>
      <w:lang w:val="en-US"/>
    </w:rPr>
  </w:style>
  <w:style w:type="character" w:styleId="FollowedHyperlink">
    <w:name w:val="FollowedHyperlink"/>
    <w:basedOn w:val="DefaultParagraphFont"/>
    <w:uiPriority w:val="99"/>
    <w:semiHidden/>
    <w:unhideWhenUsed/>
    <w:rsid w:val="002948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37975">
      <w:bodyDiv w:val="1"/>
      <w:marLeft w:val="0"/>
      <w:marRight w:val="0"/>
      <w:marTop w:val="0"/>
      <w:marBottom w:val="0"/>
      <w:divBdr>
        <w:top w:val="none" w:sz="0" w:space="0" w:color="auto"/>
        <w:left w:val="none" w:sz="0" w:space="0" w:color="auto"/>
        <w:bottom w:val="none" w:sz="0" w:space="0" w:color="auto"/>
        <w:right w:val="none" w:sz="0" w:space="0" w:color="auto"/>
      </w:divBdr>
      <w:divsChild>
        <w:div w:id="89815025">
          <w:marLeft w:val="0"/>
          <w:marRight w:val="0"/>
          <w:marTop w:val="0"/>
          <w:marBottom w:val="0"/>
          <w:divBdr>
            <w:top w:val="none" w:sz="0" w:space="0" w:color="auto"/>
            <w:left w:val="none" w:sz="0" w:space="0" w:color="auto"/>
            <w:bottom w:val="none" w:sz="0" w:space="0" w:color="auto"/>
            <w:right w:val="none" w:sz="0" w:space="0" w:color="auto"/>
          </w:divBdr>
          <w:divsChild>
            <w:div w:id="1017997720">
              <w:marLeft w:val="0"/>
              <w:marRight w:val="0"/>
              <w:marTop w:val="0"/>
              <w:marBottom w:val="0"/>
              <w:divBdr>
                <w:top w:val="none" w:sz="0" w:space="0" w:color="auto"/>
                <w:left w:val="none" w:sz="0" w:space="0" w:color="auto"/>
                <w:bottom w:val="none" w:sz="0" w:space="0" w:color="auto"/>
                <w:right w:val="none" w:sz="0" w:space="0" w:color="auto"/>
              </w:divBdr>
              <w:divsChild>
                <w:div w:id="27899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975538">
      <w:bodyDiv w:val="1"/>
      <w:marLeft w:val="0"/>
      <w:marRight w:val="0"/>
      <w:marTop w:val="0"/>
      <w:marBottom w:val="0"/>
      <w:divBdr>
        <w:top w:val="none" w:sz="0" w:space="0" w:color="auto"/>
        <w:left w:val="none" w:sz="0" w:space="0" w:color="auto"/>
        <w:bottom w:val="none" w:sz="0" w:space="0" w:color="auto"/>
        <w:right w:val="none" w:sz="0" w:space="0" w:color="auto"/>
      </w:divBdr>
      <w:divsChild>
        <w:div w:id="1433165517">
          <w:marLeft w:val="0"/>
          <w:marRight w:val="0"/>
          <w:marTop w:val="0"/>
          <w:marBottom w:val="0"/>
          <w:divBdr>
            <w:top w:val="none" w:sz="0" w:space="0" w:color="auto"/>
            <w:left w:val="none" w:sz="0" w:space="0" w:color="auto"/>
            <w:bottom w:val="none" w:sz="0" w:space="0" w:color="auto"/>
            <w:right w:val="none" w:sz="0" w:space="0" w:color="auto"/>
          </w:divBdr>
          <w:divsChild>
            <w:div w:id="761292963">
              <w:marLeft w:val="0"/>
              <w:marRight w:val="0"/>
              <w:marTop w:val="0"/>
              <w:marBottom w:val="0"/>
              <w:divBdr>
                <w:top w:val="none" w:sz="0" w:space="0" w:color="auto"/>
                <w:left w:val="none" w:sz="0" w:space="0" w:color="auto"/>
                <w:bottom w:val="none" w:sz="0" w:space="0" w:color="auto"/>
                <w:right w:val="none" w:sz="0" w:space="0" w:color="auto"/>
              </w:divBdr>
              <w:divsChild>
                <w:div w:id="86109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399643">
      <w:bodyDiv w:val="1"/>
      <w:marLeft w:val="0"/>
      <w:marRight w:val="0"/>
      <w:marTop w:val="0"/>
      <w:marBottom w:val="0"/>
      <w:divBdr>
        <w:top w:val="none" w:sz="0" w:space="0" w:color="auto"/>
        <w:left w:val="none" w:sz="0" w:space="0" w:color="auto"/>
        <w:bottom w:val="none" w:sz="0" w:space="0" w:color="auto"/>
        <w:right w:val="none" w:sz="0" w:space="0" w:color="auto"/>
      </w:divBdr>
      <w:divsChild>
        <w:div w:id="949698265">
          <w:marLeft w:val="0"/>
          <w:marRight w:val="0"/>
          <w:marTop w:val="0"/>
          <w:marBottom w:val="0"/>
          <w:divBdr>
            <w:top w:val="none" w:sz="0" w:space="0" w:color="auto"/>
            <w:left w:val="none" w:sz="0" w:space="0" w:color="auto"/>
            <w:bottom w:val="none" w:sz="0" w:space="0" w:color="auto"/>
            <w:right w:val="none" w:sz="0" w:space="0" w:color="auto"/>
          </w:divBdr>
          <w:divsChild>
            <w:div w:id="913976788">
              <w:marLeft w:val="0"/>
              <w:marRight w:val="0"/>
              <w:marTop w:val="0"/>
              <w:marBottom w:val="0"/>
              <w:divBdr>
                <w:top w:val="none" w:sz="0" w:space="0" w:color="auto"/>
                <w:left w:val="none" w:sz="0" w:space="0" w:color="auto"/>
                <w:bottom w:val="none" w:sz="0" w:space="0" w:color="auto"/>
                <w:right w:val="none" w:sz="0" w:space="0" w:color="auto"/>
              </w:divBdr>
              <w:divsChild>
                <w:div w:id="121138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364817">
      <w:bodyDiv w:val="1"/>
      <w:marLeft w:val="0"/>
      <w:marRight w:val="0"/>
      <w:marTop w:val="0"/>
      <w:marBottom w:val="0"/>
      <w:divBdr>
        <w:top w:val="none" w:sz="0" w:space="0" w:color="auto"/>
        <w:left w:val="none" w:sz="0" w:space="0" w:color="auto"/>
        <w:bottom w:val="none" w:sz="0" w:space="0" w:color="auto"/>
        <w:right w:val="none" w:sz="0" w:space="0" w:color="auto"/>
      </w:divBdr>
      <w:divsChild>
        <w:div w:id="866480484">
          <w:marLeft w:val="0"/>
          <w:marRight w:val="0"/>
          <w:marTop w:val="0"/>
          <w:marBottom w:val="0"/>
          <w:divBdr>
            <w:top w:val="none" w:sz="0" w:space="0" w:color="auto"/>
            <w:left w:val="none" w:sz="0" w:space="0" w:color="auto"/>
            <w:bottom w:val="none" w:sz="0" w:space="0" w:color="auto"/>
            <w:right w:val="none" w:sz="0" w:space="0" w:color="auto"/>
          </w:divBdr>
          <w:divsChild>
            <w:div w:id="97262138">
              <w:marLeft w:val="0"/>
              <w:marRight w:val="0"/>
              <w:marTop w:val="0"/>
              <w:marBottom w:val="0"/>
              <w:divBdr>
                <w:top w:val="none" w:sz="0" w:space="0" w:color="auto"/>
                <w:left w:val="none" w:sz="0" w:space="0" w:color="auto"/>
                <w:bottom w:val="none" w:sz="0" w:space="0" w:color="auto"/>
                <w:right w:val="none" w:sz="0" w:space="0" w:color="auto"/>
              </w:divBdr>
              <w:divsChild>
                <w:div w:id="8246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634410">
      <w:bodyDiv w:val="1"/>
      <w:marLeft w:val="0"/>
      <w:marRight w:val="0"/>
      <w:marTop w:val="0"/>
      <w:marBottom w:val="0"/>
      <w:divBdr>
        <w:top w:val="none" w:sz="0" w:space="0" w:color="auto"/>
        <w:left w:val="none" w:sz="0" w:space="0" w:color="auto"/>
        <w:bottom w:val="none" w:sz="0" w:space="0" w:color="auto"/>
        <w:right w:val="none" w:sz="0" w:space="0" w:color="auto"/>
      </w:divBdr>
      <w:divsChild>
        <w:div w:id="988095875">
          <w:marLeft w:val="0"/>
          <w:marRight w:val="0"/>
          <w:marTop w:val="0"/>
          <w:marBottom w:val="0"/>
          <w:divBdr>
            <w:top w:val="none" w:sz="0" w:space="0" w:color="auto"/>
            <w:left w:val="none" w:sz="0" w:space="0" w:color="auto"/>
            <w:bottom w:val="none" w:sz="0" w:space="0" w:color="auto"/>
            <w:right w:val="none" w:sz="0" w:space="0" w:color="auto"/>
          </w:divBdr>
          <w:divsChild>
            <w:div w:id="789013459">
              <w:marLeft w:val="0"/>
              <w:marRight w:val="0"/>
              <w:marTop w:val="0"/>
              <w:marBottom w:val="0"/>
              <w:divBdr>
                <w:top w:val="none" w:sz="0" w:space="0" w:color="auto"/>
                <w:left w:val="none" w:sz="0" w:space="0" w:color="auto"/>
                <w:bottom w:val="none" w:sz="0" w:space="0" w:color="auto"/>
                <w:right w:val="none" w:sz="0" w:space="0" w:color="auto"/>
              </w:divBdr>
              <w:divsChild>
                <w:div w:id="22380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628962">
      <w:bodyDiv w:val="1"/>
      <w:marLeft w:val="0"/>
      <w:marRight w:val="0"/>
      <w:marTop w:val="0"/>
      <w:marBottom w:val="0"/>
      <w:divBdr>
        <w:top w:val="none" w:sz="0" w:space="0" w:color="auto"/>
        <w:left w:val="none" w:sz="0" w:space="0" w:color="auto"/>
        <w:bottom w:val="none" w:sz="0" w:space="0" w:color="auto"/>
        <w:right w:val="none" w:sz="0" w:space="0" w:color="auto"/>
      </w:divBdr>
      <w:divsChild>
        <w:div w:id="185295793">
          <w:marLeft w:val="0"/>
          <w:marRight w:val="0"/>
          <w:marTop w:val="0"/>
          <w:marBottom w:val="0"/>
          <w:divBdr>
            <w:top w:val="none" w:sz="0" w:space="0" w:color="auto"/>
            <w:left w:val="none" w:sz="0" w:space="0" w:color="auto"/>
            <w:bottom w:val="none" w:sz="0" w:space="0" w:color="auto"/>
            <w:right w:val="none" w:sz="0" w:space="0" w:color="auto"/>
          </w:divBdr>
          <w:divsChild>
            <w:div w:id="746155132">
              <w:marLeft w:val="0"/>
              <w:marRight w:val="0"/>
              <w:marTop w:val="0"/>
              <w:marBottom w:val="0"/>
              <w:divBdr>
                <w:top w:val="none" w:sz="0" w:space="0" w:color="auto"/>
                <w:left w:val="none" w:sz="0" w:space="0" w:color="auto"/>
                <w:bottom w:val="none" w:sz="0" w:space="0" w:color="auto"/>
                <w:right w:val="none" w:sz="0" w:space="0" w:color="auto"/>
              </w:divBdr>
              <w:divsChild>
                <w:div w:id="175154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635991">
      <w:bodyDiv w:val="1"/>
      <w:marLeft w:val="0"/>
      <w:marRight w:val="0"/>
      <w:marTop w:val="0"/>
      <w:marBottom w:val="0"/>
      <w:divBdr>
        <w:top w:val="none" w:sz="0" w:space="0" w:color="auto"/>
        <w:left w:val="none" w:sz="0" w:space="0" w:color="auto"/>
        <w:bottom w:val="none" w:sz="0" w:space="0" w:color="auto"/>
        <w:right w:val="none" w:sz="0" w:space="0" w:color="auto"/>
      </w:divBdr>
      <w:divsChild>
        <w:div w:id="808017102">
          <w:marLeft w:val="0"/>
          <w:marRight w:val="0"/>
          <w:marTop w:val="0"/>
          <w:marBottom w:val="0"/>
          <w:divBdr>
            <w:top w:val="none" w:sz="0" w:space="0" w:color="auto"/>
            <w:left w:val="none" w:sz="0" w:space="0" w:color="auto"/>
            <w:bottom w:val="none" w:sz="0" w:space="0" w:color="auto"/>
            <w:right w:val="none" w:sz="0" w:space="0" w:color="auto"/>
          </w:divBdr>
          <w:divsChild>
            <w:div w:id="38863313">
              <w:marLeft w:val="0"/>
              <w:marRight w:val="0"/>
              <w:marTop w:val="0"/>
              <w:marBottom w:val="0"/>
              <w:divBdr>
                <w:top w:val="none" w:sz="0" w:space="0" w:color="auto"/>
                <w:left w:val="none" w:sz="0" w:space="0" w:color="auto"/>
                <w:bottom w:val="none" w:sz="0" w:space="0" w:color="auto"/>
                <w:right w:val="none" w:sz="0" w:space="0" w:color="auto"/>
              </w:divBdr>
              <w:divsChild>
                <w:div w:id="88441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arlos.infante@juntadeandalucia.es"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914</Words>
  <Characters>5216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manchado</dc:creator>
  <cp:keywords/>
  <dc:description/>
  <cp:lastModifiedBy>Bhuvaneswari R.</cp:lastModifiedBy>
  <cp:revision>3</cp:revision>
  <dcterms:created xsi:type="dcterms:W3CDTF">2021-05-21T11:18:00Z</dcterms:created>
  <dcterms:modified xsi:type="dcterms:W3CDTF">2021-06-15T02:17:00Z</dcterms:modified>
</cp:coreProperties>
</file>