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F1900" w14:textId="77777777" w:rsidR="00CF5FB7" w:rsidRDefault="00CF5FB7"/>
    <w:p w14:paraId="1B2EBA2B" w14:textId="77777777" w:rsidR="00554B36" w:rsidRDefault="00554B36">
      <w:r>
        <w:rPr>
          <w:noProof/>
          <w:lang w:val="es-ES"/>
        </w:rPr>
        <w:drawing>
          <wp:inline distT="0" distB="0" distL="0" distR="0" wp14:anchorId="6CC7178D" wp14:editId="2CDF5D42">
            <wp:extent cx="6171680" cy="2738986"/>
            <wp:effectExtent l="0" t="0" r="635" b="4445"/>
            <wp:docPr id="3" name="Gráfico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6AA8BAB2" w14:textId="77777777" w:rsidR="00554B36" w:rsidRPr="00B60A65" w:rsidRDefault="00554B36" w:rsidP="00554B36">
      <w:pPr>
        <w:rPr>
          <w:lang w:val="en-US"/>
        </w:rPr>
      </w:pPr>
      <w:r w:rsidRPr="00B60A65">
        <w:rPr>
          <w:lang w:val="en-US"/>
        </w:rPr>
        <w:t xml:space="preserve">Supplementary Figure 1: Mean cost per patient and year of treatment in patients with gout as primary diagnosis. </w:t>
      </w:r>
    </w:p>
    <w:p w14:paraId="660F1C8C" w14:textId="77777777" w:rsidR="00554B36" w:rsidRPr="00B60A65" w:rsidRDefault="00554B36">
      <w:pPr>
        <w:rPr>
          <w:lang w:val="en-US"/>
        </w:rPr>
      </w:pPr>
    </w:p>
    <w:sectPr w:rsidR="00554B36" w:rsidRPr="00B60A65" w:rsidSect="00CF5FB7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BCA"/>
    <w:rsid w:val="000F177F"/>
    <w:rsid w:val="00554B36"/>
    <w:rsid w:val="00800068"/>
    <w:rsid w:val="00B60A65"/>
    <w:rsid w:val="00CF5FB7"/>
    <w:rsid w:val="00F84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1384CF"/>
  <w14:defaultImageDpi w14:val="300"/>
  <w15:docId w15:val="{3C0FC111-309A-479F-8DF3-E57069139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84BCA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84BCA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Macintosh%20HD:Users:diegobenaventnunez:Downloads:TFG%20-%20GOTA%20(1)%20(2)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636589167502297E-2"/>
          <c:y val="6.0282865754695103E-2"/>
          <c:w val="0.64680454272118904"/>
          <c:h val="0.8129069595491380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Hoja1!$B$97</c:f>
              <c:strCache>
                <c:ptCount val="1"/>
                <c:pt idx="0">
                  <c:v>MEAN COST PER PATIENT (€) </c:v>
                </c:pt>
              </c:strCache>
            </c:strRef>
          </c:tx>
          <c:spPr>
            <a:solidFill>
              <a:srgbClr val="004586"/>
            </a:solidFill>
            <a:ln>
              <a:noFill/>
            </a:ln>
          </c:spPr>
          <c:invertIfNegative val="0"/>
          <c:cat>
            <c:numRef>
              <c:f>Hoja1!$A$98:$A$108</c:f>
              <c:numCache>
                <c:formatCode>General</c:formatCode>
                <c:ptCount val="11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  <c:pt idx="9">
                  <c:v>2014</c:v>
                </c:pt>
                <c:pt idx="10">
                  <c:v>2015</c:v>
                </c:pt>
              </c:numCache>
            </c:numRef>
          </c:cat>
          <c:val>
            <c:numRef>
              <c:f>Hoja1!$B$98:$B$108</c:f>
              <c:numCache>
                <c:formatCode>General</c:formatCode>
                <c:ptCount val="11"/>
                <c:pt idx="0">
                  <c:v>2548</c:v>
                </c:pt>
                <c:pt idx="1">
                  <c:v>2480</c:v>
                </c:pt>
                <c:pt idx="2">
                  <c:v>2685</c:v>
                </c:pt>
                <c:pt idx="3">
                  <c:v>2994</c:v>
                </c:pt>
                <c:pt idx="4">
                  <c:v>3124</c:v>
                </c:pt>
                <c:pt idx="5">
                  <c:v>4068</c:v>
                </c:pt>
                <c:pt idx="6">
                  <c:v>4324</c:v>
                </c:pt>
                <c:pt idx="7">
                  <c:v>4346</c:v>
                </c:pt>
                <c:pt idx="8">
                  <c:v>4108</c:v>
                </c:pt>
                <c:pt idx="9">
                  <c:v>3467</c:v>
                </c:pt>
                <c:pt idx="10">
                  <c:v>3611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399-49AD-8E4E-AFAFFD89377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2103282344"/>
        <c:axId val="-2143486888"/>
      </c:barChart>
      <c:valAx>
        <c:axId val="-2143486888"/>
        <c:scaling>
          <c:orientation val="minMax"/>
        </c:scaling>
        <c:delete val="0"/>
        <c:axPos val="l"/>
        <c:majorGridlines>
          <c:spPr>
            <a:ln w="6345">
              <a:solidFill>
                <a:srgbClr val="B3B3B3"/>
              </a:solidFill>
              <a:prstDash val="solid"/>
              <a:round/>
            </a:ln>
          </c:spPr>
        </c:majorGridlines>
        <c:numFmt formatCode="General" sourceLinked="1"/>
        <c:majorTickMark val="none"/>
        <c:minorTickMark val="none"/>
        <c:tickLblPos val="nextTo"/>
        <c:spPr>
          <a:noFill/>
          <a:ln w="6345">
            <a:solidFill>
              <a:srgbClr val="B3B3B3"/>
            </a:solidFill>
            <a:prstDash val="solid"/>
            <a:round/>
          </a:ln>
        </c:spPr>
        <c:txPr>
          <a:bodyPr lIns="0" tIns="0" rIns="0" bIns="0"/>
          <a:lstStyle/>
          <a:p>
            <a:pPr marL="0" marR="0" indent="0" algn="ctr" defTabSz="914400" fontAlgn="auto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tabLst/>
              <a:defRPr sz="1000" b="0" i="0" u="none" strike="noStrike" kern="1200" baseline="0">
                <a:solidFill>
                  <a:srgbClr val="000000"/>
                </a:solidFill>
                <a:latin typeface="Calibri"/>
              </a:defRPr>
            </a:pPr>
            <a:endParaRPr lang="es-ES"/>
          </a:p>
        </c:txPr>
        <c:crossAx val="-2103282344"/>
        <c:crossesAt val="0"/>
        <c:crossBetween val="between"/>
      </c:valAx>
      <c:catAx>
        <c:axId val="-21032823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6345">
            <a:solidFill>
              <a:srgbClr val="B3B3B3"/>
            </a:solidFill>
            <a:prstDash val="solid"/>
            <a:round/>
          </a:ln>
        </c:spPr>
        <c:txPr>
          <a:bodyPr lIns="0" tIns="0" rIns="0" bIns="0"/>
          <a:lstStyle/>
          <a:p>
            <a:pPr marL="0" marR="0" indent="0" algn="ctr" defTabSz="914400" fontAlgn="auto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tabLst/>
              <a:defRPr sz="1000" b="0" i="0" u="none" strike="noStrike" kern="1200" baseline="0">
                <a:solidFill>
                  <a:srgbClr val="000000"/>
                </a:solidFill>
                <a:latin typeface="Calibri"/>
              </a:defRPr>
            </a:pPr>
            <a:endParaRPr lang="es-ES"/>
          </a:p>
        </c:txPr>
        <c:crossAx val="-2143486888"/>
        <c:crossesAt val="0"/>
        <c:auto val="1"/>
        <c:lblAlgn val="ctr"/>
        <c:lblOffset val="100"/>
        <c:noMultiLvlLbl val="0"/>
      </c:catAx>
      <c:spPr>
        <a:noFill/>
        <a:ln w="9528">
          <a:solidFill>
            <a:srgbClr val="B3B3B3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76566109048984599"/>
          <c:y val="0.45343632416919399"/>
          <c:w val="0.216907816798529"/>
          <c:h val="0.13022449981834799"/>
        </c:manualLayout>
      </c:layout>
      <c:overlay val="0"/>
      <c:spPr>
        <a:noFill/>
        <a:ln>
          <a:noFill/>
        </a:ln>
      </c:spPr>
      <c:txPr>
        <a:bodyPr lIns="0" tIns="0" rIns="0" bIns="0"/>
        <a:lstStyle/>
        <a:p>
          <a:pPr marL="0" marR="0" indent="0" defTabSz="914400" fontAlgn="auto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tabLst/>
            <a:defRPr sz="1000" b="0" i="0" u="none" strike="noStrike" kern="1200" baseline="0">
              <a:solidFill>
                <a:srgbClr val="000000"/>
              </a:solidFill>
              <a:latin typeface="Calibri"/>
            </a:defRPr>
          </a:pPr>
          <a:endParaRPr lang="es-ES"/>
        </a:p>
      </c:txPr>
    </c:legend>
    <c:plotVisOnly val="1"/>
    <c:dispBlanksAs val="gap"/>
    <c:showDLblsOverMax val="0"/>
  </c:chart>
  <c:spPr>
    <a:solidFill>
      <a:srgbClr val="FFFFFF"/>
    </a:solidFill>
    <a:ln>
      <a:noFill/>
    </a:ln>
  </c:spPr>
  <c:txPr>
    <a:bodyPr lIns="0" tIns="0" rIns="0" bIns="0"/>
    <a:lstStyle/>
    <a:p>
      <a:pPr marL="0" marR="0" indent="0" defTabSz="914400" fontAlgn="auto" hangingPunct="1">
        <a:lnSpc>
          <a:spcPct val="100000"/>
        </a:lnSpc>
        <a:spcBef>
          <a:spcPts val="0"/>
        </a:spcBef>
        <a:spcAft>
          <a:spcPts val="0"/>
        </a:spcAft>
        <a:tabLst/>
        <a:defRPr lang="es-ES" sz="1000" b="0" i="0" u="none" strike="noStrike" kern="1200" baseline="0">
          <a:solidFill>
            <a:srgbClr val="000000"/>
          </a:solidFill>
          <a:latin typeface="Calibri"/>
        </a:defRPr>
      </a:pPr>
      <a:endParaRPr lang="es-E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99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Benavent Núñez</dc:creator>
  <cp:keywords/>
  <dc:description/>
  <cp:lastModifiedBy>Diego Benavent</cp:lastModifiedBy>
  <cp:revision>2</cp:revision>
  <dcterms:created xsi:type="dcterms:W3CDTF">2021-04-14T19:13:00Z</dcterms:created>
  <dcterms:modified xsi:type="dcterms:W3CDTF">2021-04-14T19:13:00Z</dcterms:modified>
</cp:coreProperties>
</file>