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B23F8" w14:textId="59473C08" w:rsidR="00AE1C45" w:rsidRPr="00AF06B5" w:rsidRDefault="00AE1C45" w:rsidP="00AE1C45">
      <w:pPr>
        <w:widowControl/>
        <w:spacing w:line="480" w:lineRule="auto"/>
        <w:jc w:val="right"/>
        <w:rPr>
          <w:sz w:val="24"/>
          <w:szCs w:val="24"/>
        </w:rPr>
      </w:pPr>
      <w:bookmarkStart w:id="0" w:name="_Hlk5570792"/>
      <w:bookmarkEnd w:id="0"/>
      <w:r w:rsidRPr="00AF06B5">
        <w:rPr>
          <w:sz w:val="24"/>
          <w:szCs w:val="24"/>
        </w:rPr>
        <w:t>S</w:t>
      </w:r>
      <w:r w:rsidR="005870E7" w:rsidRPr="00AF06B5">
        <w:rPr>
          <w:sz w:val="24"/>
          <w:szCs w:val="24"/>
        </w:rPr>
        <w:t>u</w:t>
      </w:r>
      <w:r w:rsidR="0039252E" w:rsidRPr="00AF06B5">
        <w:rPr>
          <w:sz w:val="24"/>
          <w:szCs w:val="24"/>
        </w:rPr>
        <w:t>ppleme</w:t>
      </w:r>
      <w:r w:rsidR="00221286" w:rsidRPr="00AF06B5">
        <w:rPr>
          <w:sz w:val="24"/>
          <w:szCs w:val="24"/>
        </w:rPr>
        <w:t>n</w:t>
      </w:r>
      <w:r w:rsidR="0039252E" w:rsidRPr="00AF06B5">
        <w:rPr>
          <w:sz w:val="24"/>
          <w:szCs w:val="24"/>
        </w:rPr>
        <w:t>tary</w:t>
      </w:r>
      <w:r w:rsidR="005870E7" w:rsidRPr="00AF06B5">
        <w:t xml:space="preserve"> </w:t>
      </w:r>
      <w:r w:rsidRPr="00AF06B5">
        <w:rPr>
          <w:sz w:val="24"/>
          <w:szCs w:val="24"/>
        </w:rPr>
        <w:t>Information</w:t>
      </w:r>
    </w:p>
    <w:p w14:paraId="5BD1FF4C" w14:textId="77777777" w:rsidR="00AE1C45" w:rsidRPr="00AF06B5" w:rsidRDefault="00AE1C45" w:rsidP="00AE1C45">
      <w:pPr>
        <w:widowControl/>
        <w:spacing w:line="480" w:lineRule="auto"/>
        <w:jc w:val="right"/>
        <w:rPr>
          <w:sz w:val="24"/>
          <w:szCs w:val="24"/>
        </w:rPr>
      </w:pPr>
    </w:p>
    <w:p w14:paraId="45430356" w14:textId="127D7999" w:rsidR="00B229A1" w:rsidRPr="00AF06B5" w:rsidRDefault="00A60891" w:rsidP="00F60E78">
      <w:pPr>
        <w:widowControl/>
        <w:spacing w:line="480" w:lineRule="auto"/>
        <w:jc w:val="center"/>
        <w:rPr>
          <w:b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An</w:t>
      </w:r>
      <w:r w:rsidRPr="001F645F">
        <w:rPr>
          <w:rFonts w:cs="Times New Roman"/>
          <w:b/>
          <w:bCs/>
          <w:sz w:val="32"/>
          <w:szCs w:val="32"/>
        </w:rPr>
        <w:t xml:space="preserve"> </w:t>
      </w:r>
      <w:r w:rsidR="001F645F" w:rsidRPr="001F645F">
        <w:rPr>
          <w:rFonts w:cs="Times New Roman"/>
          <w:b/>
          <w:bCs/>
          <w:sz w:val="32"/>
          <w:szCs w:val="32"/>
        </w:rPr>
        <w:t>engineered tetra-valent antibody fully activates the Tie2 receptor with comparable potency to its natur</w:t>
      </w:r>
      <w:bookmarkStart w:id="1" w:name="_GoBack"/>
      <w:bookmarkEnd w:id="1"/>
      <w:r w:rsidR="001F645F" w:rsidRPr="001F645F">
        <w:rPr>
          <w:rFonts w:cs="Times New Roman"/>
          <w:b/>
          <w:bCs/>
          <w:sz w:val="32"/>
          <w:szCs w:val="32"/>
        </w:rPr>
        <w:t>al ligand angiopoietin-1</w:t>
      </w:r>
    </w:p>
    <w:p w14:paraId="34D1EFF5" w14:textId="645385E4" w:rsidR="001824C2" w:rsidRPr="00AF06B5" w:rsidRDefault="001F645F" w:rsidP="00F60E78">
      <w:pPr>
        <w:widowControl/>
        <w:spacing w:line="480" w:lineRule="auto"/>
        <w:jc w:val="center"/>
        <w:rPr>
          <w:sz w:val="24"/>
          <w:szCs w:val="24"/>
        </w:rPr>
      </w:pPr>
      <w:r w:rsidRPr="001F645F">
        <w:rPr>
          <w:sz w:val="24"/>
          <w:szCs w:val="24"/>
        </w:rPr>
        <w:t>Yukari Koya, Hiromi Nara, Shigenori Yagi, Chihoko Ueno, and Masazumi Kamohara*</w:t>
      </w:r>
    </w:p>
    <w:p w14:paraId="7EA257A5" w14:textId="03FD25FF" w:rsidR="001048C1" w:rsidRPr="00AF06B5" w:rsidRDefault="00C578CE" w:rsidP="002E516D">
      <w:pPr>
        <w:widowControl/>
        <w:jc w:val="left"/>
        <w:rPr>
          <w:b/>
          <w:sz w:val="24"/>
          <w:szCs w:val="24"/>
        </w:rPr>
      </w:pPr>
      <w:r w:rsidRPr="00AF06B5">
        <w:rPr>
          <w:b/>
          <w:sz w:val="24"/>
          <w:szCs w:val="24"/>
        </w:rPr>
        <w:br w:type="page"/>
      </w:r>
      <w:r w:rsidR="001048C1" w:rsidRPr="00AF06B5">
        <w:rPr>
          <w:b/>
          <w:sz w:val="24"/>
          <w:szCs w:val="24"/>
        </w:rPr>
        <w:lastRenderedPageBreak/>
        <w:t>Table of Contents</w:t>
      </w:r>
    </w:p>
    <w:p w14:paraId="35094A6E" w14:textId="56EE64F1" w:rsidR="001048C1" w:rsidRPr="00AF06B5" w:rsidRDefault="001048C1" w:rsidP="00241A36">
      <w:pPr>
        <w:widowControl/>
        <w:spacing w:line="480" w:lineRule="auto"/>
        <w:jc w:val="left"/>
        <w:rPr>
          <w:b/>
          <w:sz w:val="24"/>
          <w:szCs w:val="24"/>
        </w:rPr>
      </w:pPr>
      <w:r w:rsidRPr="00AF06B5">
        <w:rPr>
          <w:b/>
          <w:sz w:val="24"/>
          <w:szCs w:val="24"/>
        </w:rPr>
        <w:t xml:space="preserve">1. </w:t>
      </w:r>
      <w:r w:rsidRPr="001048C1">
        <w:rPr>
          <w:b/>
          <w:sz w:val="24"/>
          <w:szCs w:val="24"/>
        </w:rPr>
        <w:t>Supplementary Methods</w:t>
      </w:r>
    </w:p>
    <w:p w14:paraId="044A9190" w14:textId="5B7035D8" w:rsidR="001048C1" w:rsidRDefault="000E14BF" w:rsidP="00241A36">
      <w:pPr>
        <w:widowControl/>
        <w:spacing w:line="480" w:lineRule="auto"/>
        <w:ind w:leftChars="67" w:left="141"/>
        <w:jc w:val="left"/>
        <w:rPr>
          <w:szCs w:val="22"/>
        </w:rPr>
      </w:pPr>
      <w:r>
        <w:rPr>
          <w:szCs w:val="22"/>
        </w:rPr>
        <w:t xml:space="preserve">1-1. </w:t>
      </w:r>
      <w:r w:rsidR="00ED1475" w:rsidRPr="00583C3A">
        <w:rPr>
          <w:szCs w:val="22"/>
        </w:rPr>
        <w:t>Size exclusion chromatography (SEC) analysis and purification of each fraction</w:t>
      </w:r>
      <w:r w:rsidR="00ED1475">
        <w:rPr>
          <w:szCs w:val="22"/>
        </w:rPr>
        <w:t xml:space="preserve"> </w:t>
      </w:r>
    </w:p>
    <w:p w14:paraId="561B5E21" w14:textId="757FE297" w:rsidR="00583C3A" w:rsidRPr="00583C3A" w:rsidRDefault="00583C3A" w:rsidP="00583C3A">
      <w:pPr>
        <w:widowControl/>
        <w:spacing w:line="480" w:lineRule="auto"/>
        <w:ind w:leftChars="67" w:left="141"/>
        <w:jc w:val="left"/>
        <w:rPr>
          <w:szCs w:val="22"/>
        </w:rPr>
      </w:pPr>
      <w:r>
        <w:rPr>
          <w:szCs w:val="22"/>
        </w:rPr>
        <w:t xml:space="preserve">1-2. </w:t>
      </w:r>
      <w:r w:rsidR="00ED1475">
        <w:rPr>
          <w:szCs w:val="22"/>
        </w:rPr>
        <w:t>IL-1-induced permeability assay in HUVEC</w:t>
      </w:r>
    </w:p>
    <w:p w14:paraId="21B92B9B" w14:textId="45DC680C" w:rsidR="001048C1" w:rsidRPr="00575E33" w:rsidRDefault="001048C1" w:rsidP="00241A36">
      <w:pPr>
        <w:widowControl/>
        <w:spacing w:line="480" w:lineRule="auto"/>
        <w:jc w:val="left"/>
        <w:rPr>
          <w:b/>
          <w:sz w:val="24"/>
          <w:szCs w:val="24"/>
        </w:rPr>
      </w:pPr>
      <w:r w:rsidRPr="00575E33">
        <w:rPr>
          <w:b/>
          <w:sz w:val="24"/>
          <w:szCs w:val="24"/>
        </w:rPr>
        <w:t xml:space="preserve">2. </w:t>
      </w:r>
      <w:r w:rsidR="00A104FC" w:rsidRPr="001048C1">
        <w:rPr>
          <w:b/>
          <w:sz w:val="24"/>
          <w:szCs w:val="24"/>
        </w:rPr>
        <w:t xml:space="preserve">Supplementary </w:t>
      </w:r>
      <w:r w:rsidRPr="00575E33">
        <w:rPr>
          <w:b/>
          <w:sz w:val="24"/>
          <w:szCs w:val="24"/>
        </w:rPr>
        <w:t>Results</w:t>
      </w:r>
    </w:p>
    <w:p w14:paraId="139724AD" w14:textId="77777777" w:rsidR="000E14BF" w:rsidRPr="000E14BF" w:rsidRDefault="000E14BF" w:rsidP="000E14BF">
      <w:pPr>
        <w:widowControl/>
        <w:spacing w:line="480" w:lineRule="auto"/>
        <w:ind w:leftChars="67" w:left="849" w:hangingChars="336" w:hanging="708"/>
        <w:jc w:val="left"/>
        <w:rPr>
          <w:bCs/>
          <w:color w:val="000000" w:themeColor="text1"/>
          <w:szCs w:val="22"/>
        </w:rPr>
      </w:pPr>
      <w:bookmarkStart w:id="2" w:name="_Hlk75194960"/>
      <w:bookmarkStart w:id="3" w:name="_Hlk74146128"/>
      <w:r w:rsidRPr="000E14BF">
        <w:rPr>
          <w:b/>
          <w:color w:val="000000" w:themeColor="text1"/>
          <w:szCs w:val="22"/>
        </w:rPr>
        <w:t>Supplementary Figure</w:t>
      </w:r>
      <w:r w:rsidRPr="000E14BF">
        <w:rPr>
          <w:rFonts w:hint="eastAsia"/>
          <w:b/>
          <w:color w:val="000000" w:themeColor="text1"/>
          <w:szCs w:val="22"/>
        </w:rPr>
        <w:t xml:space="preserve"> S</w:t>
      </w:r>
      <w:r w:rsidRPr="000E14BF">
        <w:rPr>
          <w:b/>
          <w:color w:val="000000" w:themeColor="text1"/>
          <w:szCs w:val="22"/>
        </w:rPr>
        <w:t>1</w:t>
      </w:r>
      <w:r w:rsidRPr="000E14BF">
        <w:rPr>
          <w:rFonts w:hint="eastAsia"/>
          <w:b/>
          <w:color w:val="000000" w:themeColor="text1"/>
          <w:szCs w:val="22"/>
        </w:rPr>
        <w:t xml:space="preserve"> </w:t>
      </w:r>
      <w:r w:rsidRPr="000E14BF">
        <w:rPr>
          <w:bCs/>
          <w:color w:val="000000" w:themeColor="text1"/>
          <w:szCs w:val="22"/>
        </w:rPr>
        <w:t xml:space="preserve">Fractionation of antibodies using size exclusion chromatography (SEC) </w:t>
      </w:r>
    </w:p>
    <w:p w14:paraId="2866B90C" w14:textId="77777777" w:rsidR="000E14BF" w:rsidRPr="000E14BF" w:rsidRDefault="000E14BF" w:rsidP="000E14BF">
      <w:pPr>
        <w:widowControl/>
        <w:spacing w:line="480" w:lineRule="auto"/>
        <w:ind w:leftChars="67" w:left="849" w:hangingChars="336" w:hanging="708"/>
        <w:jc w:val="left"/>
        <w:rPr>
          <w:bCs/>
          <w:color w:val="000000" w:themeColor="text1"/>
        </w:rPr>
      </w:pPr>
      <w:r w:rsidRPr="000E14BF">
        <w:rPr>
          <w:b/>
          <w:color w:val="000000" w:themeColor="text1"/>
          <w:szCs w:val="22"/>
        </w:rPr>
        <w:t>Supplementary Figure</w:t>
      </w:r>
      <w:r w:rsidRPr="000E14BF">
        <w:rPr>
          <w:rFonts w:hint="eastAsia"/>
          <w:b/>
          <w:color w:val="000000" w:themeColor="text1"/>
          <w:szCs w:val="22"/>
        </w:rPr>
        <w:t xml:space="preserve"> </w:t>
      </w:r>
      <w:r w:rsidRPr="000E14BF">
        <w:rPr>
          <w:b/>
          <w:color w:val="000000" w:themeColor="text1"/>
          <w:szCs w:val="22"/>
        </w:rPr>
        <w:t xml:space="preserve">S2 </w:t>
      </w:r>
      <w:r w:rsidRPr="000E14BF">
        <w:rPr>
          <w:bCs/>
          <w:color w:val="000000" w:themeColor="text1"/>
        </w:rPr>
        <w:t>Purity analysis of monomer, dimer and high molecular weight (HMW) antibodies using SDS-PAGE and SEC</w:t>
      </w:r>
    </w:p>
    <w:p w14:paraId="07D5BDAE" w14:textId="2D9D765A" w:rsidR="000E14BF" w:rsidRPr="000E14BF" w:rsidRDefault="000E14BF" w:rsidP="000E14BF">
      <w:pPr>
        <w:widowControl/>
        <w:spacing w:line="480" w:lineRule="auto"/>
        <w:ind w:leftChars="67" w:left="142" w:hanging="1"/>
        <w:jc w:val="left"/>
        <w:rPr>
          <w:b/>
          <w:color w:val="000000" w:themeColor="text1"/>
          <w:szCs w:val="22"/>
        </w:rPr>
      </w:pPr>
      <w:r w:rsidRPr="000E14BF">
        <w:rPr>
          <w:b/>
          <w:color w:val="000000" w:themeColor="text1"/>
          <w:szCs w:val="22"/>
        </w:rPr>
        <w:t>Supplementary Figure S3</w:t>
      </w:r>
      <w:r w:rsidRPr="000E14BF">
        <w:rPr>
          <w:color w:val="000000" w:themeColor="text1"/>
          <w:szCs w:val="22"/>
        </w:rPr>
        <w:t xml:space="preserve"> Full-size </w:t>
      </w:r>
      <w:r w:rsidR="00A104FC">
        <w:rPr>
          <w:rFonts w:hint="eastAsia"/>
          <w:color w:val="000000" w:themeColor="text1"/>
          <w:szCs w:val="22"/>
        </w:rPr>
        <w:t>i</w:t>
      </w:r>
      <w:r w:rsidR="00A104FC">
        <w:rPr>
          <w:color w:val="000000" w:themeColor="text1"/>
          <w:szCs w:val="22"/>
        </w:rPr>
        <w:t xml:space="preserve">mages of </w:t>
      </w:r>
      <w:r w:rsidRPr="000E14BF">
        <w:rPr>
          <w:color w:val="000000" w:themeColor="text1"/>
          <w:szCs w:val="22"/>
        </w:rPr>
        <w:t>Western blots of phosphorylated Tie2 and actin shown in Fig. 2</w:t>
      </w:r>
      <w:r w:rsidR="00400556">
        <w:rPr>
          <w:rFonts w:hint="eastAsia"/>
          <w:color w:val="000000" w:themeColor="text1"/>
          <w:szCs w:val="22"/>
        </w:rPr>
        <w:t>f</w:t>
      </w:r>
    </w:p>
    <w:p w14:paraId="2DDA7828" w14:textId="77777777" w:rsidR="000E14BF" w:rsidRPr="003457DE" w:rsidRDefault="000E14BF" w:rsidP="000E14BF">
      <w:pPr>
        <w:widowControl/>
        <w:spacing w:line="480" w:lineRule="auto"/>
        <w:ind w:leftChars="67" w:left="142" w:hanging="1"/>
        <w:jc w:val="left"/>
        <w:rPr>
          <w:bCs/>
          <w:color w:val="FF0000"/>
        </w:rPr>
      </w:pPr>
      <w:r w:rsidRPr="000E14BF">
        <w:rPr>
          <w:b/>
          <w:color w:val="000000" w:themeColor="text1"/>
          <w:szCs w:val="22"/>
        </w:rPr>
        <w:t xml:space="preserve">Supplementary Figure S4 </w:t>
      </w:r>
      <w:r w:rsidRPr="000E14BF">
        <w:rPr>
          <w:bCs/>
          <w:color w:val="000000" w:themeColor="text1"/>
          <w:szCs w:val="22"/>
        </w:rPr>
        <w:t>In</w:t>
      </w:r>
      <w:r w:rsidRPr="00480F56">
        <w:rPr>
          <w:bCs/>
          <w:color w:val="000000" w:themeColor="text1"/>
          <w:szCs w:val="22"/>
        </w:rPr>
        <w:t>hibition of IL-1</w:t>
      </w:r>
      <w:r w:rsidRPr="00480F56">
        <w:rPr>
          <w:rFonts w:cs="Times New Roman"/>
          <w:color w:val="000000" w:themeColor="text1"/>
          <w:szCs w:val="22"/>
        </w:rPr>
        <w:t>β</w:t>
      </w:r>
      <w:r w:rsidRPr="00480F56">
        <w:rPr>
          <w:bCs/>
          <w:color w:val="000000" w:themeColor="text1"/>
          <w:szCs w:val="22"/>
        </w:rPr>
        <w:t>-induced permeability by ASP4021 in HUVEC</w:t>
      </w:r>
    </w:p>
    <w:bookmarkEnd w:id="2"/>
    <w:bookmarkEnd w:id="3"/>
    <w:p w14:paraId="395790DE" w14:textId="1D9C2B5D" w:rsidR="003A7C7D" w:rsidRDefault="003A7C7D" w:rsidP="00241A36">
      <w:pPr>
        <w:widowControl/>
        <w:spacing w:line="480" w:lineRule="auto"/>
        <w:ind w:leftChars="67" w:left="849" w:hangingChars="336" w:hanging="708"/>
        <w:jc w:val="left"/>
        <w:rPr>
          <w:bCs/>
        </w:rPr>
      </w:pPr>
      <w:r w:rsidRPr="003A7C7D">
        <w:rPr>
          <w:b/>
        </w:rPr>
        <w:t>Supplementary Table</w:t>
      </w:r>
      <w:r w:rsidRPr="003A7C7D">
        <w:rPr>
          <w:bCs/>
        </w:rPr>
        <w:t xml:space="preserve"> </w:t>
      </w:r>
      <w:r>
        <w:rPr>
          <w:bCs/>
        </w:rPr>
        <w:t xml:space="preserve">Binding </w:t>
      </w:r>
      <w:r w:rsidRPr="003A7C7D">
        <w:rPr>
          <w:bCs/>
        </w:rPr>
        <w:t xml:space="preserve">activity of </w:t>
      </w:r>
      <w:r>
        <w:rPr>
          <w:bCs/>
        </w:rPr>
        <w:t>ASP4021</w:t>
      </w:r>
      <w:r w:rsidRPr="003A7C7D">
        <w:rPr>
          <w:bCs/>
        </w:rPr>
        <w:t xml:space="preserve"> to human, mouse, rat, and monkey Tie2 </w:t>
      </w:r>
    </w:p>
    <w:p w14:paraId="3C70C54C" w14:textId="795EFD4C" w:rsidR="004A26FC" w:rsidRDefault="004A26FC" w:rsidP="004A26FC">
      <w:pPr>
        <w:widowControl/>
        <w:spacing w:line="48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8C3FB2D" w14:textId="275D2C14" w:rsidR="001048C1" w:rsidRPr="00AF06B5" w:rsidRDefault="001048C1" w:rsidP="001048C1">
      <w:pPr>
        <w:widowControl/>
        <w:spacing w:line="480" w:lineRule="auto"/>
        <w:jc w:val="left"/>
        <w:rPr>
          <w:b/>
          <w:sz w:val="24"/>
          <w:szCs w:val="24"/>
        </w:rPr>
      </w:pPr>
      <w:r w:rsidRPr="00AF06B5">
        <w:rPr>
          <w:b/>
          <w:sz w:val="24"/>
          <w:szCs w:val="24"/>
        </w:rPr>
        <w:lastRenderedPageBreak/>
        <w:t xml:space="preserve">1. </w:t>
      </w:r>
      <w:r w:rsidRPr="001048C1">
        <w:rPr>
          <w:b/>
          <w:sz w:val="24"/>
          <w:szCs w:val="24"/>
        </w:rPr>
        <w:t>Supplementary Methods</w:t>
      </w:r>
    </w:p>
    <w:p w14:paraId="6187B0B5" w14:textId="33FAF51A" w:rsidR="001048C1" w:rsidRPr="00FA061E" w:rsidRDefault="000E14BF" w:rsidP="00FA061E">
      <w:pPr>
        <w:pStyle w:val="Heading1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1-1. </w:t>
      </w:r>
      <w:r w:rsidR="00ED1475" w:rsidRPr="00ED1475">
        <w:rPr>
          <w:rFonts w:ascii="Times New Roman" w:hAnsi="Times New Roman" w:cs="Times New Roman"/>
          <w:sz w:val="21"/>
          <w:szCs w:val="21"/>
        </w:rPr>
        <w:t xml:space="preserve">Size exclusion chromatography (SEC) analysis and purification of each fraction </w:t>
      </w:r>
    </w:p>
    <w:p w14:paraId="3C74DEFF" w14:textId="4055A663" w:rsidR="00ED1475" w:rsidRDefault="00ED1475" w:rsidP="001048C1">
      <w:pPr>
        <w:widowControl/>
        <w:spacing w:line="480" w:lineRule="auto"/>
        <w:ind w:leftChars="67" w:left="141"/>
        <w:jc w:val="left"/>
        <w:rPr>
          <w:szCs w:val="22"/>
        </w:rPr>
      </w:pPr>
      <w:r w:rsidRPr="00ED1475">
        <w:rPr>
          <w:szCs w:val="22"/>
        </w:rPr>
        <w:t>For antibody purification and fractionation by SEC, the affinity chromatography-purified antibody was injected into a HiLoad 26/60 Superdex 200 PG column (GE Healthcare) equilibrated and eluted with PBS at a flow rate of 2.5 m</w:t>
      </w:r>
      <w:r w:rsidR="00A104FC">
        <w:rPr>
          <w:szCs w:val="22"/>
        </w:rPr>
        <w:t>L</w:t>
      </w:r>
      <w:r w:rsidRPr="00ED1475">
        <w:rPr>
          <w:szCs w:val="22"/>
        </w:rPr>
        <w:t xml:space="preserve">/min using AKTA explorer 100 and Unicorn 5.11 (Build 407) software (GE Healthcare). Each fraction was collected at 5 mL/fraction into tubes. Subsequently, HMW and dimer fractions were concentrated using Amicon Ultra 10K (Millipore), each fraction was filtered through a SteriFlip 0.22 μm PVDF membrane (Millipore) and the protein concentration was determined using </w:t>
      </w:r>
      <w:r w:rsidR="00A104FC">
        <w:rPr>
          <w:szCs w:val="22"/>
        </w:rPr>
        <w:t xml:space="preserve">a </w:t>
      </w:r>
      <w:proofErr w:type="spellStart"/>
      <w:r w:rsidRPr="00ED1475">
        <w:rPr>
          <w:szCs w:val="22"/>
        </w:rPr>
        <w:t>NanoDrop</w:t>
      </w:r>
      <w:proofErr w:type="spellEnd"/>
      <w:r w:rsidRPr="00ED1475">
        <w:rPr>
          <w:szCs w:val="22"/>
        </w:rPr>
        <w:t xml:space="preserve"> (Thermo Fisher Scientific). For purity analysis by SEC, 50 µg of antibody was injected into a TSK gel G3000SW (TOSOH) equilibrated and eluted with PBS at a flow rate of 0.5 mL/min using </w:t>
      </w:r>
      <w:r w:rsidR="00A104FC">
        <w:rPr>
          <w:szCs w:val="22"/>
        </w:rPr>
        <w:t xml:space="preserve">a </w:t>
      </w:r>
      <w:r w:rsidRPr="00ED1475">
        <w:rPr>
          <w:szCs w:val="22"/>
        </w:rPr>
        <w:t>Waters HPLC system with a separation module (Model 2695), a PDA detector (Model 2996), and Empower 3 data acquisition system.</w:t>
      </w:r>
    </w:p>
    <w:p w14:paraId="4C6B2E70" w14:textId="77777777" w:rsidR="00ED1475" w:rsidRDefault="00ED1475" w:rsidP="001048C1">
      <w:pPr>
        <w:widowControl/>
        <w:spacing w:line="480" w:lineRule="auto"/>
        <w:ind w:leftChars="67" w:left="141"/>
        <w:jc w:val="left"/>
        <w:rPr>
          <w:szCs w:val="22"/>
        </w:rPr>
      </w:pPr>
    </w:p>
    <w:p w14:paraId="61EB13B0" w14:textId="77777777" w:rsidR="00ED1475" w:rsidRDefault="00ED1475" w:rsidP="001048C1">
      <w:pPr>
        <w:widowControl/>
        <w:spacing w:line="480" w:lineRule="auto"/>
        <w:ind w:leftChars="67" w:left="141"/>
        <w:jc w:val="left"/>
        <w:rPr>
          <w:szCs w:val="22"/>
        </w:rPr>
      </w:pPr>
      <w:r>
        <w:rPr>
          <w:szCs w:val="22"/>
        </w:rPr>
        <w:t xml:space="preserve">1-2. </w:t>
      </w:r>
      <w:r w:rsidRPr="00FA061E">
        <w:rPr>
          <w:rFonts w:cs="Times New Roman"/>
        </w:rPr>
        <w:t>IL-1β-induced permeability assay in HUVEC</w:t>
      </w:r>
      <w:r>
        <w:rPr>
          <w:szCs w:val="22"/>
        </w:rPr>
        <w:t xml:space="preserve"> </w:t>
      </w:r>
    </w:p>
    <w:p w14:paraId="0A556302" w14:textId="0C9F3A5B" w:rsidR="001048C1" w:rsidRDefault="00A60891" w:rsidP="004A26FC">
      <w:pPr>
        <w:widowControl/>
        <w:spacing w:line="480" w:lineRule="auto"/>
        <w:ind w:leftChars="67" w:left="141"/>
        <w:jc w:val="left"/>
        <w:rPr>
          <w:b/>
          <w:sz w:val="24"/>
          <w:szCs w:val="24"/>
        </w:rPr>
      </w:pPr>
      <w:r>
        <w:rPr>
          <w:szCs w:val="22"/>
        </w:rPr>
        <w:t>P</w:t>
      </w:r>
      <w:r w:rsidR="001048C1" w:rsidRPr="00C4385E">
        <w:rPr>
          <w:szCs w:val="22"/>
        </w:rPr>
        <w:t>ermeability was</w:t>
      </w:r>
      <w:r w:rsidR="00FE46A8" w:rsidRPr="00C4385E">
        <w:rPr>
          <w:szCs w:val="22"/>
        </w:rPr>
        <w:t xml:space="preserve"> </w:t>
      </w:r>
      <w:r w:rsidR="001048C1" w:rsidRPr="00C4385E">
        <w:rPr>
          <w:szCs w:val="22"/>
        </w:rPr>
        <w:t xml:space="preserve">assessed using </w:t>
      </w:r>
      <w:r>
        <w:rPr>
          <w:szCs w:val="22"/>
        </w:rPr>
        <w:t xml:space="preserve">the </w:t>
      </w:r>
      <w:proofErr w:type="spellStart"/>
      <w:r w:rsidR="001048C1" w:rsidRPr="00C4385E">
        <w:rPr>
          <w:szCs w:val="22"/>
        </w:rPr>
        <w:t>CultreCoat</w:t>
      </w:r>
      <w:proofErr w:type="spellEnd"/>
      <w:r w:rsidR="001048C1" w:rsidRPr="00C4385E">
        <w:rPr>
          <w:szCs w:val="22"/>
        </w:rPr>
        <w:t xml:space="preserve"> </w:t>
      </w:r>
      <w:r w:rsidR="00FE46A8" w:rsidRPr="00C4385E">
        <w:rPr>
          <w:szCs w:val="22"/>
        </w:rPr>
        <w:t>96</w:t>
      </w:r>
      <w:r>
        <w:rPr>
          <w:szCs w:val="22"/>
        </w:rPr>
        <w:t>-</w:t>
      </w:r>
      <w:r w:rsidR="001048C1" w:rsidRPr="00C4385E">
        <w:rPr>
          <w:szCs w:val="22"/>
        </w:rPr>
        <w:t xml:space="preserve">well </w:t>
      </w:r>
      <w:r w:rsidR="001048C1" w:rsidRPr="006D0267">
        <w:rPr>
          <w:i/>
          <w:iCs/>
          <w:szCs w:val="22"/>
        </w:rPr>
        <w:t>in vitro</w:t>
      </w:r>
      <w:r w:rsidR="001048C1" w:rsidRPr="00C4385E">
        <w:rPr>
          <w:szCs w:val="22"/>
        </w:rPr>
        <w:t xml:space="preserve"> vascular permeability</w:t>
      </w:r>
      <w:r w:rsidR="00FE46A8" w:rsidRPr="00C4385E">
        <w:rPr>
          <w:szCs w:val="22"/>
        </w:rPr>
        <w:t xml:space="preserve"> </w:t>
      </w:r>
      <w:r w:rsidR="001048C1" w:rsidRPr="00C4385E">
        <w:rPr>
          <w:szCs w:val="22"/>
        </w:rPr>
        <w:t>assay kit (3475-0</w:t>
      </w:r>
      <w:r w:rsidR="00FE46A8" w:rsidRPr="00C4385E">
        <w:rPr>
          <w:szCs w:val="22"/>
        </w:rPr>
        <w:t>96</w:t>
      </w:r>
      <w:r w:rsidR="001048C1" w:rsidRPr="00C4385E">
        <w:rPr>
          <w:szCs w:val="22"/>
        </w:rPr>
        <w:t xml:space="preserve">-K; </w:t>
      </w:r>
      <w:r w:rsidR="00FE46A8" w:rsidRPr="00C4385E">
        <w:rPr>
          <w:szCs w:val="22"/>
        </w:rPr>
        <w:t>Travigen</w:t>
      </w:r>
      <w:r w:rsidR="001048C1" w:rsidRPr="00C4385E">
        <w:rPr>
          <w:szCs w:val="22"/>
        </w:rPr>
        <w:t>). Fresh</w:t>
      </w:r>
      <w:r w:rsidR="00FE46A8" w:rsidRPr="00C4385E">
        <w:rPr>
          <w:szCs w:val="22"/>
        </w:rPr>
        <w:t xml:space="preserve"> </w:t>
      </w:r>
      <w:r w:rsidR="001048C1" w:rsidRPr="00C4385E">
        <w:rPr>
          <w:szCs w:val="22"/>
        </w:rPr>
        <w:t xml:space="preserve">medium was added to the </w:t>
      </w:r>
      <w:r w:rsidR="00AA39E9">
        <w:rPr>
          <w:szCs w:val="22"/>
        </w:rPr>
        <w:t>top</w:t>
      </w:r>
      <w:r w:rsidR="00AA39E9" w:rsidRPr="00C4385E">
        <w:rPr>
          <w:szCs w:val="22"/>
        </w:rPr>
        <w:t xml:space="preserve"> </w:t>
      </w:r>
      <w:r w:rsidR="002E516D" w:rsidRPr="00C4385E">
        <w:rPr>
          <w:szCs w:val="22"/>
        </w:rPr>
        <w:t xml:space="preserve">and bottom </w:t>
      </w:r>
      <w:r w:rsidR="001048C1" w:rsidRPr="00C4385E">
        <w:rPr>
          <w:szCs w:val="22"/>
        </w:rPr>
        <w:t>chamber</w:t>
      </w:r>
      <w:r>
        <w:rPr>
          <w:szCs w:val="22"/>
        </w:rPr>
        <w:t>s</w:t>
      </w:r>
      <w:r w:rsidR="001048C1" w:rsidRPr="00C4385E">
        <w:rPr>
          <w:szCs w:val="22"/>
        </w:rPr>
        <w:t xml:space="preserve"> and maintained at</w:t>
      </w:r>
      <w:r w:rsidR="00FE46A8" w:rsidRPr="00C4385E">
        <w:rPr>
          <w:szCs w:val="22"/>
        </w:rPr>
        <w:t xml:space="preserve"> </w:t>
      </w:r>
      <w:r w:rsidR="001048C1" w:rsidRPr="00C4385E">
        <w:rPr>
          <w:szCs w:val="22"/>
        </w:rPr>
        <w:t>37°C in a humidified atmosphere containing 5% CO</w:t>
      </w:r>
      <w:r w:rsidR="001048C1" w:rsidRPr="000A30AC">
        <w:rPr>
          <w:szCs w:val="22"/>
          <w:vertAlign w:val="subscript"/>
        </w:rPr>
        <w:t>2</w:t>
      </w:r>
      <w:r w:rsidR="001048C1" w:rsidRPr="00C4385E">
        <w:rPr>
          <w:szCs w:val="22"/>
        </w:rPr>
        <w:t>. HUVEC</w:t>
      </w:r>
      <w:r w:rsidR="002E516D" w:rsidRPr="00C4385E">
        <w:rPr>
          <w:szCs w:val="22"/>
        </w:rPr>
        <w:t xml:space="preserve"> </w:t>
      </w:r>
      <w:r w:rsidR="001048C1" w:rsidRPr="00C4385E">
        <w:rPr>
          <w:szCs w:val="22"/>
        </w:rPr>
        <w:t>w</w:t>
      </w:r>
      <w:r w:rsidR="002E516D" w:rsidRPr="00C4385E">
        <w:rPr>
          <w:szCs w:val="22"/>
        </w:rPr>
        <w:t>ere</w:t>
      </w:r>
      <w:r w:rsidR="001048C1" w:rsidRPr="00C4385E">
        <w:rPr>
          <w:szCs w:val="22"/>
        </w:rPr>
        <w:t xml:space="preserve"> seeded </w:t>
      </w:r>
      <w:r w:rsidR="002E516D" w:rsidRPr="00C4385E">
        <w:rPr>
          <w:szCs w:val="22"/>
        </w:rPr>
        <w:t>at 1 × 10</w:t>
      </w:r>
      <w:r w:rsidR="002E516D" w:rsidRPr="00C4385E">
        <w:rPr>
          <w:szCs w:val="22"/>
          <w:vertAlign w:val="superscript"/>
        </w:rPr>
        <w:t>5</w:t>
      </w:r>
      <w:r w:rsidR="002E516D" w:rsidRPr="00C4385E">
        <w:rPr>
          <w:szCs w:val="22"/>
        </w:rPr>
        <w:t xml:space="preserve"> cells/well </w:t>
      </w:r>
      <w:r w:rsidR="001048C1" w:rsidRPr="00C4385E">
        <w:rPr>
          <w:szCs w:val="22"/>
        </w:rPr>
        <w:t xml:space="preserve">in the </w:t>
      </w:r>
      <w:r w:rsidR="00AA39E9">
        <w:rPr>
          <w:szCs w:val="22"/>
        </w:rPr>
        <w:lastRenderedPageBreak/>
        <w:t>top</w:t>
      </w:r>
      <w:r w:rsidR="00AA39E9" w:rsidRPr="00C4385E">
        <w:rPr>
          <w:szCs w:val="22"/>
        </w:rPr>
        <w:t xml:space="preserve"> </w:t>
      </w:r>
      <w:r w:rsidR="002E516D" w:rsidRPr="00C4385E">
        <w:rPr>
          <w:szCs w:val="22"/>
        </w:rPr>
        <w:t xml:space="preserve">chamber </w:t>
      </w:r>
      <w:r>
        <w:rPr>
          <w:szCs w:val="22"/>
        </w:rPr>
        <w:t>and</w:t>
      </w:r>
      <w:r w:rsidRPr="00C4385E">
        <w:rPr>
          <w:szCs w:val="22"/>
        </w:rPr>
        <w:t xml:space="preserve"> </w:t>
      </w:r>
      <w:r w:rsidR="001048C1" w:rsidRPr="00C4385E">
        <w:rPr>
          <w:szCs w:val="22"/>
        </w:rPr>
        <w:t>incubated</w:t>
      </w:r>
      <w:r w:rsidR="00FE46A8" w:rsidRPr="00C4385E">
        <w:rPr>
          <w:szCs w:val="22"/>
        </w:rPr>
        <w:t xml:space="preserve"> </w:t>
      </w:r>
      <w:r w:rsidR="001048C1" w:rsidRPr="00C4385E">
        <w:rPr>
          <w:szCs w:val="22"/>
        </w:rPr>
        <w:t xml:space="preserve">for </w:t>
      </w:r>
      <w:r w:rsidR="002E516D" w:rsidRPr="00C4385E">
        <w:rPr>
          <w:szCs w:val="22"/>
        </w:rPr>
        <w:t>48</w:t>
      </w:r>
      <w:r w:rsidR="001048C1" w:rsidRPr="00C4385E">
        <w:rPr>
          <w:szCs w:val="22"/>
        </w:rPr>
        <w:t> h</w:t>
      </w:r>
      <w:r w:rsidR="002E516D" w:rsidRPr="00C4385E">
        <w:rPr>
          <w:szCs w:val="22"/>
        </w:rPr>
        <w:t>ours</w:t>
      </w:r>
      <w:r w:rsidR="001048C1" w:rsidRPr="00C4385E">
        <w:rPr>
          <w:szCs w:val="22"/>
        </w:rPr>
        <w:t xml:space="preserve">. </w:t>
      </w:r>
      <w:r w:rsidR="002E516D" w:rsidRPr="00C4385E">
        <w:rPr>
          <w:szCs w:val="22"/>
        </w:rPr>
        <w:t xml:space="preserve">After changing the medium to starvation medium (containing 0.5% FBS), </w:t>
      </w:r>
      <w:r w:rsidR="00B03224">
        <w:rPr>
          <w:szCs w:val="22"/>
        </w:rPr>
        <w:t xml:space="preserve">Ang1, 2-16A2 or </w:t>
      </w:r>
      <w:r w:rsidR="002E516D" w:rsidRPr="00C4385E">
        <w:rPr>
          <w:szCs w:val="22"/>
        </w:rPr>
        <w:t xml:space="preserve">ASP4021 or Ang1 were added to the cells </w:t>
      </w:r>
      <w:r w:rsidR="00B03224">
        <w:rPr>
          <w:szCs w:val="22"/>
        </w:rPr>
        <w:t xml:space="preserve">at </w:t>
      </w:r>
      <w:r>
        <w:rPr>
          <w:szCs w:val="22"/>
        </w:rPr>
        <w:t xml:space="preserve">a final concentration of </w:t>
      </w:r>
      <w:r w:rsidR="00B03224">
        <w:rPr>
          <w:szCs w:val="22"/>
        </w:rPr>
        <w:t xml:space="preserve">1 </w:t>
      </w:r>
      <w:bookmarkStart w:id="4" w:name="_Hlk69731738"/>
      <w:r w:rsidR="00B03224" w:rsidRPr="001C0D66">
        <w:rPr>
          <w:rFonts w:cs="Times New Roman"/>
        </w:rPr>
        <w:t>μ</w:t>
      </w:r>
      <w:bookmarkEnd w:id="4"/>
      <w:r w:rsidR="00B03224">
        <w:rPr>
          <w:szCs w:val="22"/>
        </w:rPr>
        <w:t>g/mL i</w:t>
      </w:r>
      <w:r w:rsidR="002E516D" w:rsidRPr="00C4385E">
        <w:rPr>
          <w:szCs w:val="22"/>
        </w:rPr>
        <w:t xml:space="preserve">n the </w:t>
      </w:r>
      <w:r w:rsidR="00AA39E9">
        <w:rPr>
          <w:szCs w:val="22"/>
        </w:rPr>
        <w:t>top</w:t>
      </w:r>
      <w:r w:rsidR="00AA39E9" w:rsidRPr="00C4385E">
        <w:rPr>
          <w:szCs w:val="22"/>
        </w:rPr>
        <w:t xml:space="preserve"> </w:t>
      </w:r>
      <w:r w:rsidR="002E516D" w:rsidRPr="00C4385E">
        <w:rPr>
          <w:szCs w:val="22"/>
        </w:rPr>
        <w:t>and bottom chamber</w:t>
      </w:r>
      <w:r>
        <w:rPr>
          <w:szCs w:val="22"/>
        </w:rPr>
        <w:t>s</w:t>
      </w:r>
      <w:r w:rsidR="002E516D" w:rsidRPr="00C4385E">
        <w:rPr>
          <w:szCs w:val="22"/>
        </w:rPr>
        <w:t xml:space="preserve"> and incubated for 30 minutes. </w:t>
      </w:r>
      <w:r w:rsidR="006C3C01">
        <w:rPr>
          <w:szCs w:val="22"/>
        </w:rPr>
        <w:t xml:space="preserve">Human </w:t>
      </w:r>
      <w:r w:rsidR="002E516D" w:rsidRPr="00C4385E">
        <w:rPr>
          <w:szCs w:val="22"/>
        </w:rPr>
        <w:t>IL-1</w:t>
      </w:r>
      <w:bookmarkStart w:id="5" w:name="OLE_LINK1"/>
      <w:r w:rsidR="00F57C8A">
        <w:rPr>
          <w:rFonts w:cs="Times New Roman"/>
          <w:szCs w:val="22"/>
        </w:rPr>
        <w:t>β</w:t>
      </w:r>
      <w:bookmarkEnd w:id="5"/>
      <w:r w:rsidR="002E516D" w:rsidRPr="00C4385E">
        <w:rPr>
          <w:szCs w:val="22"/>
        </w:rPr>
        <w:t xml:space="preserve"> </w:t>
      </w:r>
      <w:r w:rsidR="006C3C01">
        <w:rPr>
          <w:szCs w:val="22"/>
        </w:rPr>
        <w:t>(</w:t>
      </w:r>
      <w:r w:rsidR="006C3C01" w:rsidRPr="006C3C01">
        <w:rPr>
          <w:szCs w:val="22"/>
        </w:rPr>
        <w:t>R&amp;D Systems</w:t>
      </w:r>
      <w:r w:rsidR="006C3C01">
        <w:rPr>
          <w:szCs w:val="22"/>
        </w:rPr>
        <w:t>)</w:t>
      </w:r>
      <w:r w:rsidR="006C3C01" w:rsidRPr="006C3C01">
        <w:rPr>
          <w:szCs w:val="22"/>
        </w:rPr>
        <w:t xml:space="preserve"> </w:t>
      </w:r>
      <w:r w:rsidR="002E516D" w:rsidRPr="00C4385E">
        <w:rPr>
          <w:szCs w:val="22"/>
        </w:rPr>
        <w:t xml:space="preserve">was then added at </w:t>
      </w:r>
      <w:r>
        <w:rPr>
          <w:szCs w:val="22"/>
        </w:rPr>
        <w:t xml:space="preserve">a </w:t>
      </w:r>
      <w:r w:rsidRPr="00C4385E">
        <w:rPr>
          <w:szCs w:val="22"/>
        </w:rPr>
        <w:t xml:space="preserve">final concentration of </w:t>
      </w:r>
      <w:r w:rsidR="00C4385E" w:rsidRPr="00C4385E">
        <w:rPr>
          <w:szCs w:val="22"/>
        </w:rPr>
        <w:t xml:space="preserve">20 ng/mL </w:t>
      </w:r>
      <w:r w:rsidR="002E516D" w:rsidRPr="00C4385E">
        <w:rPr>
          <w:szCs w:val="22"/>
        </w:rPr>
        <w:t xml:space="preserve">to the </w:t>
      </w:r>
      <w:r w:rsidR="00AA39E9">
        <w:rPr>
          <w:szCs w:val="22"/>
        </w:rPr>
        <w:t>top</w:t>
      </w:r>
      <w:r w:rsidR="00AA39E9" w:rsidRPr="00C4385E">
        <w:rPr>
          <w:szCs w:val="22"/>
        </w:rPr>
        <w:t xml:space="preserve"> </w:t>
      </w:r>
      <w:r w:rsidR="00C4385E" w:rsidRPr="00C4385E">
        <w:rPr>
          <w:szCs w:val="22"/>
        </w:rPr>
        <w:t>and bottom chamber</w:t>
      </w:r>
      <w:r>
        <w:rPr>
          <w:szCs w:val="22"/>
        </w:rPr>
        <w:t>s</w:t>
      </w:r>
      <w:r w:rsidR="00EF3A11">
        <w:rPr>
          <w:szCs w:val="22"/>
        </w:rPr>
        <w:t xml:space="preserve"> and incubated for 20 hours</w:t>
      </w:r>
      <w:r w:rsidR="00C4385E" w:rsidRPr="00C4385E">
        <w:rPr>
          <w:szCs w:val="22"/>
        </w:rPr>
        <w:t xml:space="preserve">. Fluorescein isothiocyanate (FITC)-dextran (Travigen) was added to the treated cells in the </w:t>
      </w:r>
      <w:r w:rsidR="00AA39E9">
        <w:rPr>
          <w:szCs w:val="22"/>
        </w:rPr>
        <w:t>top</w:t>
      </w:r>
      <w:r w:rsidR="00AA39E9" w:rsidRPr="00C4385E">
        <w:rPr>
          <w:szCs w:val="22"/>
        </w:rPr>
        <w:t xml:space="preserve"> </w:t>
      </w:r>
      <w:r w:rsidR="00C4385E" w:rsidRPr="00C4385E">
        <w:rPr>
          <w:szCs w:val="22"/>
        </w:rPr>
        <w:t>chamber</w:t>
      </w:r>
      <w:r w:rsidR="00EF3A11">
        <w:rPr>
          <w:szCs w:val="22"/>
        </w:rPr>
        <w:t xml:space="preserve"> for 30 minutes</w:t>
      </w:r>
      <w:r w:rsidR="00C4385E" w:rsidRPr="00C4385E">
        <w:rPr>
          <w:szCs w:val="22"/>
        </w:rPr>
        <w:t>. The medium in the bottom chamber was transferred to a 96-well plate and fluorescence (485 nm excitation</w:t>
      </w:r>
      <w:r w:rsidR="00AA39E9">
        <w:rPr>
          <w:szCs w:val="22"/>
        </w:rPr>
        <w:t>,</w:t>
      </w:r>
      <w:r w:rsidR="00C4385E" w:rsidRPr="00C4385E">
        <w:rPr>
          <w:szCs w:val="22"/>
        </w:rPr>
        <w:t xml:space="preserve"> 520 nm emission) was measured using the Safire2 </w:t>
      </w:r>
      <w:r w:rsidRPr="00C4385E">
        <w:rPr>
          <w:szCs w:val="22"/>
        </w:rPr>
        <w:t xml:space="preserve">plate reader </w:t>
      </w:r>
      <w:r w:rsidR="00C4385E" w:rsidRPr="00C4385E">
        <w:rPr>
          <w:szCs w:val="22"/>
        </w:rPr>
        <w:t xml:space="preserve">(Tecan). </w:t>
      </w:r>
      <w:r w:rsidR="001048C1">
        <w:rPr>
          <w:b/>
          <w:sz w:val="24"/>
          <w:szCs w:val="24"/>
        </w:rPr>
        <w:br w:type="page"/>
      </w:r>
    </w:p>
    <w:p w14:paraId="5432B142" w14:textId="4E7B9268" w:rsidR="00C36768" w:rsidRPr="00575E33" w:rsidRDefault="00C36768" w:rsidP="00C36768">
      <w:pPr>
        <w:widowControl/>
        <w:spacing w:line="480" w:lineRule="auto"/>
        <w:jc w:val="left"/>
        <w:rPr>
          <w:b/>
          <w:sz w:val="24"/>
          <w:szCs w:val="24"/>
        </w:rPr>
      </w:pPr>
      <w:r w:rsidRPr="00575E33">
        <w:rPr>
          <w:b/>
          <w:sz w:val="24"/>
          <w:szCs w:val="24"/>
        </w:rPr>
        <w:t xml:space="preserve">2. </w:t>
      </w:r>
      <w:r w:rsidR="00A104FC" w:rsidRPr="001048C1">
        <w:rPr>
          <w:b/>
          <w:sz w:val="24"/>
          <w:szCs w:val="24"/>
        </w:rPr>
        <w:t xml:space="preserve">Supplementary </w:t>
      </w:r>
      <w:r w:rsidRPr="00575E33">
        <w:rPr>
          <w:b/>
          <w:sz w:val="24"/>
          <w:szCs w:val="24"/>
        </w:rPr>
        <w:t>Results</w:t>
      </w:r>
    </w:p>
    <w:p w14:paraId="044FBE78" w14:textId="7C368BFF" w:rsidR="00C36768" w:rsidRDefault="00CC633F" w:rsidP="00C36768">
      <w:pPr>
        <w:widowControl/>
        <w:spacing w:line="480" w:lineRule="auto"/>
        <w:ind w:leftChars="67" w:left="849" w:hangingChars="336" w:hanging="708"/>
        <w:jc w:val="left"/>
        <w:rPr>
          <w:b/>
          <w:szCs w:val="22"/>
        </w:rPr>
      </w:pPr>
      <w:r>
        <w:rPr>
          <w:b/>
          <w:noProof/>
          <w:szCs w:val="22"/>
          <w:lang w:eastAsia="en-US"/>
        </w:rPr>
        <w:drawing>
          <wp:inline distT="0" distB="0" distL="0" distR="0" wp14:anchorId="10F24392" wp14:editId="558EC7C1">
            <wp:extent cx="4064321" cy="32385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282" cy="325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78445" w14:textId="0DFEA1B0" w:rsidR="00C36768" w:rsidRPr="00241A36" w:rsidRDefault="00C36768" w:rsidP="00241A36">
      <w:pPr>
        <w:widowControl/>
        <w:spacing w:line="480" w:lineRule="auto"/>
        <w:ind w:leftChars="67" w:left="142" w:hanging="1"/>
        <w:jc w:val="left"/>
        <w:rPr>
          <w:bCs/>
          <w:szCs w:val="22"/>
        </w:rPr>
      </w:pPr>
      <w:r w:rsidRPr="001D5DFB">
        <w:rPr>
          <w:b/>
          <w:color w:val="000000" w:themeColor="text1"/>
          <w:szCs w:val="22"/>
        </w:rPr>
        <w:t>Supplementary Figure</w:t>
      </w:r>
      <w:r w:rsidRPr="001D5DFB">
        <w:rPr>
          <w:rFonts w:hint="eastAsia"/>
          <w:b/>
          <w:color w:val="000000" w:themeColor="text1"/>
          <w:szCs w:val="22"/>
        </w:rPr>
        <w:t xml:space="preserve"> </w:t>
      </w:r>
      <w:r w:rsidRPr="001D5DFB">
        <w:rPr>
          <w:b/>
          <w:color w:val="000000" w:themeColor="text1"/>
          <w:szCs w:val="22"/>
        </w:rPr>
        <w:t>S</w:t>
      </w:r>
      <w:r w:rsidR="001D5DFB">
        <w:rPr>
          <w:b/>
          <w:color w:val="000000" w:themeColor="text1"/>
          <w:szCs w:val="22"/>
        </w:rPr>
        <w:t>1</w:t>
      </w:r>
      <w:r w:rsidRPr="001D5DFB">
        <w:rPr>
          <w:b/>
          <w:color w:val="000000" w:themeColor="text1"/>
          <w:szCs w:val="22"/>
        </w:rPr>
        <w:t xml:space="preserve"> </w:t>
      </w:r>
      <w:r w:rsidR="002717A8" w:rsidRPr="001D5DFB">
        <w:rPr>
          <w:b/>
          <w:color w:val="000000" w:themeColor="text1"/>
          <w:szCs w:val="22"/>
        </w:rPr>
        <w:t>Fr</w:t>
      </w:r>
      <w:r w:rsidR="002717A8" w:rsidRPr="002717A8">
        <w:rPr>
          <w:b/>
          <w:szCs w:val="22"/>
        </w:rPr>
        <w:t>actionation of antibod</w:t>
      </w:r>
      <w:r w:rsidR="00A60891">
        <w:rPr>
          <w:b/>
          <w:szCs w:val="22"/>
        </w:rPr>
        <w:t>ies</w:t>
      </w:r>
      <w:r w:rsidR="002717A8" w:rsidRPr="002717A8">
        <w:rPr>
          <w:b/>
          <w:szCs w:val="22"/>
        </w:rPr>
        <w:t xml:space="preserve"> using size exclusion chromatography</w:t>
      </w:r>
      <w:r w:rsidR="00AA39E9">
        <w:rPr>
          <w:b/>
          <w:szCs w:val="22"/>
        </w:rPr>
        <w:t xml:space="preserve"> (SEC)</w:t>
      </w:r>
      <w:r w:rsidR="002717A8">
        <w:rPr>
          <w:b/>
          <w:szCs w:val="22"/>
        </w:rPr>
        <w:t>|</w:t>
      </w:r>
      <w:r w:rsidR="002717A8" w:rsidRPr="002717A8">
        <w:rPr>
          <w:b/>
          <w:szCs w:val="22"/>
        </w:rPr>
        <w:t xml:space="preserve"> </w:t>
      </w:r>
      <w:r w:rsidR="00A60891">
        <w:rPr>
          <w:bCs/>
          <w:szCs w:val="22"/>
        </w:rPr>
        <w:t>C</w:t>
      </w:r>
      <w:r w:rsidR="00097426" w:rsidRPr="00097426">
        <w:rPr>
          <w:bCs/>
          <w:szCs w:val="22"/>
        </w:rPr>
        <w:t>hromatogra</w:t>
      </w:r>
      <w:r w:rsidR="00AF2B29">
        <w:rPr>
          <w:bCs/>
          <w:szCs w:val="22"/>
        </w:rPr>
        <w:t>m</w:t>
      </w:r>
      <w:r w:rsidR="00097426">
        <w:rPr>
          <w:bCs/>
          <w:szCs w:val="22"/>
        </w:rPr>
        <w:t xml:space="preserve"> and fractionation of antibod</w:t>
      </w:r>
      <w:r w:rsidR="00AF2B29">
        <w:rPr>
          <w:bCs/>
          <w:szCs w:val="22"/>
        </w:rPr>
        <w:t>ies</w:t>
      </w:r>
      <w:r w:rsidR="00097426">
        <w:rPr>
          <w:bCs/>
          <w:szCs w:val="22"/>
        </w:rPr>
        <w:t xml:space="preserve"> using SEC. F</w:t>
      </w:r>
      <w:r w:rsidR="00BF53A5" w:rsidRPr="00241A36">
        <w:rPr>
          <w:bCs/>
          <w:szCs w:val="22"/>
        </w:rPr>
        <w:t xml:space="preserve">or antibody fractionation by SEC, antibody purified </w:t>
      </w:r>
      <w:r w:rsidR="00AF2B29">
        <w:rPr>
          <w:bCs/>
          <w:szCs w:val="22"/>
        </w:rPr>
        <w:t>using</w:t>
      </w:r>
      <w:r w:rsidR="00AF2B29" w:rsidRPr="00241A36">
        <w:rPr>
          <w:bCs/>
          <w:szCs w:val="22"/>
        </w:rPr>
        <w:t xml:space="preserve"> </w:t>
      </w:r>
      <w:r w:rsidR="00BF53A5" w:rsidRPr="00241A36">
        <w:rPr>
          <w:bCs/>
          <w:szCs w:val="22"/>
        </w:rPr>
        <w:t>affinity chromatography (</w:t>
      </w:r>
      <w:r w:rsidR="008F690D">
        <w:rPr>
          <w:bCs/>
          <w:szCs w:val="22"/>
        </w:rPr>
        <w:t>118</w:t>
      </w:r>
      <w:r w:rsidR="00BF53A5" w:rsidRPr="00241A36">
        <w:rPr>
          <w:bCs/>
          <w:szCs w:val="22"/>
        </w:rPr>
        <w:t xml:space="preserve"> mg) was </w:t>
      </w:r>
      <w:r w:rsidR="00AF2B29">
        <w:rPr>
          <w:bCs/>
          <w:szCs w:val="22"/>
        </w:rPr>
        <w:t>injected</w:t>
      </w:r>
      <w:r w:rsidR="00AF2B29" w:rsidRPr="00241A36">
        <w:rPr>
          <w:bCs/>
          <w:szCs w:val="22"/>
        </w:rPr>
        <w:t xml:space="preserve"> </w:t>
      </w:r>
      <w:r w:rsidR="00AF2B29">
        <w:rPr>
          <w:bCs/>
          <w:szCs w:val="22"/>
        </w:rPr>
        <w:t>in</w:t>
      </w:r>
      <w:r w:rsidR="00BF53A5" w:rsidRPr="00241A36">
        <w:rPr>
          <w:bCs/>
          <w:szCs w:val="22"/>
        </w:rPr>
        <w:t xml:space="preserve">to a HiLoad </w:t>
      </w:r>
      <w:r w:rsidR="008F690D">
        <w:rPr>
          <w:bCs/>
          <w:szCs w:val="22"/>
        </w:rPr>
        <w:t>2</w:t>
      </w:r>
      <w:r w:rsidR="00BF53A5" w:rsidRPr="00241A36">
        <w:rPr>
          <w:bCs/>
          <w:szCs w:val="22"/>
        </w:rPr>
        <w:t xml:space="preserve">6/60 Superdex 200 PG column equilibrated and eluted with PBS at a flow rate of </w:t>
      </w:r>
      <w:r w:rsidR="008F690D">
        <w:rPr>
          <w:bCs/>
          <w:szCs w:val="22"/>
        </w:rPr>
        <w:t>2.5</w:t>
      </w:r>
      <w:r w:rsidR="00BF53A5" w:rsidRPr="00241A36">
        <w:rPr>
          <w:bCs/>
          <w:szCs w:val="22"/>
        </w:rPr>
        <w:t xml:space="preserve"> ml/min</w:t>
      </w:r>
      <w:r w:rsidR="00660238">
        <w:rPr>
          <w:bCs/>
          <w:szCs w:val="22"/>
        </w:rPr>
        <w:t xml:space="preserve"> using AKTA explorer 100</w:t>
      </w:r>
      <w:r w:rsidR="00BF53A5" w:rsidRPr="00241A36">
        <w:rPr>
          <w:bCs/>
          <w:szCs w:val="22"/>
        </w:rPr>
        <w:t xml:space="preserve">. </w:t>
      </w:r>
      <w:r w:rsidR="00473B15">
        <w:rPr>
          <w:bCs/>
          <w:szCs w:val="22"/>
        </w:rPr>
        <w:t>I</w:t>
      </w:r>
      <w:r w:rsidR="00AF2B29">
        <w:rPr>
          <w:bCs/>
          <w:szCs w:val="22"/>
        </w:rPr>
        <w:t>nsert shows an e</w:t>
      </w:r>
      <w:r w:rsidR="00AF2B29" w:rsidRPr="00660238">
        <w:rPr>
          <w:bCs/>
          <w:szCs w:val="22"/>
        </w:rPr>
        <w:t xml:space="preserve">nlarged </w:t>
      </w:r>
      <w:r w:rsidR="00AF2B29">
        <w:rPr>
          <w:bCs/>
          <w:szCs w:val="22"/>
        </w:rPr>
        <w:t xml:space="preserve">view of the </w:t>
      </w:r>
      <w:r w:rsidR="00473B15">
        <w:rPr>
          <w:bCs/>
          <w:szCs w:val="22"/>
        </w:rPr>
        <w:t xml:space="preserve">region of the </w:t>
      </w:r>
      <w:r w:rsidR="0089724D">
        <w:rPr>
          <w:bCs/>
          <w:szCs w:val="22"/>
        </w:rPr>
        <w:t xml:space="preserve">SEC </w:t>
      </w:r>
      <w:r w:rsidR="00AF2B29">
        <w:rPr>
          <w:bCs/>
          <w:szCs w:val="22"/>
        </w:rPr>
        <w:t>c</w:t>
      </w:r>
      <w:r w:rsidR="00AF2B29" w:rsidRPr="00097426">
        <w:rPr>
          <w:bCs/>
          <w:szCs w:val="22"/>
        </w:rPr>
        <w:t>hromatogra</w:t>
      </w:r>
      <w:r w:rsidR="00AF2B29">
        <w:rPr>
          <w:bCs/>
          <w:szCs w:val="22"/>
        </w:rPr>
        <w:t xml:space="preserve">m enclosed by the </w:t>
      </w:r>
      <w:r w:rsidR="00660238" w:rsidRPr="00660238">
        <w:rPr>
          <w:bCs/>
          <w:szCs w:val="22"/>
        </w:rPr>
        <w:t xml:space="preserve">red </w:t>
      </w:r>
      <w:r w:rsidR="0089724D">
        <w:rPr>
          <w:bCs/>
          <w:szCs w:val="22"/>
        </w:rPr>
        <w:t xml:space="preserve">box. </w:t>
      </w:r>
      <w:r w:rsidR="00BF53A5" w:rsidRPr="00241A36">
        <w:rPr>
          <w:bCs/>
          <w:szCs w:val="22"/>
        </w:rPr>
        <w:t xml:space="preserve">Each fraction was collected </w:t>
      </w:r>
      <w:r w:rsidR="00AF2B29">
        <w:rPr>
          <w:bCs/>
          <w:szCs w:val="22"/>
        </w:rPr>
        <w:t>at</w:t>
      </w:r>
      <w:r w:rsidR="00BF53A5" w:rsidRPr="00241A36">
        <w:rPr>
          <w:bCs/>
          <w:szCs w:val="22"/>
        </w:rPr>
        <w:t xml:space="preserve"> 5 mL/</w:t>
      </w:r>
      <w:r w:rsidR="008F690D">
        <w:rPr>
          <w:bCs/>
          <w:szCs w:val="22"/>
        </w:rPr>
        <w:t>fraction</w:t>
      </w:r>
      <w:r w:rsidR="00AF2B29">
        <w:rPr>
          <w:bCs/>
          <w:szCs w:val="22"/>
        </w:rPr>
        <w:t xml:space="preserve"> into a tube</w:t>
      </w:r>
      <w:r w:rsidR="00BF53A5" w:rsidRPr="00241A36">
        <w:rPr>
          <w:bCs/>
          <w:szCs w:val="22"/>
        </w:rPr>
        <w:t xml:space="preserve">. </w:t>
      </w:r>
      <w:r w:rsidR="00AF2B29">
        <w:rPr>
          <w:bCs/>
          <w:szCs w:val="22"/>
        </w:rPr>
        <w:t>P</w:t>
      </w:r>
      <w:r w:rsidR="00EE560E">
        <w:rPr>
          <w:bCs/>
          <w:szCs w:val="22"/>
        </w:rPr>
        <w:t>eak 1 (f</w:t>
      </w:r>
      <w:r w:rsidR="00BF53A5" w:rsidRPr="00241A36">
        <w:rPr>
          <w:bCs/>
          <w:szCs w:val="22"/>
        </w:rPr>
        <w:t xml:space="preserve">raction </w:t>
      </w:r>
      <w:r w:rsidR="00F2122C">
        <w:rPr>
          <w:rFonts w:hint="eastAsia"/>
          <w:bCs/>
          <w:szCs w:val="22"/>
        </w:rPr>
        <w:t>n</w:t>
      </w:r>
      <w:r w:rsidR="00F2122C">
        <w:rPr>
          <w:bCs/>
          <w:szCs w:val="22"/>
        </w:rPr>
        <w:t xml:space="preserve">umber </w:t>
      </w:r>
      <w:r w:rsidR="008F690D">
        <w:rPr>
          <w:bCs/>
          <w:szCs w:val="22"/>
        </w:rPr>
        <w:t>B4</w:t>
      </w:r>
      <w:r w:rsidR="00F2122C">
        <w:rPr>
          <w:bCs/>
          <w:szCs w:val="22"/>
        </w:rPr>
        <w:t xml:space="preserve"> to </w:t>
      </w:r>
      <w:r w:rsidR="008F690D">
        <w:rPr>
          <w:bCs/>
          <w:szCs w:val="22"/>
        </w:rPr>
        <w:t>B1</w:t>
      </w:r>
      <w:r w:rsidR="00EE560E">
        <w:rPr>
          <w:bCs/>
          <w:szCs w:val="22"/>
        </w:rPr>
        <w:t>)</w:t>
      </w:r>
      <w:r w:rsidR="00BF53A5" w:rsidRPr="00241A36">
        <w:rPr>
          <w:bCs/>
          <w:szCs w:val="22"/>
        </w:rPr>
        <w:t xml:space="preserve"> in </w:t>
      </w:r>
      <w:r w:rsidR="00EE560E">
        <w:rPr>
          <w:bCs/>
          <w:szCs w:val="22"/>
        </w:rPr>
        <w:t>the chart</w:t>
      </w:r>
      <w:r w:rsidR="00BF53A5" w:rsidRPr="00241A36">
        <w:rPr>
          <w:bCs/>
          <w:szCs w:val="22"/>
        </w:rPr>
        <w:t xml:space="preserve"> </w:t>
      </w:r>
      <w:r w:rsidR="00AF2B29">
        <w:rPr>
          <w:bCs/>
          <w:szCs w:val="22"/>
        </w:rPr>
        <w:t>was</w:t>
      </w:r>
      <w:r w:rsidR="00AF2B29" w:rsidRPr="00241A36">
        <w:rPr>
          <w:bCs/>
          <w:szCs w:val="22"/>
        </w:rPr>
        <w:t xml:space="preserve"> </w:t>
      </w:r>
      <w:r w:rsidR="00BF53A5" w:rsidRPr="00241A36">
        <w:rPr>
          <w:bCs/>
          <w:szCs w:val="22"/>
        </w:rPr>
        <w:t xml:space="preserve">collected as </w:t>
      </w:r>
      <w:r w:rsidR="00AF2B29">
        <w:rPr>
          <w:bCs/>
          <w:szCs w:val="22"/>
        </w:rPr>
        <w:t xml:space="preserve">the </w:t>
      </w:r>
      <w:r w:rsidR="00BF53A5" w:rsidRPr="00241A36">
        <w:rPr>
          <w:bCs/>
          <w:szCs w:val="22"/>
        </w:rPr>
        <w:t>HMW</w:t>
      </w:r>
      <w:r w:rsidR="00EE560E">
        <w:rPr>
          <w:bCs/>
          <w:szCs w:val="22"/>
        </w:rPr>
        <w:t xml:space="preserve"> fraction</w:t>
      </w:r>
      <w:r w:rsidR="00BF53A5" w:rsidRPr="00241A36">
        <w:rPr>
          <w:bCs/>
          <w:szCs w:val="22"/>
        </w:rPr>
        <w:t xml:space="preserve">, </w:t>
      </w:r>
      <w:r w:rsidR="00EE560E">
        <w:rPr>
          <w:bCs/>
          <w:szCs w:val="22"/>
        </w:rPr>
        <w:t>peak 2</w:t>
      </w:r>
      <w:r w:rsidR="008F690D" w:rsidRPr="00241A36">
        <w:rPr>
          <w:bCs/>
          <w:szCs w:val="22"/>
        </w:rPr>
        <w:t xml:space="preserve"> </w:t>
      </w:r>
      <w:r w:rsidR="00EE560E">
        <w:rPr>
          <w:bCs/>
          <w:szCs w:val="22"/>
        </w:rPr>
        <w:t xml:space="preserve">(fraction </w:t>
      </w:r>
      <w:r w:rsidR="00F2122C">
        <w:rPr>
          <w:bCs/>
          <w:szCs w:val="22"/>
        </w:rPr>
        <w:t xml:space="preserve">number </w:t>
      </w:r>
      <w:r w:rsidR="008F690D">
        <w:rPr>
          <w:bCs/>
          <w:szCs w:val="22"/>
        </w:rPr>
        <w:t>C3</w:t>
      </w:r>
      <w:r w:rsidR="00F2122C">
        <w:rPr>
          <w:bCs/>
          <w:szCs w:val="22"/>
        </w:rPr>
        <w:t xml:space="preserve"> to </w:t>
      </w:r>
      <w:r w:rsidR="008F690D">
        <w:rPr>
          <w:bCs/>
          <w:szCs w:val="22"/>
        </w:rPr>
        <w:t>C5</w:t>
      </w:r>
      <w:r w:rsidR="00EE560E">
        <w:rPr>
          <w:bCs/>
          <w:szCs w:val="22"/>
        </w:rPr>
        <w:t>)</w:t>
      </w:r>
      <w:r w:rsidR="00BF53A5" w:rsidRPr="00241A36">
        <w:rPr>
          <w:bCs/>
          <w:szCs w:val="22"/>
        </w:rPr>
        <w:t xml:space="preserve"> as </w:t>
      </w:r>
      <w:r w:rsidR="00EE560E">
        <w:rPr>
          <w:bCs/>
          <w:szCs w:val="22"/>
        </w:rPr>
        <w:t xml:space="preserve">the </w:t>
      </w:r>
      <w:r w:rsidR="00BF53A5" w:rsidRPr="00241A36">
        <w:rPr>
          <w:bCs/>
          <w:szCs w:val="22"/>
        </w:rPr>
        <w:t>dimer</w:t>
      </w:r>
      <w:r w:rsidR="00EE560E">
        <w:rPr>
          <w:bCs/>
          <w:szCs w:val="22"/>
        </w:rPr>
        <w:t xml:space="preserve"> fraction</w:t>
      </w:r>
      <w:r w:rsidR="00BF53A5" w:rsidRPr="00241A36">
        <w:rPr>
          <w:bCs/>
          <w:szCs w:val="22"/>
        </w:rPr>
        <w:t>,</w:t>
      </w:r>
      <w:r w:rsidR="00EE560E">
        <w:rPr>
          <w:bCs/>
          <w:szCs w:val="22"/>
        </w:rPr>
        <w:t xml:space="preserve"> and peak 3</w:t>
      </w:r>
      <w:r w:rsidR="00BF53A5" w:rsidRPr="00241A36">
        <w:rPr>
          <w:bCs/>
          <w:szCs w:val="22"/>
        </w:rPr>
        <w:t xml:space="preserve"> </w:t>
      </w:r>
      <w:r w:rsidR="00EE560E">
        <w:rPr>
          <w:bCs/>
          <w:szCs w:val="22"/>
        </w:rPr>
        <w:t>(fraction</w:t>
      </w:r>
      <w:r w:rsidR="000D2799">
        <w:rPr>
          <w:bCs/>
          <w:szCs w:val="22"/>
        </w:rPr>
        <w:t xml:space="preserve"> number</w:t>
      </w:r>
      <w:r w:rsidR="00EE560E">
        <w:rPr>
          <w:bCs/>
          <w:szCs w:val="22"/>
        </w:rPr>
        <w:t xml:space="preserve"> </w:t>
      </w:r>
      <w:r w:rsidR="008F690D">
        <w:rPr>
          <w:bCs/>
          <w:szCs w:val="22"/>
        </w:rPr>
        <w:t>C7</w:t>
      </w:r>
      <w:r w:rsidR="000D2799">
        <w:rPr>
          <w:bCs/>
          <w:szCs w:val="22"/>
        </w:rPr>
        <w:t xml:space="preserve"> to </w:t>
      </w:r>
      <w:r w:rsidR="008F690D">
        <w:rPr>
          <w:bCs/>
          <w:szCs w:val="22"/>
        </w:rPr>
        <w:t>C12</w:t>
      </w:r>
      <w:r w:rsidR="00EE560E">
        <w:rPr>
          <w:bCs/>
          <w:szCs w:val="22"/>
        </w:rPr>
        <w:t>)</w:t>
      </w:r>
      <w:r w:rsidR="00BF53A5" w:rsidRPr="00241A36">
        <w:rPr>
          <w:bCs/>
          <w:szCs w:val="22"/>
        </w:rPr>
        <w:t xml:space="preserve"> as</w:t>
      </w:r>
      <w:r w:rsidR="00AF2B29">
        <w:rPr>
          <w:bCs/>
          <w:szCs w:val="22"/>
        </w:rPr>
        <w:t xml:space="preserve"> the</w:t>
      </w:r>
      <w:r w:rsidR="00BF53A5" w:rsidRPr="00241A36">
        <w:rPr>
          <w:bCs/>
          <w:szCs w:val="22"/>
        </w:rPr>
        <w:t xml:space="preserve"> monomer</w:t>
      </w:r>
      <w:r w:rsidR="00EE560E">
        <w:rPr>
          <w:bCs/>
          <w:szCs w:val="22"/>
        </w:rPr>
        <w:t xml:space="preserve"> fraction</w:t>
      </w:r>
      <w:r w:rsidR="00BF53A5" w:rsidRPr="00241A36">
        <w:rPr>
          <w:bCs/>
          <w:szCs w:val="22"/>
        </w:rPr>
        <w:t>.</w:t>
      </w:r>
      <w:r w:rsidR="00660238">
        <w:rPr>
          <w:bCs/>
          <w:szCs w:val="22"/>
        </w:rPr>
        <w:t xml:space="preserve"> </w:t>
      </w:r>
    </w:p>
    <w:p w14:paraId="28B0F69F" w14:textId="70CB2B9C" w:rsidR="00C36768" w:rsidRPr="004A26FC" w:rsidRDefault="00C36768" w:rsidP="004A26FC">
      <w:pPr>
        <w:widowControl/>
        <w:jc w:val="left"/>
        <w:rPr>
          <w:b/>
          <w:szCs w:val="22"/>
          <w:lang w:val="en-AU"/>
        </w:rPr>
      </w:pPr>
      <w:r w:rsidRPr="00241A36">
        <w:rPr>
          <w:bCs/>
          <w:szCs w:val="22"/>
        </w:rPr>
        <w:br w:type="page"/>
      </w:r>
      <w:r w:rsidR="00660238">
        <w:rPr>
          <w:bCs/>
          <w:szCs w:val="22"/>
        </w:rPr>
        <w:t xml:space="preserve"> </w:t>
      </w:r>
      <w:r w:rsidR="002E122D">
        <w:rPr>
          <w:b/>
          <w:noProof/>
          <w:szCs w:val="22"/>
          <w:lang w:eastAsia="en-US"/>
        </w:rPr>
        <w:drawing>
          <wp:inline distT="0" distB="0" distL="0" distR="0" wp14:anchorId="5612E0BA" wp14:editId="65719C4E">
            <wp:extent cx="5981084" cy="3374094"/>
            <wp:effectExtent l="0" t="0" r="635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97" cy="339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D8DD7" w14:textId="71F3B8E7" w:rsidR="00480F56" w:rsidRDefault="00C36768" w:rsidP="004A26FC">
      <w:pPr>
        <w:widowControl/>
        <w:spacing w:line="480" w:lineRule="auto"/>
        <w:ind w:leftChars="67" w:left="142" w:hanging="1"/>
        <w:jc w:val="left"/>
        <w:rPr>
          <w:bCs/>
        </w:rPr>
      </w:pPr>
      <w:r w:rsidRPr="001D5DFB">
        <w:rPr>
          <w:b/>
          <w:color w:val="000000" w:themeColor="text1"/>
          <w:szCs w:val="22"/>
        </w:rPr>
        <w:t>Supplementary Figure S</w:t>
      </w:r>
      <w:r w:rsidR="001D5DFB">
        <w:rPr>
          <w:b/>
          <w:color w:val="000000" w:themeColor="text1"/>
          <w:szCs w:val="22"/>
        </w:rPr>
        <w:t>2</w:t>
      </w:r>
      <w:r w:rsidRPr="001D5DFB">
        <w:rPr>
          <w:b/>
          <w:color w:val="000000" w:themeColor="text1"/>
          <w:szCs w:val="22"/>
        </w:rPr>
        <w:t xml:space="preserve"> </w:t>
      </w:r>
      <w:r w:rsidR="002717A8" w:rsidRPr="001D5DFB">
        <w:rPr>
          <w:b/>
          <w:color w:val="000000" w:themeColor="text1"/>
          <w:szCs w:val="22"/>
        </w:rPr>
        <w:t>Pu</w:t>
      </w:r>
      <w:r w:rsidR="002717A8" w:rsidRPr="00480F56">
        <w:rPr>
          <w:b/>
          <w:color w:val="000000" w:themeColor="text1"/>
          <w:szCs w:val="22"/>
        </w:rPr>
        <w:t xml:space="preserve">rity analysis of </w:t>
      </w:r>
      <w:r w:rsidRPr="00480F56">
        <w:rPr>
          <w:b/>
          <w:color w:val="000000" w:themeColor="text1"/>
        </w:rPr>
        <w:t xml:space="preserve">monomer, dimer and high molecular weight (HMW) </w:t>
      </w:r>
      <w:r w:rsidR="002717A8" w:rsidRPr="00480F56">
        <w:rPr>
          <w:b/>
          <w:color w:val="000000" w:themeColor="text1"/>
        </w:rPr>
        <w:t>antibod</w:t>
      </w:r>
      <w:r w:rsidR="00AF2B29" w:rsidRPr="00480F56">
        <w:rPr>
          <w:b/>
          <w:color w:val="000000" w:themeColor="text1"/>
        </w:rPr>
        <w:t>ies</w:t>
      </w:r>
      <w:r w:rsidR="002717A8" w:rsidRPr="00480F56">
        <w:rPr>
          <w:b/>
          <w:color w:val="000000" w:themeColor="text1"/>
        </w:rPr>
        <w:t xml:space="preserve"> using SDS-PAGE and </w:t>
      </w:r>
      <w:r w:rsidR="00AA39E9" w:rsidRPr="00480F56">
        <w:rPr>
          <w:b/>
          <w:color w:val="000000" w:themeColor="text1"/>
          <w:szCs w:val="22"/>
        </w:rPr>
        <w:t>SEC</w:t>
      </w:r>
      <w:r w:rsidR="00241A36" w:rsidRPr="00241A36">
        <w:rPr>
          <w:b/>
        </w:rPr>
        <w:t>|</w:t>
      </w:r>
      <w:r w:rsidR="00241A36">
        <w:rPr>
          <w:bCs/>
        </w:rPr>
        <w:t xml:space="preserve"> a</w:t>
      </w:r>
      <w:r w:rsidR="002717A8">
        <w:rPr>
          <w:bCs/>
        </w:rPr>
        <w:t>, SDS-PAGE analysis of monomer, dimer and HMW antibod</w:t>
      </w:r>
      <w:r w:rsidR="00AF2B29">
        <w:rPr>
          <w:bCs/>
        </w:rPr>
        <w:t>ies</w:t>
      </w:r>
      <w:r w:rsidR="002717A8">
        <w:rPr>
          <w:bCs/>
        </w:rPr>
        <w:t xml:space="preserve"> purified using SEC (</w:t>
      </w:r>
      <w:r w:rsidR="002717A8" w:rsidRPr="002717A8">
        <w:rPr>
          <w:bCs/>
        </w:rPr>
        <w:t>Supplementary Fig.S</w:t>
      </w:r>
      <w:r w:rsidR="00E631E2">
        <w:rPr>
          <w:rFonts w:hint="eastAsia"/>
          <w:bCs/>
        </w:rPr>
        <w:t>1</w:t>
      </w:r>
      <w:r w:rsidR="002717A8">
        <w:rPr>
          <w:bCs/>
        </w:rPr>
        <w:t xml:space="preserve">) </w:t>
      </w:r>
      <w:r w:rsidR="002717A8" w:rsidRPr="00CC45A4">
        <w:t xml:space="preserve">under </w:t>
      </w:r>
      <w:r w:rsidR="002717A8">
        <w:t>non-</w:t>
      </w:r>
      <w:r w:rsidR="002717A8" w:rsidRPr="00CC45A4">
        <w:t>reduced (left) and reduced (right) conditions. Molecular weight</w:t>
      </w:r>
      <w:r w:rsidR="002717A8">
        <w:t>s</w:t>
      </w:r>
      <w:r w:rsidR="002717A8" w:rsidRPr="00CC45A4">
        <w:t xml:space="preserve"> (kDa) are indicated on the left</w:t>
      </w:r>
      <w:r w:rsidR="002717A8">
        <w:t xml:space="preserve"> of each gel</w:t>
      </w:r>
      <w:r w:rsidR="002717A8" w:rsidRPr="00CC45A4">
        <w:t>.</w:t>
      </w:r>
      <w:r w:rsidR="002717A8">
        <w:rPr>
          <w:bCs/>
        </w:rPr>
        <w:t xml:space="preserve"> b, Table </w:t>
      </w:r>
      <w:r w:rsidR="00AF2B29">
        <w:rPr>
          <w:bCs/>
        </w:rPr>
        <w:t>summarizing the results of</w:t>
      </w:r>
      <w:r w:rsidR="00584231">
        <w:rPr>
          <w:bCs/>
        </w:rPr>
        <w:t xml:space="preserve"> </w:t>
      </w:r>
      <w:r w:rsidR="002717A8">
        <w:rPr>
          <w:bCs/>
        </w:rPr>
        <w:t>SEC analysis</w:t>
      </w:r>
      <w:r w:rsidR="007B0A63">
        <w:rPr>
          <w:bCs/>
        </w:rPr>
        <w:t xml:space="preserve"> using </w:t>
      </w:r>
      <w:r w:rsidR="007B0A63" w:rsidRPr="007B0A63">
        <w:rPr>
          <w:bCs/>
        </w:rPr>
        <w:t>TSK</w:t>
      </w:r>
      <w:r w:rsidR="00EA6EE6">
        <w:rPr>
          <w:bCs/>
        </w:rPr>
        <w:t xml:space="preserve"> </w:t>
      </w:r>
      <w:r w:rsidR="007B0A63" w:rsidRPr="007B0A63">
        <w:rPr>
          <w:bCs/>
        </w:rPr>
        <w:t>gel G3000SW equilibrated and eluted with PBS at a flow rate of 0.5 mL/min</w:t>
      </w:r>
      <w:r w:rsidR="00584231">
        <w:rPr>
          <w:bCs/>
        </w:rPr>
        <w:t xml:space="preserve">. </w:t>
      </w:r>
      <w:r w:rsidR="00AF2B29">
        <w:rPr>
          <w:bCs/>
        </w:rPr>
        <w:t xml:space="preserve">c–e, </w:t>
      </w:r>
      <w:r w:rsidR="00AF2B29">
        <w:rPr>
          <w:bCs/>
          <w:szCs w:val="22"/>
        </w:rPr>
        <w:t>C</w:t>
      </w:r>
      <w:r w:rsidR="00584231" w:rsidRPr="00097426">
        <w:rPr>
          <w:bCs/>
          <w:szCs w:val="22"/>
        </w:rPr>
        <w:t>hromatogra</w:t>
      </w:r>
      <w:r w:rsidR="00AF2B29">
        <w:rPr>
          <w:bCs/>
          <w:szCs w:val="22"/>
        </w:rPr>
        <w:t xml:space="preserve">ms of HMW, dimer and monomer fractions. </w:t>
      </w:r>
      <w:r w:rsidR="002E122D">
        <w:rPr>
          <w:bCs/>
        </w:rPr>
        <w:t>HMW</w:t>
      </w:r>
      <w:r w:rsidR="007B0A63">
        <w:rPr>
          <w:bCs/>
        </w:rPr>
        <w:t xml:space="preserve"> </w:t>
      </w:r>
      <w:r w:rsidR="00EA6EE6">
        <w:rPr>
          <w:bCs/>
        </w:rPr>
        <w:t xml:space="preserve">shows </w:t>
      </w:r>
      <w:r w:rsidR="00AF2B29">
        <w:rPr>
          <w:bCs/>
        </w:rPr>
        <w:t xml:space="preserve">a </w:t>
      </w:r>
      <w:r w:rsidR="00EA6EE6">
        <w:rPr>
          <w:bCs/>
        </w:rPr>
        <w:t xml:space="preserve">main peak at retention time 10.276 min </w:t>
      </w:r>
      <w:r w:rsidR="00AF2B29">
        <w:rPr>
          <w:bCs/>
        </w:rPr>
        <w:t>with a</w:t>
      </w:r>
      <w:r w:rsidR="00EA6EE6">
        <w:rPr>
          <w:bCs/>
        </w:rPr>
        <w:t xml:space="preserve"> purity </w:t>
      </w:r>
      <w:r w:rsidR="00AF2B29">
        <w:rPr>
          <w:bCs/>
        </w:rPr>
        <w:t xml:space="preserve">of </w:t>
      </w:r>
      <w:r w:rsidR="007B0A63">
        <w:rPr>
          <w:bCs/>
        </w:rPr>
        <w:t>99.13%</w:t>
      </w:r>
      <w:r w:rsidR="00EA6EE6">
        <w:rPr>
          <w:bCs/>
        </w:rPr>
        <w:t>. Dimer</w:t>
      </w:r>
      <w:r w:rsidR="00AF2B29">
        <w:rPr>
          <w:bCs/>
        </w:rPr>
        <w:t>s</w:t>
      </w:r>
      <w:r w:rsidR="00EA6EE6">
        <w:rPr>
          <w:bCs/>
        </w:rPr>
        <w:t xml:space="preserve"> show</w:t>
      </w:r>
      <w:r w:rsidR="00AF2B29">
        <w:rPr>
          <w:bCs/>
        </w:rPr>
        <w:t xml:space="preserve"> a</w:t>
      </w:r>
      <w:r w:rsidR="00EA6EE6">
        <w:rPr>
          <w:bCs/>
        </w:rPr>
        <w:t xml:space="preserve"> main peak at retention time 11.421 min </w:t>
      </w:r>
      <w:r w:rsidR="00AF2B29">
        <w:rPr>
          <w:bCs/>
        </w:rPr>
        <w:t>with a</w:t>
      </w:r>
      <w:r w:rsidR="00EA6EE6">
        <w:rPr>
          <w:bCs/>
        </w:rPr>
        <w:t xml:space="preserve"> purity </w:t>
      </w:r>
      <w:r w:rsidR="00AF2B29">
        <w:rPr>
          <w:bCs/>
        </w:rPr>
        <w:t xml:space="preserve">of </w:t>
      </w:r>
      <w:r w:rsidR="00EA6EE6">
        <w:rPr>
          <w:bCs/>
        </w:rPr>
        <w:t>89.43%.</w:t>
      </w:r>
      <w:r w:rsidR="00EA6EE6" w:rsidRPr="00EA6EE6">
        <w:rPr>
          <w:bCs/>
        </w:rPr>
        <w:t xml:space="preserve"> </w:t>
      </w:r>
      <w:r w:rsidR="002E122D">
        <w:rPr>
          <w:bCs/>
        </w:rPr>
        <w:t>Monomer</w:t>
      </w:r>
      <w:r w:rsidR="00AF2B29">
        <w:rPr>
          <w:bCs/>
        </w:rPr>
        <w:t>s</w:t>
      </w:r>
      <w:r w:rsidR="002E122D">
        <w:rPr>
          <w:bCs/>
        </w:rPr>
        <w:t xml:space="preserve"> </w:t>
      </w:r>
      <w:r w:rsidR="00EA6EE6">
        <w:rPr>
          <w:bCs/>
        </w:rPr>
        <w:t>show</w:t>
      </w:r>
      <w:r w:rsidR="00AF2B29">
        <w:rPr>
          <w:bCs/>
        </w:rPr>
        <w:t xml:space="preserve"> a</w:t>
      </w:r>
      <w:r w:rsidR="00EA6EE6">
        <w:rPr>
          <w:bCs/>
        </w:rPr>
        <w:t xml:space="preserve"> main peak at retention time 13.234 min </w:t>
      </w:r>
      <w:r w:rsidR="00AF2B29">
        <w:rPr>
          <w:bCs/>
        </w:rPr>
        <w:t>with a</w:t>
      </w:r>
      <w:r w:rsidR="00EA6EE6">
        <w:rPr>
          <w:bCs/>
        </w:rPr>
        <w:t xml:space="preserve"> purity </w:t>
      </w:r>
      <w:r w:rsidR="00AF2B29">
        <w:rPr>
          <w:bCs/>
        </w:rPr>
        <w:t xml:space="preserve">of </w:t>
      </w:r>
      <w:r w:rsidR="00EA6EE6">
        <w:rPr>
          <w:bCs/>
        </w:rPr>
        <w:t xml:space="preserve">99.6%.  </w:t>
      </w:r>
      <w:r w:rsidR="007B0A63">
        <w:rPr>
          <w:bCs/>
        </w:rPr>
        <w:t xml:space="preserve">  </w:t>
      </w:r>
      <w:r w:rsidR="00584231">
        <w:rPr>
          <w:bCs/>
        </w:rPr>
        <w:t xml:space="preserve"> </w:t>
      </w:r>
      <w:r w:rsidR="002717A8">
        <w:rPr>
          <w:bCs/>
        </w:rPr>
        <w:t xml:space="preserve">    </w:t>
      </w:r>
      <w:r w:rsidR="00480F56">
        <w:rPr>
          <w:bCs/>
        </w:rPr>
        <w:br w:type="page"/>
      </w:r>
    </w:p>
    <w:p w14:paraId="5B26EBAE" w14:textId="3C8499BE" w:rsidR="00FA061E" w:rsidRDefault="005B4CF7" w:rsidP="00241A36">
      <w:pPr>
        <w:widowControl/>
        <w:spacing w:line="480" w:lineRule="auto"/>
        <w:ind w:leftChars="67" w:left="142" w:hanging="1"/>
        <w:jc w:val="left"/>
        <w:rPr>
          <w:b/>
          <w:color w:val="FF0000"/>
          <w:szCs w:val="22"/>
        </w:rPr>
      </w:pPr>
      <w:r w:rsidRPr="00DE5C1E">
        <w:rPr>
          <w:b/>
          <w:noProof/>
          <w:color w:val="FF0000"/>
          <w:szCs w:val="22"/>
          <w:lang w:eastAsia="en-US"/>
        </w:rPr>
        <w:drawing>
          <wp:inline distT="0" distB="0" distL="0" distR="0" wp14:anchorId="3F6571FC" wp14:editId="784B97D1">
            <wp:extent cx="2803237" cy="4198289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333" cy="420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19FC6" w14:textId="7B76B34F" w:rsidR="00C36768" w:rsidRPr="00480F56" w:rsidRDefault="00480F56" w:rsidP="00241A36">
      <w:pPr>
        <w:widowControl/>
        <w:spacing w:line="480" w:lineRule="auto"/>
        <w:ind w:leftChars="67" w:left="142" w:hanging="1"/>
        <w:jc w:val="left"/>
        <w:rPr>
          <w:bCs/>
          <w:color w:val="FF0000"/>
        </w:rPr>
      </w:pPr>
      <w:r w:rsidRPr="00DE5C1E">
        <w:rPr>
          <w:b/>
          <w:color w:val="000000" w:themeColor="text1"/>
          <w:szCs w:val="22"/>
        </w:rPr>
        <w:t>Supplementary Figure S</w:t>
      </w:r>
      <w:r w:rsidR="005B4CF7" w:rsidRPr="00DE5C1E">
        <w:rPr>
          <w:b/>
          <w:color w:val="000000" w:themeColor="text1"/>
          <w:szCs w:val="22"/>
        </w:rPr>
        <w:t>3</w:t>
      </w:r>
      <w:r w:rsidRPr="00480F56">
        <w:rPr>
          <w:b/>
          <w:color w:val="FF0000"/>
          <w:szCs w:val="22"/>
        </w:rPr>
        <w:t xml:space="preserve"> </w:t>
      </w:r>
      <w:r w:rsidRPr="005C7884">
        <w:rPr>
          <w:b/>
          <w:color w:val="000000" w:themeColor="text1"/>
        </w:rPr>
        <w:t xml:space="preserve">Full-size </w:t>
      </w:r>
      <w:r w:rsidR="00A104FC">
        <w:rPr>
          <w:b/>
          <w:color w:val="000000" w:themeColor="text1"/>
        </w:rPr>
        <w:t xml:space="preserve">images of </w:t>
      </w:r>
      <w:r w:rsidRPr="005C7884">
        <w:rPr>
          <w:b/>
          <w:color w:val="000000" w:themeColor="text1"/>
        </w:rPr>
        <w:t>Western blots of phosphorylated Tie2 and actin shown in Fig. 2e.</w:t>
      </w:r>
    </w:p>
    <w:p w14:paraId="4C1BE080" w14:textId="07D24D00" w:rsidR="00480F56" w:rsidRDefault="00480F56">
      <w:pPr>
        <w:widowControl/>
        <w:jc w:val="left"/>
        <w:rPr>
          <w:bCs/>
        </w:rPr>
      </w:pPr>
      <w:r>
        <w:rPr>
          <w:bCs/>
        </w:rPr>
        <w:br w:type="page"/>
      </w:r>
    </w:p>
    <w:p w14:paraId="3F4220B9" w14:textId="77777777" w:rsidR="00480F56" w:rsidRDefault="00480F56" w:rsidP="00480F56">
      <w:pPr>
        <w:widowControl/>
        <w:spacing w:line="480" w:lineRule="auto"/>
        <w:jc w:val="left"/>
      </w:pPr>
      <w:r>
        <w:rPr>
          <w:noProof/>
          <w:lang w:eastAsia="en-US"/>
        </w:rPr>
        <w:drawing>
          <wp:inline distT="0" distB="0" distL="0" distR="0" wp14:anchorId="05DD7780" wp14:editId="1C3E1BA1">
            <wp:extent cx="3389630" cy="305435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8CBDF" w14:textId="02EE9513" w:rsidR="003D489C" w:rsidRDefault="00480F56" w:rsidP="004A26FC">
      <w:pPr>
        <w:widowControl/>
        <w:spacing w:line="480" w:lineRule="auto"/>
        <w:jc w:val="left"/>
        <w:rPr>
          <w:bCs/>
        </w:rPr>
      </w:pPr>
      <w:r w:rsidRPr="005B4CF7">
        <w:rPr>
          <w:b/>
          <w:color w:val="000000" w:themeColor="text1"/>
          <w:szCs w:val="22"/>
        </w:rPr>
        <w:t>Supplementary Figure</w:t>
      </w:r>
      <w:r w:rsidRPr="005B4CF7">
        <w:rPr>
          <w:rFonts w:hint="eastAsia"/>
          <w:b/>
          <w:color w:val="000000" w:themeColor="text1"/>
          <w:szCs w:val="22"/>
        </w:rPr>
        <w:t xml:space="preserve"> S</w:t>
      </w:r>
      <w:r w:rsidR="005B4CF7">
        <w:rPr>
          <w:rFonts w:hint="eastAsia"/>
          <w:b/>
          <w:color w:val="000000" w:themeColor="text1"/>
          <w:szCs w:val="22"/>
        </w:rPr>
        <w:t>4</w:t>
      </w:r>
      <w:r w:rsidRPr="005B4CF7">
        <w:rPr>
          <w:rFonts w:hint="eastAsia"/>
          <w:b/>
          <w:color w:val="000000" w:themeColor="text1"/>
          <w:szCs w:val="22"/>
        </w:rPr>
        <w:t xml:space="preserve"> </w:t>
      </w:r>
      <w:r w:rsidRPr="00480F56">
        <w:rPr>
          <w:b/>
          <w:color w:val="000000" w:themeColor="text1"/>
          <w:szCs w:val="22"/>
        </w:rPr>
        <w:t>Inhibition of IL-1</w:t>
      </w:r>
      <w:r w:rsidRPr="00480F56">
        <w:rPr>
          <w:rFonts w:cs="Times New Roman"/>
          <w:b/>
          <w:color w:val="000000" w:themeColor="text1"/>
          <w:szCs w:val="22"/>
        </w:rPr>
        <w:t>β</w:t>
      </w:r>
      <w:r w:rsidRPr="00480F56">
        <w:rPr>
          <w:b/>
          <w:color w:val="000000" w:themeColor="text1"/>
          <w:szCs w:val="22"/>
        </w:rPr>
        <w:t>-induced permeability by ASP4021 in HUVEC</w:t>
      </w:r>
      <w:r w:rsidRPr="00B03224">
        <w:rPr>
          <w:b/>
          <w:szCs w:val="22"/>
        </w:rPr>
        <w:t xml:space="preserve">| </w:t>
      </w:r>
      <w:r>
        <w:rPr>
          <w:bCs/>
          <w:szCs w:val="22"/>
        </w:rPr>
        <w:t>P</w:t>
      </w:r>
      <w:r w:rsidRPr="006D3E2D">
        <w:rPr>
          <w:bCs/>
          <w:szCs w:val="22"/>
        </w:rPr>
        <w:t>ermeability induced by human IL-1</w:t>
      </w:r>
      <w:r w:rsidRPr="006D3E2D">
        <w:rPr>
          <w:rFonts w:cs="Times New Roman"/>
          <w:bCs/>
          <w:szCs w:val="22"/>
        </w:rPr>
        <w:t xml:space="preserve">β </w:t>
      </w:r>
      <w:r>
        <w:rPr>
          <w:rFonts w:cs="Times New Roman"/>
          <w:bCs/>
          <w:szCs w:val="22"/>
        </w:rPr>
        <w:t>in HUVEC was</w:t>
      </w:r>
      <w:r w:rsidRPr="006D3E2D">
        <w:rPr>
          <w:rFonts w:cs="Times New Roman"/>
          <w:bCs/>
          <w:szCs w:val="22"/>
        </w:rPr>
        <w:t xml:space="preserve"> evaluated </w:t>
      </w:r>
      <w:r w:rsidRPr="006D3E2D">
        <w:rPr>
          <w:bCs/>
          <w:szCs w:val="22"/>
        </w:rPr>
        <w:t xml:space="preserve">using the </w:t>
      </w:r>
      <w:proofErr w:type="spellStart"/>
      <w:r w:rsidRPr="006D3E2D">
        <w:rPr>
          <w:bCs/>
          <w:szCs w:val="22"/>
        </w:rPr>
        <w:t>CultreCoat</w:t>
      </w:r>
      <w:proofErr w:type="spellEnd"/>
      <w:r w:rsidRPr="006D3E2D">
        <w:rPr>
          <w:bCs/>
          <w:szCs w:val="22"/>
        </w:rPr>
        <w:t xml:space="preserve"> 96</w:t>
      </w:r>
      <w:r>
        <w:rPr>
          <w:bCs/>
          <w:szCs w:val="22"/>
        </w:rPr>
        <w:t>-w</w:t>
      </w:r>
      <w:r w:rsidRPr="006D3E2D">
        <w:rPr>
          <w:bCs/>
          <w:szCs w:val="22"/>
        </w:rPr>
        <w:t xml:space="preserve">ell </w:t>
      </w:r>
      <w:r w:rsidRPr="006D0267">
        <w:rPr>
          <w:bCs/>
          <w:i/>
          <w:iCs/>
          <w:szCs w:val="22"/>
        </w:rPr>
        <w:t>in vitro</w:t>
      </w:r>
      <w:r w:rsidRPr="00B03224">
        <w:rPr>
          <w:bCs/>
          <w:szCs w:val="22"/>
        </w:rPr>
        <w:t xml:space="preserve"> vascular permeability assay.</w:t>
      </w:r>
      <w:r>
        <w:rPr>
          <w:bCs/>
          <w:szCs w:val="22"/>
        </w:rPr>
        <w:t xml:space="preserve"> Permeability</w:t>
      </w:r>
      <w:r w:rsidRPr="006D3E2D">
        <w:rPr>
          <w:bCs/>
          <w:szCs w:val="22"/>
        </w:rPr>
        <w:t xml:space="preserve"> (%) was calculated </w:t>
      </w:r>
      <w:r>
        <w:rPr>
          <w:bCs/>
          <w:szCs w:val="22"/>
        </w:rPr>
        <w:t xml:space="preserve">based on </w:t>
      </w:r>
      <w:r w:rsidRPr="006F446A">
        <w:rPr>
          <w:bCs/>
          <w:szCs w:val="22"/>
        </w:rPr>
        <w:t>the relative fluorescen</w:t>
      </w:r>
      <w:r>
        <w:rPr>
          <w:bCs/>
          <w:szCs w:val="22"/>
        </w:rPr>
        <w:t>ce</w:t>
      </w:r>
      <w:r w:rsidRPr="006F446A">
        <w:rPr>
          <w:bCs/>
          <w:szCs w:val="22"/>
        </w:rPr>
        <w:t xml:space="preserve"> units</w:t>
      </w:r>
      <w:r>
        <w:rPr>
          <w:bCs/>
          <w:szCs w:val="22"/>
        </w:rPr>
        <w:t>;</w:t>
      </w:r>
      <w:r w:rsidRPr="006F446A">
        <w:rPr>
          <w:bCs/>
          <w:szCs w:val="22"/>
        </w:rPr>
        <w:t xml:space="preserve"> </w:t>
      </w:r>
      <w:r>
        <w:rPr>
          <w:bCs/>
          <w:szCs w:val="22"/>
        </w:rPr>
        <w:t>without cell/without FITC</w:t>
      </w:r>
      <w:r w:rsidRPr="00C4385E">
        <w:rPr>
          <w:szCs w:val="22"/>
        </w:rPr>
        <w:t>-dextran</w:t>
      </w:r>
      <w:r>
        <w:rPr>
          <w:szCs w:val="22"/>
        </w:rPr>
        <w:t xml:space="preserve"> was defined as the background condition (0%)</w:t>
      </w:r>
      <w:r w:rsidRPr="006D3E2D">
        <w:rPr>
          <w:bCs/>
          <w:szCs w:val="22"/>
        </w:rPr>
        <w:t xml:space="preserve"> and </w:t>
      </w:r>
      <w:r>
        <w:rPr>
          <w:bCs/>
          <w:szCs w:val="22"/>
        </w:rPr>
        <w:t>without cell/with FITC</w:t>
      </w:r>
      <w:r w:rsidRPr="00C4385E">
        <w:rPr>
          <w:szCs w:val="22"/>
        </w:rPr>
        <w:t>-dextran</w:t>
      </w:r>
      <w:r>
        <w:rPr>
          <w:szCs w:val="22"/>
        </w:rPr>
        <w:t xml:space="preserve"> as that with maximum permeability (100%)</w:t>
      </w:r>
      <w:r w:rsidRPr="006D3E2D">
        <w:rPr>
          <w:bCs/>
          <w:szCs w:val="22"/>
        </w:rPr>
        <w:t>. Data represent mean ± SEM</w:t>
      </w:r>
      <w:r>
        <w:rPr>
          <w:bCs/>
          <w:szCs w:val="22"/>
        </w:rPr>
        <w:t xml:space="preserve">. </w:t>
      </w:r>
      <w:r w:rsidR="00BF53A5" w:rsidRPr="00BF53A5">
        <w:rPr>
          <w:rFonts w:hint="eastAsia"/>
          <w:bCs/>
        </w:rPr>
        <w:tab/>
      </w:r>
      <w:r w:rsidR="003D489C">
        <w:rPr>
          <w:bCs/>
        </w:rPr>
        <w:br w:type="page"/>
      </w:r>
    </w:p>
    <w:tbl>
      <w:tblPr>
        <w:tblW w:w="1286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78"/>
        <w:gridCol w:w="1276"/>
        <w:gridCol w:w="1235"/>
        <w:gridCol w:w="1098"/>
        <w:gridCol w:w="1165"/>
        <w:gridCol w:w="1032"/>
        <w:gridCol w:w="1098"/>
        <w:gridCol w:w="1232"/>
        <w:gridCol w:w="1139"/>
        <w:gridCol w:w="1098"/>
        <w:gridCol w:w="1415"/>
      </w:tblGrid>
      <w:tr w:rsidR="00E049DC" w:rsidRPr="00AF064C" w14:paraId="1FC7ABE9" w14:textId="77777777" w:rsidTr="00AF064C">
        <w:trPr>
          <w:trHeight w:val="510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485E4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color w:val="000000"/>
              </w:rPr>
              <w:t>Species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15453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color w:val="000000"/>
              </w:rPr>
              <w:t>Immobilized amount (RU)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C9520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color w:val="000000"/>
              </w:rPr>
              <w:t>K</w:t>
            </w:r>
            <w:r w:rsidRPr="00E049DC">
              <w:rPr>
                <w:rFonts w:cs="Times New Roman"/>
                <w:b/>
                <w:bCs/>
                <w:color w:val="000000"/>
                <w:vertAlign w:val="subscript"/>
              </w:rPr>
              <w:t>D</w:t>
            </w:r>
            <w:r w:rsidRPr="00E049DC">
              <w:rPr>
                <w:rFonts w:cs="Times New Roman"/>
                <w:b/>
                <w:bCs/>
                <w:color w:val="000000"/>
              </w:rPr>
              <w:t xml:space="preserve"> (nmol L</w:t>
            </w:r>
            <w:r w:rsidRPr="00E049DC">
              <w:rPr>
                <w:rFonts w:cs="Times New Roman"/>
                <w:b/>
                <w:bCs/>
                <w:color w:val="000000"/>
                <w:vertAlign w:val="superscript"/>
              </w:rPr>
              <w:t>-1</w:t>
            </w:r>
            <w:r w:rsidRPr="00E049DC">
              <w:rPr>
                <w:rFonts w:cs="Times New Roman"/>
                <w:b/>
                <w:bCs/>
                <w:color w:val="000000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19D1A" w14:textId="4927A542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color w:val="000000"/>
              </w:rPr>
              <w:t>Geometric mean of K</w:t>
            </w:r>
            <w:r w:rsidRPr="00E049DC">
              <w:rPr>
                <w:rFonts w:cs="Times New Roman"/>
                <w:b/>
                <w:bCs/>
                <w:color w:val="000000"/>
                <w:vertAlign w:val="subscript"/>
              </w:rPr>
              <w:t>D</w:t>
            </w:r>
            <w:r w:rsidRPr="00E049DC">
              <w:rPr>
                <w:rFonts w:cs="Times New Roman"/>
                <w:b/>
                <w:bCs/>
                <w:color w:val="000000"/>
              </w:rPr>
              <w:t xml:space="preserve"> (nmol L</w:t>
            </w:r>
            <w:r w:rsidRPr="00E049DC">
              <w:rPr>
                <w:rFonts w:cs="Times New Roman"/>
                <w:b/>
                <w:bCs/>
                <w:color w:val="000000"/>
                <w:vertAlign w:val="superscript"/>
              </w:rPr>
              <w:t>-1</w:t>
            </w:r>
            <w:r w:rsidRPr="00E049DC">
              <w:rPr>
                <w:rFonts w:cs="Times New Roman"/>
                <w:b/>
                <w:bCs/>
                <w:color w:val="000000"/>
              </w:rPr>
              <w:t>)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E4DC4A" w14:textId="24E99D05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color w:val="000000"/>
              </w:rPr>
              <w:t>95% Confidence interval of K</w:t>
            </w:r>
            <w:r w:rsidRPr="00E049DC">
              <w:rPr>
                <w:rFonts w:cs="Times New Roman"/>
                <w:b/>
                <w:bCs/>
                <w:color w:val="000000"/>
                <w:vertAlign w:val="subscript"/>
              </w:rPr>
              <w:t>D</w:t>
            </w:r>
            <w:r w:rsidRPr="00E049DC">
              <w:rPr>
                <w:rFonts w:cs="Times New Roman"/>
                <w:b/>
                <w:bCs/>
                <w:color w:val="000000"/>
              </w:rPr>
              <w:t xml:space="preserve"> (nmol L</w:t>
            </w:r>
            <w:r w:rsidRPr="00E049DC">
              <w:rPr>
                <w:rFonts w:cs="Times New Roman"/>
                <w:b/>
                <w:bCs/>
                <w:color w:val="000000"/>
                <w:vertAlign w:val="superscript"/>
              </w:rPr>
              <w:t>-1</w:t>
            </w:r>
            <w:r w:rsidRPr="00E049DC">
              <w:rPr>
                <w:rFonts w:cs="Times New Roman"/>
                <w:b/>
                <w:bCs/>
                <w:color w:val="000000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3E7CF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i/>
                <w:iCs/>
                <w:color w:val="000000"/>
              </w:rPr>
              <w:t>k</w:t>
            </w:r>
            <w:r w:rsidRPr="00E049DC">
              <w:rPr>
                <w:rFonts w:cs="Times New Roman"/>
                <w:b/>
                <w:bCs/>
                <w:color w:val="000000"/>
                <w:vertAlign w:val="subscript"/>
              </w:rPr>
              <w:t>a1</w:t>
            </w:r>
            <w:r w:rsidRPr="00E049DC">
              <w:rPr>
                <w:rFonts w:cs="Times New Roman"/>
                <w:b/>
                <w:bCs/>
                <w:color w:val="000000"/>
              </w:rPr>
              <w:t xml:space="preserve"> (mol</w:t>
            </w:r>
            <w:r w:rsidRPr="00E049DC">
              <w:rPr>
                <w:rFonts w:cs="Times New Roman"/>
                <w:b/>
                <w:bCs/>
                <w:color w:val="000000"/>
                <w:vertAlign w:val="superscript"/>
              </w:rPr>
              <w:t>-1</w:t>
            </w:r>
            <w:r w:rsidRPr="00E049DC">
              <w:rPr>
                <w:rFonts w:cs="Times New Roman"/>
                <w:b/>
                <w:bCs/>
                <w:color w:val="000000"/>
              </w:rPr>
              <w:t xml:space="preserve"> L s</w:t>
            </w:r>
            <w:r w:rsidRPr="00E049DC">
              <w:rPr>
                <w:rFonts w:cs="Times New Roman"/>
                <w:b/>
                <w:bCs/>
                <w:color w:val="000000"/>
                <w:vertAlign w:val="superscript"/>
              </w:rPr>
              <w:t>-1</w:t>
            </w:r>
            <w:r w:rsidRPr="00E049DC">
              <w:rPr>
                <w:rFonts w:cs="Times New Roman"/>
                <w:b/>
                <w:bCs/>
                <w:color w:val="000000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0E3BD" w14:textId="05ED8D1B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color w:val="000000"/>
              </w:rPr>
              <w:t>Geometric</w:t>
            </w:r>
            <w:r w:rsidRPr="00AF064C">
              <w:rPr>
                <w:rFonts w:cs="Times New Roman"/>
                <w:b/>
                <w:bCs/>
                <w:color w:val="000000"/>
              </w:rPr>
              <w:t xml:space="preserve"> </w:t>
            </w:r>
            <w:r w:rsidRPr="00E049DC">
              <w:rPr>
                <w:rFonts w:cs="Times New Roman"/>
                <w:b/>
                <w:bCs/>
                <w:color w:val="000000"/>
              </w:rPr>
              <w:t xml:space="preserve">mean of </w:t>
            </w:r>
            <w:r w:rsidRPr="00E049DC">
              <w:rPr>
                <w:rFonts w:cs="Times New Roman"/>
                <w:b/>
                <w:bCs/>
                <w:i/>
                <w:iCs/>
                <w:color w:val="000000"/>
              </w:rPr>
              <w:t>k</w:t>
            </w:r>
            <w:r w:rsidRPr="00E049DC">
              <w:rPr>
                <w:rFonts w:cs="Times New Roman"/>
                <w:b/>
                <w:bCs/>
                <w:color w:val="000000"/>
                <w:vertAlign w:val="subscript"/>
              </w:rPr>
              <w:t>a1</w:t>
            </w:r>
            <w:r w:rsidRPr="00AF064C">
              <w:rPr>
                <w:rFonts w:cs="Times New Roman" w:hint="eastAsia"/>
                <w:b/>
                <w:bCs/>
                <w:color w:val="000000"/>
                <w:vertAlign w:val="subscript"/>
              </w:rPr>
              <w:t xml:space="preserve"> </w:t>
            </w:r>
            <w:r w:rsidRPr="00E049DC">
              <w:rPr>
                <w:rFonts w:cs="Times New Roman"/>
                <w:b/>
                <w:bCs/>
                <w:color w:val="000000"/>
              </w:rPr>
              <w:t>(mol</w:t>
            </w:r>
            <w:r w:rsidRPr="00E049DC">
              <w:rPr>
                <w:rFonts w:cs="Times New Roman"/>
                <w:b/>
                <w:bCs/>
                <w:color w:val="000000"/>
                <w:vertAlign w:val="superscript"/>
              </w:rPr>
              <w:t>-1</w:t>
            </w:r>
            <w:r w:rsidRPr="00E049DC">
              <w:rPr>
                <w:rFonts w:cs="Times New Roman"/>
                <w:b/>
                <w:bCs/>
                <w:color w:val="000000"/>
              </w:rPr>
              <w:t xml:space="preserve"> L s</w:t>
            </w:r>
            <w:r w:rsidRPr="00E049DC">
              <w:rPr>
                <w:rFonts w:cs="Times New Roman"/>
                <w:b/>
                <w:bCs/>
                <w:color w:val="000000"/>
                <w:vertAlign w:val="superscript"/>
              </w:rPr>
              <w:t>-1</w:t>
            </w:r>
            <w:r w:rsidRPr="00E049DC">
              <w:rPr>
                <w:rFonts w:cs="Times New Roman"/>
                <w:b/>
                <w:bCs/>
                <w:color w:val="000000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DA719" w14:textId="58AC5AF6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color w:val="000000"/>
              </w:rPr>
              <w:t>95%</w:t>
            </w:r>
            <w:r w:rsidRPr="00AF064C">
              <w:rPr>
                <w:rFonts w:cs="Times New Roman"/>
                <w:b/>
                <w:bCs/>
                <w:color w:val="000000"/>
              </w:rPr>
              <w:t xml:space="preserve"> </w:t>
            </w:r>
            <w:r w:rsidRPr="00E049DC">
              <w:rPr>
                <w:rFonts w:cs="Times New Roman"/>
                <w:b/>
                <w:bCs/>
                <w:color w:val="000000"/>
              </w:rPr>
              <w:t>Confidence</w:t>
            </w:r>
            <w:r w:rsidRPr="00AF064C">
              <w:rPr>
                <w:rFonts w:cs="Times New Roman"/>
                <w:b/>
                <w:bCs/>
                <w:color w:val="000000"/>
              </w:rPr>
              <w:t xml:space="preserve"> </w:t>
            </w:r>
            <w:r w:rsidRPr="00E049DC">
              <w:rPr>
                <w:rFonts w:cs="Times New Roman"/>
                <w:b/>
                <w:bCs/>
                <w:color w:val="000000"/>
              </w:rPr>
              <w:t xml:space="preserve">interval of </w:t>
            </w:r>
            <w:r w:rsidRPr="00E049DC">
              <w:rPr>
                <w:rFonts w:cs="Times New Roman"/>
                <w:b/>
                <w:bCs/>
                <w:i/>
                <w:iCs/>
                <w:color w:val="000000"/>
              </w:rPr>
              <w:t>k</w:t>
            </w:r>
            <w:r w:rsidRPr="00E049DC">
              <w:rPr>
                <w:rFonts w:cs="Times New Roman"/>
                <w:b/>
                <w:bCs/>
                <w:color w:val="000000"/>
                <w:vertAlign w:val="subscript"/>
              </w:rPr>
              <w:t>a1</w:t>
            </w:r>
            <w:r w:rsidRPr="00AF064C">
              <w:rPr>
                <w:rFonts w:cs="Times New Roman"/>
                <w:b/>
                <w:bCs/>
                <w:color w:val="000000"/>
                <w:vertAlign w:val="subscript"/>
              </w:rPr>
              <w:t xml:space="preserve"> </w:t>
            </w:r>
            <w:r w:rsidRPr="00E049DC">
              <w:rPr>
                <w:rFonts w:cs="Times New Roman"/>
                <w:b/>
                <w:bCs/>
                <w:color w:val="000000"/>
              </w:rPr>
              <w:t>(mol</w:t>
            </w:r>
            <w:r w:rsidRPr="00E049DC">
              <w:rPr>
                <w:rFonts w:cs="Times New Roman"/>
                <w:b/>
                <w:bCs/>
                <w:color w:val="000000"/>
                <w:vertAlign w:val="superscript"/>
              </w:rPr>
              <w:t>-1</w:t>
            </w:r>
            <w:r w:rsidRPr="00E049DC">
              <w:rPr>
                <w:rFonts w:cs="Times New Roman"/>
                <w:b/>
                <w:bCs/>
                <w:color w:val="000000"/>
              </w:rPr>
              <w:t xml:space="preserve"> L s</w:t>
            </w:r>
            <w:r w:rsidRPr="00E049DC">
              <w:rPr>
                <w:rFonts w:cs="Times New Roman"/>
                <w:b/>
                <w:bCs/>
                <w:color w:val="000000"/>
                <w:vertAlign w:val="superscript"/>
              </w:rPr>
              <w:t>-1</w:t>
            </w:r>
            <w:r w:rsidRPr="00E049DC">
              <w:rPr>
                <w:rFonts w:cs="Times New Roman"/>
                <w:b/>
                <w:bCs/>
                <w:color w:val="000000"/>
              </w:rPr>
              <w:t>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030F7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i/>
                <w:iCs/>
                <w:color w:val="000000"/>
              </w:rPr>
              <w:t>k</w:t>
            </w:r>
            <w:r w:rsidRPr="00E049DC">
              <w:rPr>
                <w:rFonts w:cs="Times New Roman"/>
                <w:b/>
                <w:bCs/>
                <w:color w:val="000000"/>
                <w:vertAlign w:val="subscript"/>
              </w:rPr>
              <w:t>d1</w:t>
            </w:r>
            <w:r w:rsidRPr="00E049DC">
              <w:rPr>
                <w:rFonts w:cs="Times New Roman"/>
                <w:b/>
                <w:bCs/>
                <w:color w:val="000000"/>
              </w:rPr>
              <w:t xml:space="preserve"> (s</w:t>
            </w:r>
            <w:r w:rsidRPr="00E049DC">
              <w:rPr>
                <w:rFonts w:cs="Times New Roman"/>
                <w:b/>
                <w:bCs/>
                <w:color w:val="000000"/>
                <w:vertAlign w:val="superscript"/>
              </w:rPr>
              <w:t>-1</w:t>
            </w:r>
            <w:r w:rsidRPr="00E049DC">
              <w:rPr>
                <w:rFonts w:cs="Times New Roman"/>
                <w:b/>
                <w:bCs/>
                <w:color w:val="000000"/>
              </w:rPr>
              <w:t>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34721" w14:textId="0AD1EDD4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color w:val="000000"/>
              </w:rPr>
              <w:t xml:space="preserve">Geometric mean of </w:t>
            </w:r>
            <w:r w:rsidRPr="00E049DC">
              <w:rPr>
                <w:rFonts w:cs="Times New Roman"/>
                <w:b/>
                <w:bCs/>
                <w:i/>
                <w:iCs/>
                <w:color w:val="000000"/>
              </w:rPr>
              <w:t>k</w:t>
            </w:r>
            <w:r w:rsidRPr="00E049DC">
              <w:rPr>
                <w:rFonts w:cs="Times New Roman"/>
                <w:b/>
                <w:bCs/>
                <w:color w:val="000000"/>
                <w:vertAlign w:val="subscript"/>
              </w:rPr>
              <w:t>d1</w:t>
            </w:r>
            <w:r w:rsidRPr="00E049DC">
              <w:rPr>
                <w:rFonts w:cs="Times New Roman"/>
                <w:b/>
                <w:bCs/>
                <w:color w:val="000000"/>
              </w:rPr>
              <w:t xml:space="preserve"> (s</w:t>
            </w:r>
            <w:r w:rsidRPr="00E049DC">
              <w:rPr>
                <w:rFonts w:cs="Times New Roman"/>
                <w:b/>
                <w:bCs/>
                <w:color w:val="000000"/>
                <w:vertAlign w:val="superscript"/>
              </w:rPr>
              <w:t>-1</w:t>
            </w:r>
            <w:r w:rsidRPr="00E049DC">
              <w:rPr>
                <w:rFonts w:cs="Times New Roman"/>
                <w:b/>
                <w:bCs/>
                <w:color w:val="000000"/>
              </w:rPr>
              <w:t>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DC76D5" w14:textId="3EFFC368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color w:val="000000"/>
              </w:rPr>
              <w:t>95%</w:t>
            </w:r>
            <w:r w:rsidRPr="00AF064C">
              <w:rPr>
                <w:rFonts w:cs="Times New Roman"/>
                <w:b/>
                <w:bCs/>
                <w:color w:val="000000"/>
              </w:rPr>
              <w:t xml:space="preserve"> </w:t>
            </w:r>
            <w:r w:rsidRPr="00E049DC">
              <w:rPr>
                <w:rFonts w:cs="Times New Roman"/>
                <w:b/>
                <w:bCs/>
                <w:color w:val="000000"/>
              </w:rPr>
              <w:t>Confidence</w:t>
            </w:r>
            <w:r w:rsidRPr="00AF064C">
              <w:rPr>
                <w:rFonts w:cs="Times New Roman"/>
                <w:b/>
                <w:bCs/>
                <w:color w:val="000000"/>
              </w:rPr>
              <w:t xml:space="preserve"> </w:t>
            </w:r>
            <w:r w:rsidRPr="00E049DC">
              <w:rPr>
                <w:rFonts w:cs="Times New Roman"/>
                <w:b/>
                <w:bCs/>
                <w:color w:val="000000"/>
              </w:rPr>
              <w:t xml:space="preserve">interval of </w:t>
            </w:r>
            <w:r w:rsidRPr="00E049DC">
              <w:rPr>
                <w:rFonts w:cs="Times New Roman"/>
                <w:b/>
                <w:bCs/>
                <w:i/>
                <w:iCs/>
                <w:color w:val="000000"/>
              </w:rPr>
              <w:t>k</w:t>
            </w:r>
            <w:r w:rsidRPr="00E049DC">
              <w:rPr>
                <w:rFonts w:cs="Times New Roman"/>
                <w:b/>
                <w:bCs/>
                <w:color w:val="000000"/>
                <w:vertAlign w:val="subscript"/>
              </w:rPr>
              <w:t>d1</w:t>
            </w:r>
            <w:r w:rsidRPr="00E049DC">
              <w:rPr>
                <w:rFonts w:cs="Times New Roman"/>
                <w:b/>
                <w:bCs/>
                <w:color w:val="000000"/>
              </w:rPr>
              <w:t xml:space="preserve"> (s</w:t>
            </w:r>
            <w:r w:rsidRPr="00E049DC">
              <w:rPr>
                <w:rFonts w:cs="Times New Roman"/>
                <w:b/>
                <w:bCs/>
                <w:color w:val="000000"/>
                <w:vertAlign w:val="superscript"/>
              </w:rPr>
              <w:t>-1</w:t>
            </w:r>
            <w:r w:rsidRPr="00E049DC">
              <w:rPr>
                <w:rFonts w:cs="Times New Roman"/>
                <w:b/>
                <w:bCs/>
                <w:color w:val="000000"/>
              </w:rPr>
              <w:t>)</w:t>
            </w:r>
          </w:p>
        </w:tc>
      </w:tr>
      <w:tr w:rsidR="00E049DC" w:rsidRPr="00AF064C" w14:paraId="7B9E8BE4" w14:textId="77777777" w:rsidTr="00AF064C">
        <w:trPr>
          <w:trHeight w:val="510"/>
        </w:trPr>
        <w:tc>
          <w:tcPr>
            <w:tcW w:w="10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1ADE03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color w:val="000000"/>
              </w:rPr>
              <w:t>Human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072A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401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8338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1.765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DDAE39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 xml:space="preserve">1.5 </w:t>
            </w:r>
          </w:p>
        </w:tc>
        <w:tc>
          <w:tcPr>
            <w:tcW w:w="11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7180FF" w14:textId="74CAA645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1.0</w:t>
            </w:r>
            <w:r w:rsidR="0059353A">
              <w:rPr>
                <w:rFonts w:cs="Times New Roman"/>
                <w:color w:val="000000"/>
              </w:rPr>
              <w:t>–</w:t>
            </w:r>
            <w:r w:rsidRPr="00E049DC">
              <w:rPr>
                <w:rFonts w:cs="Times New Roman"/>
                <w:color w:val="000000"/>
              </w:rPr>
              <w:t>2.2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8AA2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6.37E+05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C93415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6.00E+05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DFCB30" w14:textId="1D598E7E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5.3E+5</w:t>
            </w:r>
            <w:r w:rsidR="0059353A">
              <w:rPr>
                <w:rFonts w:cs="Times New Roman"/>
                <w:color w:val="000000"/>
              </w:rPr>
              <w:t>–</w:t>
            </w:r>
            <w:r w:rsidRPr="00E049DC">
              <w:rPr>
                <w:rFonts w:cs="Times New Roman"/>
                <w:color w:val="000000"/>
              </w:rPr>
              <w:t>6.9E+5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EE2A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1.13E-03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F7B9AC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8.90E-04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9AAAFD" w14:textId="0FBC4122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5.4E-4</w:t>
            </w:r>
            <w:r w:rsidR="0059353A">
              <w:rPr>
                <w:rFonts w:cs="Times New Roman"/>
                <w:color w:val="000000"/>
              </w:rPr>
              <w:t>–</w:t>
            </w:r>
            <w:r w:rsidRPr="00E049DC">
              <w:rPr>
                <w:rFonts w:cs="Times New Roman"/>
                <w:color w:val="000000"/>
              </w:rPr>
              <w:t>1.5E-3</w:t>
            </w:r>
          </w:p>
        </w:tc>
      </w:tr>
      <w:tr w:rsidR="00E049DC" w:rsidRPr="00AF064C" w14:paraId="3A0C5A2F" w14:textId="77777777" w:rsidTr="00AF064C">
        <w:trPr>
          <w:trHeight w:val="510"/>
        </w:trPr>
        <w:tc>
          <w:tcPr>
            <w:tcW w:w="10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699DD2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3BA8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419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88FA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1.3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14BCB5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83616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A4A8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5.99E+05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CC9DA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187DBE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E226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7.79E-04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9CBD06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0C5456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</w:tr>
      <w:tr w:rsidR="00E049DC" w:rsidRPr="00AF064C" w14:paraId="4B9E9C41" w14:textId="77777777" w:rsidTr="00AF064C">
        <w:trPr>
          <w:trHeight w:val="510"/>
        </w:trPr>
        <w:tc>
          <w:tcPr>
            <w:tcW w:w="10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EC8921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5787A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405.3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BB0B8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1.418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B758DC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D8DDD7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36CD9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5.73E+05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33C8D3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AC3A90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FA685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8.12E-04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B3E79F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C9BE83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</w:tr>
      <w:tr w:rsidR="00E049DC" w:rsidRPr="00AF064C" w14:paraId="128C934C" w14:textId="77777777" w:rsidTr="00AF064C">
        <w:trPr>
          <w:trHeight w:val="510"/>
        </w:trPr>
        <w:tc>
          <w:tcPr>
            <w:tcW w:w="10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DD3C69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color w:val="000000"/>
              </w:rPr>
              <w:t>Mouse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56F9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438.9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453C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 xml:space="preserve">0.825 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C8B9CF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 xml:space="preserve">1.0 </w:t>
            </w:r>
          </w:p>
        </w:tc>
        <w:tc>
          <w:tcPr>
            <w:tcW w:w="11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8CF7B6" w14:textId="441B6229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0.65</w:t>
            </w:r>
            <w:r w:rsidR="0059353A">
              <w:rPr>
                <w:rFonts w:cs="Times New Roman"/>
                <w:color w:val="000000"/>
              </w:rPr>
              <w:t>–</w:t>
            </w:r>
            <w:r w:rsidRPr="00E049DC">
              <w:rPr>
                <w:rFonts w:cs="Times New Roman"/>
                <w:color w:val="000000"/>
              </w:rPr>
              <w:t>1.6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0631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6.93E+05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E2500E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6.60E+05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260326" w14:textId="69918A32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4.9E+5</w:t>
            </w:r>
            <w:r w:rsidR="0059353A">
              <w:rPr>
                <w:rFonts w:cs="Times New Roman"/>
                <w:color w:val="000000"/>
              </w:rPr>
              <w:t>–</w:t>
            </w:r>
            <w:r w:rsidRPr="00E049DC">
              <w:rPr>
                <w:rFonts w:cs="Times New Roman"/>
                <w:color w:val="000000"/>
              </w:rPr>
              <w:t>8.7E+5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AF62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5.72E-04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7C0FA1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6.70E-04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7062D7" w14:textId="0F6F8F10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4.4E-4</w:t>
            </w:r>
            <w:r w:rsidR="0059353A">
              <w:rPr>
                <w:rFonts w:cs="Times New Roman"/>
                <w:color w:val="000000"/>
              </w:rPr>
              <w:t>–</w:t>
            </w:r>
            <w:r w:rsidRPr="00E049DC">
              <w:rPr>
                <w:rFonts w:cs="Times New Roman"/>
                <w:color w:val="000000"/>
              </w:rPr>
              <w:t>1.0E-3</w:t>
            </w:r>
          </w:p>
        </w:tc>
      </w:tr>
      <w:tr w:rsidR="00E049DC" w:rsidRPr="00AF064C" w14:paraId="457924A4" w14:textId="77777777" w:rsidTr="00AF064C">
        <w:trPr>
          <w:trHeight w:val="510"/>
        </w:trPr>
        <w:tc>
          <w:tcPr>
            <w:tcW w:w="10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FB7F23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21DB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406.7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949D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1.149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E644DF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ECDFFA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3FCE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5.77E+05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F199D6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A7A0BA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CE53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6.63E-04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70F5F5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988D80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</w:tr>
      <w:tr w:rsidR="00E049DC" w:rsidRPr="00AF064C" w14:paraId="4EC25C59" w14:textId="77777777" w:rsidTr="00AF064C">
        <w:trPr>
          <w:trHeight w:val="510"/>
        </w:trPr>
        <w:tc>
          <w:tcPr>
            <w:tcW w:w="10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7F89CF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6A90F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393.5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07CA3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1.124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5A7167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D3D61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89E96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7.12E+05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18ACFE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B17792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4FA14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8.00E-04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3A832B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C6E16A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</w:tr>
      <w:tr w:rsidR="00E049DC" w:rsidRPr="00AF064C" w14:paraId="19F938DD" w14:textId="77777777" w:rsidTr="00AF064C">
        <w:trPr>
          <w:trHeight w:val="510"/>
        </w:trPr>
        <w:tc>
          <w:tcPr>
            <w:tcW w:w="10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5DAF0E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color w:val="000000"/>
              </w:rPr>
              <w:t>Rat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7511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413.8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E3DF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1.404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669B8E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 xml:space="preserve">1.3 </w:t>
            </w:r>
          </w:p>
        </w:tc>
        <w:tc>
          <w:tcPr>
            <w:tcW w:w="11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6A839C" w14:textId="45D005B2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0.81</w:t>
            </w:r>
            <w:r w:rsidR="0059353A">
              <w:rPr>
                <w:rFonts w:cs="Times New Roman"/>
                <w:color w:val="000000"/>
              </w:rPr>
              <w:t>–</w:t>
            </w:r>
            <w:r w:rsidRPr="00E049DC">
              <w:rPr>
                <w:rFonts w:cs="Times New Roman"/>
                <w:color w:val="000000"/>
              </w:rPr>
              <w:t>2.2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CD2A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5.76E+05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96A7C3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5.90E+05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AEC612" w14:textId="58774FEF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5.2E+5</w:t>
            </w:r>
            <w:r w:rsidR="0059353A">
              <w:rPr>
                <w:rFonts w:cs="Times New Roman"/>
                <w:color w:val="000000"/>
              </w:rPr>
              <w:t>–</w:t>
            </w:r>
            <w:r w:rsidRPr="00E049DC">
              <w:rPr>
                <w:rFonts w:cs="Times New Roman"/>
                <w:color w:val="000000"/>
              </w:rPr>
              <w:t>6.7E+5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7F65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8.09E-04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B14466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7.70E-04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99B672" w14:textId="74426E98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5.4E-4</w:t>
            </w:r>
            <w:r w:rsidR="0059353A">
              <w:rPr>
                <w:rFonts w:cs="Times New Roman"/>
                <w:color w:val="000000"/>
              </w:rPr>
              <w:t>–</w:t>
            </w:r>
            <w:r w:rsidRPr="00E049DC">
              <w:rPr>
                <w:rFonts w:cs="Times New Roman"/>
                <w:color w:val="000000"/>
              </w:rPr>
              <w:t>1.1E-3</w:t>
            </w:r>
          </w:p>
        </w:tc>
      </w:tr>
      <w:tr w:rsidR="00E049DC" w:rsidRPr="00AF064C" w14:paraId="7B16AC4A" w14:textId="77777777" w:rsidTr="00AF064C">
        <w:trPr>
          <w:trHeight w:val="510"/>
        </w:trPr>
        <w:tc>
          <w:tcPr>
            <w:tcW w:w="10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073D19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8E25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399.4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05C5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1.549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9338CB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F6C8F7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AA6F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5.63E+05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FF4429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E69895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751B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8.72E-04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152B8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3F2260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</w:tr>
      <w:tr w:rsidR="00E049DC" w:rsidRPr="00AF064C" w14:paraId="1AD7E3C6" w14:textId="77777777" w:rsidTr="00AF064C">
        <w:trPr>
          <w:trHeight w:val="510"/>
        </w:trPr>
        <w:tc>
          <w:tcPr>
            <w:tcW w:w="10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DC96FC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8FE04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409.6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5A955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1.062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4DFF76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4E4D0D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EB6DF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6.21E+05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EA9055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AFE885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7EF6A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6.59E-04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2878B8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AC0210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</w:tr>
      <w:tr w:rsidR="00E049DC" w:rsidRPr="00AF064C" w14:paraId="09861DD3" w14:textId="77777777" w:rsidTr="00AF064C">
        <w:trPr>
          <w:trHeight w:val="510"/>
        </w:trPr>
        <w:tc>
          <w:tcPr>
            <w:tcW w:w="10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49F31A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b/>
                <w:bCs/>
                <w:color w:val="000000"/>
              </w:rPr>
            </w:pPr>
            <w:r w:rsidRPr="00E049DC">
              <w:rPr>
                <w:rFonts w:cs="Times New Roman"/>
                <w:b/>
                <w:bCs/>
                <w:color w:val="000000"/>
              </w:rPr>
              <w:t>Monkey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13ED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442.5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18A7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1.224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03A94B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 xml:space="preserve">1.5 </w:t>
            </w:r>
          </w:p>
        </w:tc>
        <w:tc>
          <w:tcPr>
            <w:tcW w:w="11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826801" w14:textId="3399B734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0.61</w:t>
            </w:r>
            <w:r w:rsidR="0059353A">
              <w:rPr>
                <w:rFonts w:cs="Times New Roman"/>
                <w:color w:val="000000"/>
              </w:rPr>
              <w:t>–</w:t>
            </w:r>
            <w:r w:rsidRPr="00E049DC">
              <w:rPr>
                <w:rFonts w:cs="Times New Roman"/>
                <w:color w:val="000000"/>
              </w:rPr>
              <w:t>3.8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CC53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6.08E+05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975D74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5.90E+05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E8E1B0" w14:textId="2B1614A4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5.5E+5</w:t>
            </w:r>
            <w:r w:rsidR="0059353A">
              <w:rPr>
                <w:rFonts w:cs="Times New Roman"/>
                <w:color w:val="000000"/>
              </w:rPr>
              <w:t>–</w:t>
            </w:r>
            <w:r w:rsidRPr="00E049DC">
              <w:rPr>
                <w:rFonts w:cs="Times New Roman"/>
                <w:color w:val="000000"/>
              </w:rPr>
              <w:t>6.3E+5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FFC4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7.44E-04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2EF273" w14:textId="77777777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9.00E-04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17DD01" w14:textId="0922ADC0" w:rsidR="00E049DC" w:rsidRPr="00E049DC" w:rsidRDefault="00E049DC" w:rsidP="00E049DC">
            <w:pPr>
              <w:widowControl/>
              <w:jc w:val="center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3.7E-4</w:t>
            </w:r>
            <w:r w:rsidR="0059353A">
              <w:rPr>
                <w:rFonts w:cs="Times New Roman"/>
                <w:color w:val="000000"/>
              </w:rPr>
              <w:t>–</w:t>
            </w:r>
            <w:r w:rsidRPr="00E049DC">
              <w:rPr>
                <w:rFonts w:cs="Times New Roman"/>
                <w:color w:val="000000"/>
              </w:rPr>
              <w:t>2.1E-3</w:t>
            </w:r>
          </w:p>
        </w:tc>
      </w:tr>
      <w:tr w:rsidR="00E049DC" w:rsidRPr="00AF064C" w14:paraId="3BB2A2C7" w14:textId="77777777" w:rsidTr="00AF064C">
        <w:trPr>
          <w:trHeight w:val="510"/>
        </w:trPr>
        <w:tc>
          <w:tcPr>
            <w:tcW w:w="10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32CC70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EC02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444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E45D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1.245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28A33F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0B6B19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754C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5.77E+05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58CEEF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0776FF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FC1E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7.19E-04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10B888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8404A3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</w:tr>
      <w:tr w:rsidR="00E049DC" w:rsidRPr="00AF064C" w14:paraId="6087E384" w14:textId="77777777" w:rsidTr="00AF064C">
        <w:trPr>
          <w:trHeight w:val="510"/>
        </w:trPr>
        <w:tc>
          <w:tcPr>
            <w:tcW w:w="10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1B83A9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6BC4A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401.7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2512D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2.328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B11393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48BB47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57A92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5.78E+05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BFC8C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4419B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59A5E" w14:textId="77777777" w:rsidR="00E049DC" w:rsidRPr="00E049DC" w:rsidRDefault="00E049DC" w:rsidP="00E049DC">
            <w:pPr>
              <w:widowControl/>
              <w:jc w:val="right"/>
              <w:rPr>
                <w:rFonts w:cs="Times New Roman"/>
                <w:color w:val="000000"/>
              </w:rPr>
            </w:pPr>
            <w:r w:rsidRPr="00E049DC">
              <w:rPr>
                <w:rFonts w:cs="Times New Roman"/>
                <w:color w:val="000000"/>
              </w:rPr>
              <w:t>1.35E-03</w:t>
            </w: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FF7CA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71F319" w14:textId="77777777" w:rsidR="00E049DC" w:rsidRPr="00E049DC" w:rsidRDefault="00E049DC" w:rsidP="00E049DC">
            <w:pPr>
              <w:widowControl/>
              <w:jc w:val="left"/>
              <w:rPr>
                <w:rFonts w:cs="Times New Roman"/>
                <w:color w:val="000000"/>
              </w:rPr>
            </w:pPr>
          </w:p>
        </w:tc>
      </w:tr>
    </w:tbl>
    <w:p w14:paraId="638BD53C" w14:textId="60048E47" w:rsidR="00C36768" w:rsidRPr="00CA5A56" w:rsidRDefault="00C36768" w:rsidP="00F2122C">
      <w:pPr>
        <w:widowControl/>
        <w:spacing w:line="480" w:lineRule="auto"/>
        <w:jc w:val="left"/>
        <w:rPr>
          <w:bCs/>
        </w:rPr>
      </w:pPr>
      <w:r w:rsidRPr="003A7C7D">
        <w:rPr>
          <w:b/>
        </w:rPr>
        <w:t xml:space="preserve">Supplementary Table </w:t>
      </w:r>
      <w:r w:rsidR="00AF064C">
        <w:rPr>
          <w:bCs/>
        </w:rPr>
        <w:t xml:space="preserve">| </w:t>
      </w:r>
      <w:r w:rsidRPr="00AF064C">
        <w:rPr>
          <w:b/>
        </w:rPr>
        <w:t xml:space="preserve">Binding activity of ASP4021 to human, mouse, rat, and monkey Tie2 </w:t>
      </w:r>
    </w:p>
    <w:p w14:paraId="6F05D5F8" w14:textId="2E92100B" w:rsidR="00AF064C" w:rsidRPr="00C36768" w:rsidRDefault="00AF064C" w:rsidP="00AF064C">
      <w:pPr>
        <w:spacing w:line="480" w:lineRule="auto"/>
      </w:pPr>
      <w:r>
        <w:t xml:space="preserve">Summary of binding kinetics of ASP4021 </w:t>
      </w:r>
      <w:r w:rsidR="006C1758">
        <w:t xml:space="preserve">to </w:t>
      </w:r>
      <w:r w:rsidRPr="00AF064C">
        <w:t>human, mouse, rat, and monkey Tie2</w:t>
      </w:r>
      <w:r w:rsidR="006C1758">
        <w:t>,</w:t>
      </w:r>
      <w:r>
        <w:t xml:space="preserve"> </w:t>
      </w:r>
      <w:r w:rsidRPr="00AF064C">
        <w:t>analyzed using a Biacore system based on a surface plasmon resonance technique. The dissociation constant (K</w:t>
      </w:r>
      <w:r w:rsidRPr="00AF064C">
        <w:rPr>
          <w:vertAlign w:val="subscript"/>
        </w:rPr>
        <w:t>D</w:t>
      </w:r>
      <w:r w:rsidRPr="00AF064C">
        <w:t>)</w:t>
      </w:r>
      <w:r>
        <w:t>, association rate constant (</w:t>
      </w:r>
      <w:r w:rsidRPr="00AF064C">
        <w:rPr>
          <w:i/>
          <w:iCs/>
        </w:rPr>
        <w:t>k</w:t>
      </w:r>
      <w:r w:rsidRPr="00AF064C">
        <w:rPr>
          <w:vertAlign w:val="subscript"/>
        </w:rPr>
        <w:t>a1</w:t>
      </w:r>
      <w:r>
        <w:t>) and dissociation rate constant (</w:t>
      </w:r>
      <w:r w:rsidRPr="00AF064C">
        <w:rPr>
          <w:i/>
          <w:iCs/>
        </w:rPr>
        <w:t>k</w:t>
      </w:r>
      <w:r w:rsidRPr="00AF064C">
        <w:rPr>
          <w:vertAlign w:val="subscript"/>
        </w:rPr>
        <w:t>d1</w:t>
      </w:r>
      <w:r>
        <w:t xml:space="preserve">) were calculated using Biacore T200 evaluation software version 3.0 (GE Healthcare Life Sciences) by fitting </w:t>
      </w:r>
      <w:r w:rsidR="00473B15">
        <w:t xml:space="preserve">the </w:t>
      </w:r>
      <w:r>
        <w:t>results of sensorgrams obtained from a bivalent binding model (only Rmax was changed from “Fit global” to “Fit local”). For each antigen, the geometric mean and 95% confidence interval of K</w:t>
      </w:r>
      <w:r w:rsidRPr="003D489C">
        <w:rPr>
          <w:vertAlign w:val="subscript"/>
        </w:rPr>
        <w:t>D</w:t>
      </w:r>
      <w:r>
        <w:t xml:space="preserve">, </w:t>
      </w:r>
      <w:r w:rsidRPr="003D489C">
        <w:rPr>
          <w:i/>
          <w:iCs/>
        </w:rPr>
        <w:t>k</w:t>
      </w:r>
      <w:r w:rsidRPr="003D489C">
        <w:rPr>
          <w:vertAlign w:val="subscript"/>
        </w:rPr>
        <w:t>a1</w:t>
      </w:r>
      <w:r>
        <w:t xml:space="preserve">, and </w:t>
      </w:r>
      <w:r w:rsidRPr="003D489C">
        <w:rPr>
          <w:i/>
          <w:iCs/>
        </w:rPr>
        <w:t>k</w:t>
      </w:r>
      <w:r w:rsidRPr="003D489C">
        <w:rPr>
          <w:vertAlign w:val="subscript"/>
        </w:rPr>
        <w:t>d1</w:t>
      </w:r>
      <w:r>
        <w:t xml:space="preserve"> were calculated using Microsoft® Excel 2010 SP2</w:t>
      </w:r>
      <w:r w:rsidRPr="00AF064C">
        <w:t xml:space="preserve"> (Microsoft)</w:t>
      </w:r>
      <w:r>
        <w:t xml:space="preserve">. </w:t>
      </w:r>
    </w:p>
    <w:sectPr w:rsidR="00AF064C" w:rsidRPr="00C36768" w:rsidSect="00664208">
      <w:footerReference w:type="default" r:id="rId12"/>
      <w:pgSz w:w="15840" w:h="12240" w:orient="landscape" w:code="1"/>
      <w:pgMar w:top="1418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53A84" w14:textId="77777777" w:rsidR="000C47E8" w:rsidRDefault="000C47E8" w:rsidP="009167F8">
      <w:r>
        <w:separator/>
      </w:r>
    </w:p>
  </w:endnote>
  <w:endnote w:type="continuationSeparator" w:id="0">
    <w:p w14:paraId="6D5F794B" w14:textId="77777777" w:rsidR="000C47E8" w:rsidRDefault="000C47E8" w:rsidP="0091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099109"/>
      <w:docPartObj>
        <w:docPartGallery w:val="Page Numbers (Bottom of Page)"/>
        <w:docPartUnique/>
      </w:docPartObj>
    </w:sdtPr>
    <w:sdtEndPr/>
    <w:sdtContent>
      <w:p w14:paraId="1C200720" w14:textId="3CA3CCC3" w:rsidR="00CB748E" w:rsidRDefault="00F60E78">
        <w:pPr>
          <w:pStyle w:val="Footer"/>
          <w:jc w:val="center"/>
        </w:pPr>
        <w:r>
          <w:rPr>
            <w:rFonts w:hint="eastAsia"/>
          </w:rPr>
          <w:t>S</w:t>
        </w:r>
        <w:r w:rsidR="00CB748E">
          <w:fldChar w:fldCharType="begin"/>
        </w:r>
        <w:r w:rsidR="00CB748E">
          <w:instrText>PAGE   \* MERGEFORMAT</w:instrText>
        </w:r>
        <w:r w:rsidR="00CB748E">
          <w:fldChar w:fldCharType="separate"/>
        </w:r>
        <w:r w:rsidR="00664208" w:rsidRPr="00664208">
          <w:rPr>
            <w:noProof/>
            <w:lang w:val="ja-JP"/>
          </w:rPr>
          <w:t>12</w:t>
        </w:r>
        <w:r w:rsidR="00CB748E">
          <w:fldChar w:fldCharType="end"/>
        </w:r>
      </w:p>
    </w:sdtContent>
  </w:sdt>
  <w:p w14:paraId="51A3AD6A" w14:textId="77777777" w:rsidR="00CB748E" w:rsidRDefault="00CB74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6857A" w14:textId="77777777" w:rsidR="000C47E8" w:rsidRDefault="000C47E8" w:rsidP="009167F8">
      <w:r>
        <w:separator/>
      </w:r>
    </w:p>
  </w:footnote>
  <w:footnote w:type="continuationSeparator" w:id="0">
    <w:p w14:paraId="09056ED4" w14:textId="77777777" w:rsidR="000C47E8" w:rsidRDefault="000C47E8" w:rsidP="00916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BA26DCC"/>
    <w:lvl w:ilvl="0">
      <w:start w:val="1"/>
      <w:numFmt w:val="bullet"/>
      <w:pStyle w:val="List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EC"/>
    <w:rsid w:val="00010E79"/>
    <w:rsid w:val="00017A98"/>
    <w:rsid w:val="00021E26"/>
    <w:rsid w:val="000229EC"/>
    <w:rsid w:val="00033B0D"/>
    <w:rsid w:val="00040C75"/>
    <w:rsid w:val="00053EB0"/>
    <w:rsid w:val="00056EA1"/>
    <w:rsid w:val="0006086A"/>
    <w:rsid w:val="00066E10"/>
    <w:rsid w:val="000673C8"/>
    <w:rsid w:val="0008086C"/>
    <w:rsid w:val="00082E2F"/>
    <w:rsid w:val="000926DF"/>
    <w:rsid w:val="0009617A"/>
    <w:rsid w:val="00097426"/>
    <w:rsid w:val="000A30AC"/>
    <w:rsid w:val="000A7469"/>
    <w:rsid w:val="000B2EEC"/>
    <w:rsid w:val="000B66BD"/>
    <w:rsid w:val="000C27AD"/>
    <w:rsid w:val="000C312C"/>
    <w:rsid w:val="000C42CB"/>
    <w:rsid w:val="000C47E8"/>
    <w:rsid w:val="000D2799"/>
    <w:rsid w:val="000E0666"/>
    <w:rsid w:val="000E14BF"/>
    <w:rsid w:val="000F142F"/>
    <w:rsid w:val="000F320A"/>
    <w:rsid w:val="000F4753"/>
    <w:rsid w:val="000F7586"/>
    <w:rsid w:val="001048C1"/>
    <w:rsid w:val="0010541D"/>
    <w:rsid w:val="0011671B"/>
    <w:rsid w:val="001246B5"/>
    <w:rsid w:val="00141886"/>
    <w:rsid w:val="00146CDC"/>
    <w:rsid w:val="00153016"/>
    <w:rsid w:val="00155F94"/>
    <w:rsid w:val="00161B6D"/>
    <w:rsid w:val="0016288B"/>
    <w:rsid w:val="00174307"/>
    <w:rsid w:val="00174848"/>
    <w:rsid w:val="001824C2"/>
    <w:rsid w:val="00184056"/>
    <w:rsid w:val="00185177"/>
    <w:rsid w:val="001A0048"/>
    <w:rsid w:val="001A2510"/>
    <w:rsid w:val="001A41B6"/>
    <w:rsid w:val="001A5CE3"/>
    <w:rsid w:val="001B4A3A"/>
    <w:rsid w:val="001B77C8"/>
    <w:rsid w:val="001C0D66"/>
    <w:rsid w:val="001D5DFB"/>
    <w:rsid w:val="001E2F83"/>
    <w:rsid w:val="001F3A38"/>
    <w:rsid w:val="001F5B3F"/>
    <w:rsid w:val="001F645F"/>
    <w:rsid w:val="0020346C"/>
    <w:rsid w:val="00203CEC"/>
    <w:rsid w:val="00221286"/>
    <w:rsid w:val="00222561"/>
    <w:rsid w:val="002225A6"/>
    <w:rsid w:val="00223D43"/>
    <w:rsid w:val="002245CD"/>
    <w:rsid w:val="00225FAA"/>
    <w:rsid w:val="00235767"/>
    <w:rsid w:val="00241A36"/>
    <w:rsid w:val="00243C75"/>
    <w:rsid w:val="002465CE"/>
    <w:rsid w:val="00246F1E"/>
    <w:rsid w:val="00253A0E"/>
    <w:rsid w:val="002560B8"/>
    <w:rsid w:val="002626D9"/>
    <w:rsid w:val="00266288"/>
    <w:rsid w:val="00270494"/>
    <w:rsid w:val="0027151C"/>
    <w:rsid w:val="002717A8"/>
    <w:rsid w:val="00272460"/>
    <w:rsid w:val="00273F05"/>
    <w:rsid w:val="002760EF"/>
    <w:rsid w:val="002809A0"/>
    <w:rsid w:val="00290320"/>
    <w:rsid w:val="00290BF6"/>
    <w:rsid w:val="00294B85"/>
    <w:rsid w:val="00295926"/>
    <w:rsid w:val="002A099E"/>
    <w:rsid w:val="002A276D"/>
    <w:rsid w:val="002B47BA"/>
    <w:rsid w:val="002C072E"/>
    <w:rsid w:val="002D1178"/>
    <w:rsid w:val="002D3733"/>
    <w:rsid w:val="002D57F2"/>
    <w:rsid w:val="002D7022"/>
    <w:rsid w:val="002E122D"/>
    <w:rsid w:val="002E2419"/>
    <w:rsid w:val="002E4E21"/>
    <w:rsid w:val="002E516D"/>
    <w:rsid w:val="002E66F1"/>
    <w:rsid w:val="002F2E59"/>
    <w:rsid w:val="002F4A5B"/>
    <w:rsid w:val="002F4E58"/>
    <w:rsid w:val="002F4FB2"/>
    <w:rsid w:val="002F67F9"/>
    <w:rsid w:val="003020DD"/>
    <w:rsid w:val="00310389"/>
    <w:rsid w:val="00312FBA"/>
    <w:rsid w:val="00313423"/>
    <w:rsid w:val="00326874"/>
    <w:rsid w:val="003271FC"/>
    <w:rsid w:val="0033486E"/>
    <w:rsid w:val="003434F9"/>
    <w:rsid w:val="003457DE"/>
    <w:rsid w:val="003472D5"/>
    <w:rsid w:val="00373860"/>
    <w:rsid w:val="00385F8C"/>
    <w:rsid w:val="003871B4"/>
    <w:rsid w:val="003905DF"/>
    <w:rsid w:val="00390697"/>
    <w:rsid w:val="0039252E"/>
    <w:rsid w:val="00392790"/>
    <w:rsid w:val="00393FFB"/>
    <w:rsid w:val="003952BF"/>
    <w:rsid w:val="003964C0"/>
    <w:rsid w:val="00397D1B"/>
    <w:rsid w:val="003A6197"/>
    <w:rsid w:val="003A7C7D"/>
    <w:rsid w:val="003B0C19"/>
    <w:rsid w:val="003B3801"/>
    <w:rsid w:val="003B3A92"/>
    <w:rsid w:val="003C185A"/>
    <w:rsid w:val="003C3F35"/>
    <w:rsid w:val="003C47FF"/>
    <w:rsid w:val="003C70AA"/>
    <w:rsid w:val="003D2DB5"/>
    <w:rsid w:val="003D489C"/>
    <w:rsid w:val="003E5443"/>
    <w:rsid w:val="003F100C"/>
    <w:rsid w:val="003F7E6E"/>
    <w:rsid w:val="00400556"/>
    <w:rsid w:val="004050F2"/>
    <w:rsid w:val="00407AA2"/>
    <w:rsid w:val="00410F0B"/>
    <w:rsid w:val="004132C1"/>
    <w:rsid w:val="004172B3"/>
    <w:rsid w:val="00422224"/>
    <w:rsid w:val="004236C2"/>
    <w:rsid w:val="004251D3"/>
    <w:rsid w:val="00427DEA"/>
    <w:rsid w:val="00434545"/>
    <w:rsid w:val="00436CA7"/>
    <w:rsid w:val="00440117"/>
    <w:rsid w:val="004414E6"/>
    <w:rsid w:val="00446E25"/>
    <w:rsid w:val="004573E6"/>
    <w:rsid w:val="00465E70"/>
    <w:rsid w:val="00473B15"/>
    <w:rsid w:val="00480F56"/>
    <w:rsid w:val="00487AD6"/>
    <w:rsid w:val="0049435C"/>
    <w:rsid w:val="004957DA"/>
    <w:rsid w:val="004A26FC"/>
    <w:rsid w:val="004B5E5B"/>
    <w:rsid w:val="004C114B"/>
    <w:rsid w:val="004C719C"/>
    <w:rsid w:val="004D16DC"/>
    <w:rsid w:val="004D5D64"/>
    <w:rsid w:val="004D60CA"/>
    <w:rsid w:val="004E1CD9"/>
    <w:rsid w:val="004F1DD4"/>
    <w:rsid w:val="004F30EA"/>
    <w:rsid w:val="00501950"/>
    <w:rsid w:val="00506A36"/>
    <w:rsid w:val="00506E04"/>
    <w:rsid w:val="00522884"/>
    <w:rsid w:val="00525374"/>
    <w:rsid w:val="00527324"/>
    <w:rsid w:val="005313C6"/>
    <w:rsid w:val="00535E71"/>
    <w:rsid w:val="00545B88"/>
    <w:rsid w:val="00551D6D"/>
    <w:rsid w:val="00557C10"/>
    <w:rsid w:val="00564F77"/>
    <w:rsid w:val="00567C6F"/>
    <w:rsid w:val="005703A8"/>
    <w:rsid w:val="00570894"/>
    <w:rsid w:val="00574903"/>
    <w:rsid w:val="00575B90"/>
    <w:rsid w:val="00575E33"/>
    <w:rsid w:val="00583C3A"/>
    <w:rsid w:val="00584231"/>
    <w:rsid w:val="005870E7"/>
    <w:rsid w:val="00587440"/>
    <w:rsid w:val="0059353A"/>
    <w:rsid w:val="00595D00"/>
    <w:rsid w:val="005A50DB"/>
    <w:rsid w:val="005A5BEF"/>
    <w:rsid w:val="005A7820"/>
    <w:rsid w:val="005B2D34"/>
    <w:rsid w:val="005B4CF7"/>
    <w:rsid w:val="005C00BA"/>
    <w:rsid w:val="005C5CBA"/>
    <w:rsid w:val="005C7884"/>
    <w:rsid w:val="005E340C"/>
    <w:rsid w:val="005F31C2"/>
    <w:rsid w:val="005F6D8A"/>
    <w:rsid w:val="005F7842"/>
    <w:rsid w:val="006030F8"/>
    <w:rsid w:val="006051F6"/>
    <w:rsid w:val="00605FF7"/>
    <w:rsid w:val="006071D8"/>
    <w:rsid w:val="006107CF"/>
    <w:rsid w:val="006151FB"/>
    <w:rsid w:val="006169BE"/>
    <w:rsid w:val="00625D0C"/>
    <w:rsid w:val="0063212B"/>
    <w:rsid w:val="00634A22"/>
    <w:rsid w:val="00644D0D"/>
    <w:rsid w:val="00650C61"/>
    <w:rsid w:val="00660238"/>
    <w:rsid w:val="00664208"/>
    <w:rsid w:val="00664DB4"/>
    <w:rsid w:val="00665D68"/>
    <w:rsid w:val="00681B23"/>
    <w:rsid w:val="00684BEE"/>
    <w:rsid w:val="006912E3"/>
    <w:rsid w:val="00692787"/>
    <w:rsid w:val="00696A59"/>
    <w:rsid w:val="006A05DE"/>
    <w:rsid w:val="006B1E11"/>
    <w:rsid w:val="006B39B0"/>
    <w:rsid w:val="006C1758"/>
    <w:rsid w:val="006C3821"/>
    <w:rsid w:val="006C3C01"/>
    <w:rsid w:val="006C4C2B"/>
    <w:rsid w:val="006D0267"/>
    <w:rsid w:val="006D2AE8"/>
    <w:rsid w:val="006D3E2D"/>
    <w:rsid w:val="006D4F56"/>
    <w:rsid w:val="006D620F"/>
    <w:rsid w:val="006E5415"/>
    <w:rsid w:val="006F446A"/>
    <w:rsid w:val="006F4637"/>
    <w:rsid w:val="00702164"/>
    <w:rsid w:val="00702D1A"/>
    <w:rsid w:val="00704693"/>
    <w:rsid w:val="007075C9"/>
    <w:rsid w:val="007114C1"/>
    <w:rsid w:val="00711DC4"/>
    <w:rsid w:val="00713A6B"/>
    <w:rsid w:val="007146D8"/>
    <w:rsid w:val="0071631E"/>
    <w:rsid w:val="00725977"/>
    <w:rsid w:val="00731E3E"/>
    <w:rsid w:val="0073639E"/>
    <w:rsid w:val="00741919"/>
    <w:rsid w:val="0075670B"/>
    <w:rsid w:val="00771C2E"/>
    <w:rsid w:val="007723A5"/>
    <w:rsid w:val="00773245"/>
    <w:rsid w:val="00773936"/>
    <w:rsid w:val="007852EC"/>
    <w:rsid w:val="0078651C"/>
    <w:rsid w:val="00790A6F"/>
    <w:rsid w:val="00791A12"/>
    <w:rsid w:val="007B0A63"/>
    <w:rsid w:val="007B552D"/>
    <w:rsid w:val="007B5DE1"/>
    <w:rsid w:val="007C3A8E"/>
    <w:rsid w:val="007C4B12"/>
    <w:rsid w:val="007C5C2A"/>
    <w:rsid w:val="007C63D5"/>
    <w:rsid w:val="007D1D9E"/>
    <w:rsid w:val="007E423A"/>
    <w:rsid w:val="007E7483"/>
    <w:rsid w:val="007F23B5"/>
    <w:rsid w:val="007F390F"/>
    <w:rsid w:val="008054F3"/>
    <w:rsid w:val="0081411A"/>
    <w:rsid w:val="00817370"/>
    <w:rsid w:val="008211E6"/>
    <w:rsid w:val="00825414"/>
    <w:rsid w:val="00825BE8"/>
    <w:rsid w:val="00832ED5"/>
    <w:rsid w:val="008332A0"/>
    <w:rsid w:val="0083645E"/>
    <w:rsid w:val="008468A1"/>
    <w:rsid w:val="008509B3"/>
    <w:rsid w:val="00854969"/>
    <w:rsid w:val="00855252"/>
    <w:rsid w:val="0086027C"/>
    <w:rsid w:val="008744BC"/>
    <w:rsid w:val="00890946"/>
    <w:rsid w:val="00891AAC"/>
    <w:rsid w:val="008957EE"/>
    <w:rsid w:val="0089724D"/>
    <w:rsid w:val="008A2EA0"/>
    <w:rsid w:val="008A580F"/>
    <w:rsid w:val="008B5DDA"/>
    <w:rsid w:val="008B6D3E"/>
    <w:rsid w:val="008B6F98"/>
    <w:rsid w:val="008C22F4"/>
    <w:rsid w:val="008C2A29"/>
    <w:rsid w:val="008D4781"/>
    <w:rsid w:val="008D576C"/>
    <w:rsid w:val="008E3A88"/>
    <w:rsid w:val="008E6016"/>
    <w:rsid w:val="008F4948"/>
    <w:rsid w:val="008F690D"/>
    <w:rsid w:val="0090482D"/>
    <w:rsid w:val="00907C25"/>
    <w:rsid w:val="00907D4E"/>
    <w:rsid w:val="009102BC"/>
    <w:rsid w:val="009115B4"/>
    <w:rsid w:val="00913440"/>
    <w:rsid w:val="009167F8"/>
    <w:rsid w:val="00916942"/>
    <w:rsid w:val="0091735F"/>
    <w:rsid w:val="0093630F"/>
    <w:rsid w:val="009434F7"/>
    <w:rsid w:val="00945543"/>
    <w:rsid w:val="00960CD3"/>
    <w:rsid w:val="00962769"/>
    <w:rsid w:val="009711E2"/>
    <w:rsid w:val="00971AB4"/>
    <w:rsid w:val="00975E31"/>
    <w:rsid w:val="009775B3"/>
    <w:rsid w:val="009800AB"/>
    <w:rsid w:val="00982348"/>
    <w:rsid w:val="00985E7C"/>
    <w:rsid w:val="009913F7"/>
    <w:rsid w:val="0099177D"/>
    <w:rsid w:val="009919F9"/>
    <w:rsid w:val="009C218D"/>
    <w:rsid w:val="009C2F3F"/>
    <w:rsid w:val="009C335D"/>
    <w:rsid w:val="009D70FC"/>
    <w:rsid w:val="009E1F09"/>
    <w:rsid w:val="009E5D0C"/>
    <w:rsid w:val="009E672B"/>
    <w:rsid w:val="009F76F5"/>
    <w:rsid w:val="00A05C3C"/>
    <w:rsid w:val="00A104FC"/>
    <w:rsid w:val="00A15EA4"/>
    <w:rsid w:val="00A2780C"/>
    <w:rsid w:val="00A37536"/>
    <w:rsid w:val="00A60891"/>
    <w:rsid w:val="00A71295"/>
    <w:rsid w:val="00A73F07"/>
    <w:rsid w:val="00A7728B"/>
    <w:rsid w:val="00A8082E"/>
    <w:rsid w:val="00A81670"/>
    <w:rsid w:val="00A82A9A"/>
    <w:rsid w:val="00A82B35"/>
    <w:rsid w:val="00A830B7"/>
    <w:rsid w:val="00A9241D"/>
    <w:rsid w:val="00A937F8"/>
    <w:rsid w:val="00A96C56"/>
    <w:rsid w:val="00A9782C"/>
    <w:rsid w:val="00AA357B"/>
    <w:rsid w:val="00AA39E9"/>
    <w:rsid w:val="00AA5828"/>
    <w:rsid w:val="00AB1E0F"/>
    <w:rsid w:val="00AB5FF3"/>
    <w:rsid w:val="00AC6483"/>
    <w:rsid w:val="00AC6BDF"/>
    <w:rsid w:val="00AD53FA"/>
    <w:rsid w:val="00AD6395"/>
    <w:rsid w:val="00AD7D98"/>
    <w:rsid w:val="00AE0823"/>
    <w:rsid w:val="00AE1C45"/>
    <w:rsid w:val="00AF064C"/>
    <w:rsid w:val="00AF06B5"/>
    <w:rsid w:val="00AF2B29"/>
    <w:rsid w:val="00B03224"/>
    <w:rsid w:val="00B11F02"/>
    <w:rsid w:val="00B1279D"/>
    <w:rsid w:val="00B229A1"/>
    <w:rsid w:val="00B23784"/>
    <w:rsid w:val="00B333CD"/>
    <w:rsid w:val="00B3469D"/>
    <w:rsid w:val="00B3477E"/>
    <w:rsid w:val="00B405D4"/>
    <w:rsid w:val="00B40930"/>
    <w:rsid w:val="00B434AC"/>
    <w:rsid w:val="00B51179"/>
    <w:rsid w:val="00B51A0F"/>
    <w:rsid w:val="00B545B7"/>
    <w:rsid w:val="00B576F9"/>
    <w:rsid w:val="00B57864"/>
    <w:rsid w:val="00B61E10"/>
    <w:rsid w:val="00B80E03"/>
    <w:rsid w:val="00B838D9"/>
    <w:rsid w:val="00B841CC"/>
    <w:rsid w:val="00B87458"/>
    <w:rsid w:val="00B9674C"/>
    <w:rsid w:val="00B97791"/>
    <w:rsid w:val="00BA1AAC"/>
    <w:rsid w:val="00BA4236"/>
    <w:rsid w:val="00BA7B37"/>
    <w:rsid w:val="00BC6722"/>
    <w:rsid w:val="00BD36A4"/>
    <w:rsid w:val="00BD5E94"/>
    <w:rsid w:val="00BE0FEA"/>
    <w:rsid w:val="00BF4207"/>
    <w:rsid w:val="00BF53A5"/>
    <w:rsid w:val="00C034D1"/>
    <w:rsid w:val="00C208FB"/>
    <w:rsid w:val="00C217F1"/>
    <w:rsid w:val="00C240CB"/>
    <w:rsid w:val="00C32C2F"/>
    <w:rsid w:val="00C3377A"/>
    <w:rsid w:val="00C3646C"/>
    <w:rsid w:val="00C36768"/>
    <w:rsid w:val="00C416C9"/>
    <w:rsid w:val="00C43257"/>
    <w:rsid w:val="00C4385E"/>
    <w:rsid w:val="00C4799F"/>
    <w:rsid w:val="00C52786"/>
    <w:rsid w:val="00C561DE"/>
    <w:rsid w:val="00C578CE"/>
    <w:rsid w:val="00C60CC8"/>
    <w:rsid w:val="00C676D5"/>
    <w:rsid w:val="00C720F2"/>
    <w:rsid w:val="00C75328"/>
    <w:rsid w:val="00C85E8A"/>
    <w:rsid w:val="00C97DF9"/>
    <w:rsid w:val="00CA40DA"/>
    <w:rsid w:val="00CA5A56"/>
    <w:rsid w:val="00CB21A0"/>
    <w:rsid w:val="00CB748E"/>
    <w:rsid w:val="00CC07EC"/>
    <w:rsid w:val="00CC1CDE"/>
    <w:rsid w:val="00CC29D2"/>
    <w:rsid w:val="00CC633F"/>
    <w:rsid w:val="00CF6D90"/>
    <w:rsid w:val="00D05D7F"/>
    <w:rsid w:val="00D17D0B"/>
    <w:rsid w:val="00D3042F"/>
    <w:rsid w:val="00D50374"/>
    <w:rsid w:val="00D55AEF"/>
    <w:rsid w:val="00D56C6A"/>
    <w:rsid w:val="00D57F5A"/>
    <w:rsid w:val="00D6755F"/>
    <w:rsid w:val="00D77296"/>
    <w:rsid w:val="00D966C4"/>
    <w:rsid w:val="00D9776A"/>
    <w:rsid w:val="00DA1E87"/>
    <w:rsid w:val="00DA29BD"/>
    <w:rsid w:val="00DA368C"/>
    <w:rsid w:val="00DB0371"/>
    <w:rsid w:val="00DB0CA2"/>
    <w:rsid w:val="00DB7F4B"/>
    <w:rsid w:val="00DC45F3"/>
    <w:rsid w:val="00DE085D"/>
    <w:rsid w:val="00DE5C1E"/>
    <w:rsid w:val="00DE6467"/>
    <w:rsid w:val="00DF3C94"/>
    <w:rsid w:val="00DF447B"/>
    <w:rsid w:val="00DF5F8C"/>
    <w:rsid w:val="00E049DC"/>
    <w:rsid w:val="00E13EB0"/>
    <w:rsid w:val="00E32065"/>
    <w:rsid w:val="00E32AA3"/>
    <w:rsid w:val="00E34916"/>
    <w:rsid w:val="00E357FF"/>
    <w:rsid w:val="00E42AF8"/>
    <w:rsid w:val="00E4675A"/>
    <w:rsid w:val="00E50AF3"/>
    <w:rsid w:val="00E57B98"/>
    <w:rsid w:val="00E631E2"/>
    <w:rsid w:val="00E63ECB"/>
    <w:rsid w:val="00E65029"/>
    <w:rsid w:val="00E708C3"/>
    <w:rsid w:val="00E751E4"/>
    <w:rsid w:val="00E80E51"/>
    <w:rsid w:val="00E8776E"/>
    <w:rsid w:val="00E91C43"/>
    <w:rsid w:val="00E922D8"/>
    <w:rsid w:val="00E962B6"/>
    <w:rsid w:val="00E9656E"/>
    <w:rsid w:val="00E97D22"/>
    <w:rsid w:val="00EA53D4"/>
    <w:rsid w:val="00EA6EE6"/>
    <w:rsid w:val="00EA6F19"/>
    <w:rsid w:val="00EB12FF"/>
    <w:rsid w:val="00EB243F"/>
    <w:rsid w:val="00EB525E"/>
    <w:rsid w:val="00EB7FD3"/>
    <w:rsid w:val="00ED0DB2"/>
    <w:rsid w:val="00ED1475"/>
    <w:rsid w:val="00ED1866"/>
    <w:rsid w:val="00ED2A5A"/>
    <w:rsid w:val="00ED30A5"/>
    <w:rsid w:val="00ED3667"/>
    <w:rsid w:val="00EE1790"/>
    <w:rsid w:val="00EE203A"/>
    <w:rsid w:val="00EE560E"/>
    <w:rsid w:val="00EF3A11"/>
    <w:rsid w:val="00EF4627"/>
    <w:rsid w:val="00EF613D"/>
    <w:rsid w:val="00EF7902"/>
    <w:rsid w:val="00F0089D"/>
    <w:rsid w:val="00F031A1"/>
    <w:rsid w:val="00F033DD"/>
    <w:rsid w:val="00F126A1"/>
    <w:rsid w:val="00F1468F"/>
    <w:rsid w:val="00F172E2"/>
    <w:rsid w:val="00F2122C"/>
    <w:rsid w:val="00F22297"/>
    <w:rsid w:val="00F23A1D"/>
    <w:rsid w:val="00F253E4"/>
    <w:rsid w:val="00F25649"/>
    <w:rsid w:val="00F274AE"/>
    <w:rsid w:val="00F32BB6"/>
    <w:rsid w:val="00F413F1"/>
    <w:rsid w:val="00F41BDF"/>
    <w:rsid w:val="00F42216"/>
    <w:rsid w:val="00F461F4"/>
    <w:rsid w:val="00F55B6D"/>
    <w:rsid w:val="00F57C8A"/>
    <w:rsid w:val="00F60678"/>
    <w:rsid w:val="00F60E78"/>
    <w:rsid w:val="00F639BC"/>
    <w:rsid w:val="00F657DA"/>
    <w:rsid w:val="00F72C34"/>
    <w:rsid w:val="00F75FD0"/>
    <w:rsid w:val="00F7736A"/>
    <w:rsid w:val="00F815FB"/>
    <w:rsid w:val="00F85F0C"/>
    <w:rsid w:val="00F91931"/>
    <w:rsid w:val="00F93277"/>
    <w:rsid w:val="00F96DAF"/>
    <w:rsid w:val="00F97B6B"/>
    <w:rsid w:val="00FA061E"/>
    <w:rsid w:val="00FB40E1"/>
    <w:rsid w:val="00FE0E18"/>
    <w:rsid w:val="00FE1F2B"/>
    <w:rsid w:val="00FE2286"/>
    <w:rsid w:val="00FE46A8"/>
    <w:rsid w:val="00FF06BA"/>
    <w:rsid w:val="00FF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2E5F35EF"/>
  <w14:defaultImageDpi w14:val="32767"/>
  <w15:docId w15:val="{73D04F3D-8C73-4767-B425-505C8FA3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MS Mincho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CEC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A06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7F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167F8"/>
  </w:style>
  <w:style w:type="paragraph" w:styleId="Footer">
    <w:name w:val="footer"/>
    <w:basedOn w:val="Normal"/>
    <w:link w:val="FooterChar"/>
    <w:uiPriority w:val="99"/>
    <w:unhideWhenUsed/>
    <w:rsid w:val="009167F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167F8"/>
  </w:style>
  <w:style w:type="character" w:customStyle="1" w:styleId="shorttext">
    <w:name w:val="short_text"/>
    <w:basedOn w:val="DefaultParagraphFont"/>
    <w:rsid w:val="00427DEA"/>
  </w:style>
  <w:style w:type="character" w:styleId="CommentReference">
    <w:name w:val="annotation reference"/>
    <w:basedOn w:val="DefaultParagraphFont"/>
    <w:uiPriority w:val="99"/>
    <w:semiHidden/>
    <w:unhideWhenUsed/>
    <w:rsid w:val="00DB7F4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B7F4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B7F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F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F4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F4B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D60CA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sz w:val="24"/>
      <w:szCs w:val="24"/>
    </w:rPr>
  </w:style>
  <w:style w:type="paragraph" w:styleId="ListBullet">
    <w:name w:val="List Bullet"/>
    <w:basedOn w:val="Normal"/>
    <w:uiPriority w:val="99"/>
    <w:unhideWhenUsed/>
    <w:rsid w:val="00272460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246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506A36"/>
  </w:style>
  <w:style w:type="character" w:customStyle="1" w:styleId="Heading1Char">
    <w:name w:val="Heading 1 Char"/>
    <w:basedOn w:val="DefaultParagraphFont"/>
    <w:link w:val="Heading1"/>
    <w:uiPriority w:val="9"/>
    <w:rsid w:val="00FA061E"/>
    <w:rPr>
      <w:rFonts w:asciiTheme="majorHAnsi" w:eastAsiaTheme="majorEastAsia" w:hAnsiTheme="majorHAnsi" w:cstheme="majorBidi"/>
      <w:sz w:val="24"/>
      <w:szCs w:val="24"/>
    </w:rPr>
  </w:style>
  <w:style w:type="paragraph" w:styleId="Revision">
    <w:name w:val="Revision"/>
    <w:hidden/>
    <w:uiPriority w:val="99"/>
    <w:semiHidden/>
    <w:rsid w:val="006D0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7CA6F-6E91-4AF2-A2F8-F1800FF44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1021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石川順子</dc:creator>
  <cp:lastModifiedBy>Vigneshwaran R.</cp:lastModifiedBy>
  <cp:revision>4</cp:revision>
  <dcterms:created xsi:type="dcterms:W3CDTF">2021-06-23T09:06:00Z</dcterms:created>
  <dcterms:modified xsi:type="dcterms:W3CDTF">2021-06-29T14:41:00Z</dcterms:modified>
</cp:coreProperties>
</file>