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29C35" w14:textId="77777777" w:rsidR="00F00C1A" w:rsidRPr="00661423" w:rsidRDefault="00F00C1A" w:rsidP="00F00C1A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Hlk32938892"/>
      <w:bookmarkStart w:id="1" w:name="_Hlk33130370"/>
      <w:bookmarkStart w:id="2" w:name="_Hlk56630196"/>
      <w:r w:rsidRPr="00661423">
        <w:rPr>
          <w:rFonts w:ascii="Times New Roman" w:hAnsi="Times New Roman"/>
          <w:b/>
          <w:sz w:val="24"/>
          <w:szCs w:val="24"/>
          <w:lang w:val="en-US"/>
        </w:rPr>
        <w:t xml:space="preserve">Associations between lifetime classic psychedelic use and </w:t>
      </w:r>
      <w:bookmarkEnd w:id="0"/>
      <w:bookmarkEnd w:id="1"/>
      <w:r w:rsidRPr="00661423">
        <w:rPr>
          <w:rFonts w:ascii="Times New Roman" w:hAnsi="Times New Roman"/>
          <w:b/>
          <w:sz w:val="24"/>
          <w:szCs w:val="24"/>
          <w:lang w:val="en-US"/>
        </w:rPr>
        <w:t>cardiometabolic diseases</w:t>
      </w:r>
    </w:p>
    <w:p w14:paraId="450F6F9A" w14:textId="77777777" w:rsidR="00F00C1A" w:rsidRPr="00661423" w:rsidRDefault="00F00C1A" w:rsidP="00F00C1A">
      <w:pPr>
        <w:spacing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661423">
        <w:rPr>
          <w:rFonts w:ascii="Times New Roman" w:hAnsi="Times New Roman"/>
          <w:sz w:val="24"/>
          <w:szCs w:val="24"/>
          <w:u w:val="single"/>
          <w:lang w:val="en-US"/>
        </w:rPr>
        <w:t>Authors:</w:t>
      </w:r>
      <w:r w:rsidRPr="00661423">
        <w:rPr>
          <w:rFonts w:ascii="Times New Roman" w:hAnsi="Times New Roman"/>
          <w:sz w:val="24"/>
          <w:szCs w:val="24"/>
          <w:lang w:val="en-US"/>
        </w:rPr>
        <w:t xml:space="preserve"> Otto Simonsson</w:t>
      </w:r>
      <w:r w:rsidRPr="00661423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1, 2, </w:t>
      </w:r>
      <w:r w:rsidRPr="00661423">
        <w:rPr>
          <w:rFonts w:ascii="Times New Roman" w:hAnsi="Times New Roman"/>
          <w:sz w:val="24"/>
          <w:szCs w:val="24"/>
          <w:lang w:val="en-US"/>
        </w:rPr>
        <w:t>*, Walter Osika</w:t>
      </w:r>
      <w:r w:rsidRPr="00661423">
        <w:rPr>
          <w:rFonts w:ascii="Times New Roman" w:hAnsi="Times New Roman"/>
          <w:sz w:val="24"/>
          <w:szCs w:val="24"/>
          <w:vertAlign w:val="superscript"/>
          <w:lang w:val="en-US"/>
        </w:rPr>
        <w:t>2, 3, 4</w:t>
      </w:r>
      <w:r w:rsidRPr="00661423">
        <w:rPr>
          <w:rFonts w:ascii="Times New Roman" w:hAnsi="Times New Roman"/>
          <w:sz w:val="24"/>
          <w:szCs w:val="24"/>
          <w:lang w:val="en-US"/>
        </w:rPr>
        <w:t>, Robin Carhart-Harris</w:t>
      </w:r>
      <w:r w:rsidRPr="00661423">
        <w:rPr>
          <w:rFonts w:ascii="Times New Roman" w:hAnsi="Times New Roman"/>
          <w:sz w:val="24"/>
          <w:szCs w:val="24"/>
          <w:vertAlign w:val="superscript"/>
          <w:lang w:val="en-US"/>
        </w:rPr>
        <w:t>5</w:t>
      </w:r>
      <w:r w:rsidRPr="00661423">
        <w:rPr>
          <w:rFonts w:ascii="Times New Roman" w:hAnsi="Times New Roman"/>
          <w:sz w:val="24"/>
          <w:szCs w:val="24"/>
          <w:lang w:val="en-US"/>
        </w:rPr>
        <w:t>, Peter S. Hendricks</w:t>
      </w:r>
      <w:r w:rsidRPr="00661423">
        <w:rPr>
          <w:rFonts w:ascii="Times New Roman" w:hAnsi="Times New Roman"/>
          <w:sz w:val="24"/>
          <w:szCs w:val="24"/>
          <w:vertAlign w:val="superscript"/>
          <w:lang w:val="en-US"/>
        </w:rPr>
        <w:t>6</w:t>
      </w:r>
    </w:p>
    <w:p w14:paraId="7C393252" w14:textId="77777777" w:rsidR="00F00C1A" w:rsidRPr="00661423" w:rsidRDefault="00F00C1A" w:rsidP="00F00C1A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bookmarkStart w:id="3" w:name="_Hlk51689364"/>
      <w:r w:rsidRPr="00661423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661423">
        <w:rPr>
          <w:rFonts w:ascii="Times New Roman" w:hAnsi="Times New Roman"/>
          <w:sz w:val="24"/>
          <w:szCs w:val="24"/>
          <w:lang w:val="en-US"/>
        </w:rPr>
        <w:t>Department of Sociology, University of Oxford</w:t>
      </w:r>
    </w:p>
    <w:bookmarkEnd w:id="3"/>
    <w:p w14:paraId="394C69A7" w14:textId="77777777" w:rsidR="00F00C1A" w:rsidRPr="00661423" w:rsidRDefault="00F00C1A" w:rsidP="00F00C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142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61423">
        <w:rPr>
          <w:rFonts w:ascii="Times New Roman" w:hAnsi="Times New Roman"/>
          <w:sz w:val="24"/>
          <w:szCs w:val="24"/>
        </w:rPr>
        <w:t>Center for Psychiatry Research, Department of Clinical Neuroscience, Karolinska Institute</w:t>
      </w:r>
    </w:p>
    <w:p w14:paraId="437DFADE" w14:textId="77777777" w:rsidR="00F00C1A" w:rsidRPr="00661423" w:rsidRDefault="00F00C1A" w:rsidP="00F00C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/>
          <w:sz w:val="24"/>
          <w:szCs w:val="24"/>
        </w:rPr>
      </w:pPr>
      <w:r w:rsidRPr="006614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61423">
        <w:rPr>
          <w:rFonts w:ascii="Times New Roman" w:hAnsi="Times New Roman"/>
          <w:sz w:val="24"/>
          <w:szCs w:val="24"/>
        </w:rPr>
        <w:t>Center for Social Sustainability, Department of Neurobiology, Care Sciences and Society, Karolinska Institute</w:t>
      </w:r>
    </w:p>
    <w:p w14:paraId="530DF043" w14:textId="77777777" w:rsidR="00F00C1A" w:rsidRPr="00661423" w:rsidRDefault="00F00C1A" w:rsidP="00F00C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/>
          <w:sz w:val="24"/>
          <w:szCs w:val="24"/>
        </w:rPr>
      </w:pPr>
      <w:r w:rsidRPr="0066142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61423">
        <w:rPr>
          <w:rFonts w:ascii="Times New Roman" w:hAnsi="Times New Roman"/>
          <w:sz w:val="24"/>
          <w:szCs w:val="24"/>
        </w:rPr>
        <w:t>Northern Stockholm Psychiatry, Stockholm Health Care Services, Region Stockholm</w:t>
      </w:r>
    </w:p>
    <w:p w14:paraId="58C71D78" w14:textId="77777777" w:rsidR="00F00C1A" w:rsidRPr="00661423" w:rsidRDefault="00F00C1A" w:rsidP="00F00C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rFonts w:ascii="Times New Roman" w:hAnsi="Times New Roman"/>
          <w:sz w:val="24"/>
          <w:szCs w:val="24"/>
        </w:rPr>
      </w:pPr>
      <w:r w:rsidRPr="00661423">
        <w:rPr>
          <w:vertAlign w:val="superscript"/>
        </w:rPr>
        <w:t>5</w:t>
      </w:r>
      <w:r w:rsidRPr="00661423">
        <w:rPr>
          <w:rFonts w:ascii="Times New Roman" w:hAnsi="Times New Roman"/>
          <w:sz w:val="24"/>
          <w:szCs w:val="24"/>
        </w:rPr>
        <w:t>Centre for Psychedelic Research, Imperial College London, UK</w:t>
      </w:r>
    </w:p>
    <w:p w14:paraId="69C26A58" w14:textId="77777777" w:rsidR="00F00C1A" w:rsidRPr="00661423" w:rsidRDefault="00F00C1A" w:rsidP="00F00C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480" w:lineRule="auto"/>
        <w:rPr>
          <w:vertAlign w:val="superscript"/>
        </w:rPr>
      </w:pPr>
      <w:r w:rsidRPr="00661423">
        <w:rPr>
          <w:vertAlign w:val="superscript"/>
        </w:rPr>
        <w:t>6</w:t>
      </w:r>
      <w:r w:rsidRPr="00661423">
        <w:rPr>
          <w:rFonts w:ascii="Times New Roman" w:hAnsi="Times New Roman" w:cs="Times New Roman"/>
          <w:sz w:val="24"/>
          <w:szCs w:val="24"/>
        </w:rPr>
        <w:t>Department of Health Behavior, University of Alabama at Birmingham</w:t>
      </w:r>
    </w:p>
    <w:p w14:paraId="6276A56E" w14:textId="77777777" w:rsidR="00F00C1A" w:rsidRPr="00661423" w:rsidRDefault="00F00C1A" w:rsidP="00F00C1A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bookmarkStart w:id="4" w:name="_Hlk56630400"/>
      <w:bookmarkEnd w:id="2"/>
      <w:r w:rsidRPr="00661423">
        <w:rPr>
          <w:rFonts w:ascii="Times New Roman" w:hAnsi="Times New Roman"/>
          <w:sz w:val="24"/>
          <w:szCs w:val="24"/>
          <w:lang w:val="en-US"/>
        </w:rPr>
        <w:t>*otto.simonsson@trinity.ox.ac.uk</w:t>
      </w:r>
    </w:p>
    <w:bookmarkEnd w:id="4"/>
    <w:p w14:paraId="7CB569A3" w14:textId="77777777" w:rsidR="00F00C1A" w:rsidRPr="00F00C1A" w:rsidRDefault="00F00C1A" w:rsidP="00F00C1A">
      <w:pPr>
        <w:rPr>
          <w:lang w:val="en-US"/>
        </w:rPr>
      </w:pPr>
    </w:p>
    <w:p w14:paraId="3CDA2653" w14:textId="56A29C02" w:rsidR="00F00C1A" w:rsidRDefault="00F00C1A">
      <w:pPr>
        <w:rPr>
          <w:lang w:val="en-US"/>
        </w:rPr>
      </w:pPr>
      <w:r>
        <w:rPr>
          <w:lang w:val="en-US"/>
        </w:rPr>
        <w:br w:type="page"/>
      </w:r>
    </w:p>
    <w:p w14:paraId="5F037843" w14:textId="77777777" w:rsidR="00F00C1A" w:rsidRPr="00FB34CD" w:rsidRDefault="00F00C1A" w:rsidP="00F00C1A">
      <w:pPr>
        <w:jc w:val="center"/>
        <w:rPr>
          <w:rFonts w:ascii="Times New Roman" w:hAnsi="Times New Roman"/>
          <w:b/>
          <w:bCs/>
          <w:color w:val="201F1E"/>
          <w:sz w:val="24"/>
          <w:szCs w:val="24"/>
          <w:shd w:val="clear" w:color="auto" w:fill="FFFFFF"/>
          <w:lang w:val="en-US"/>
        </w:rPr>
      </w:pPr>
      <w:r w:rsidRPr="00FB34CD">
        <w:rPr>
          <w:rFonts w:ascii="Times New Roman" w:hAnsi="Times New Roman"/>
          <w:b/>
          <w:bCs/>
          <w:color w:val="201F1E"/>
          <w:sz w:val="24"/>
          <w:szCs w:val="24"/>
          <w:shd w:val="clear" w:color="auto" w:fill="FFFFFF"/>
          <w:lang w:val="en-US"/>
        </w:rPr>
        <w:lastRenderedPageBreak/>
        <w:t>Supplementary Information</w:t>
      </w:r>
    </w:p>
    <w:p w14:paraId="23299D4D" w14:textId="77777777" w:rsidR="00F00C1A" w:rsidRPr="00FB34CD" w:rsidRDefault="00F00C1A" w:rsidP="00F00C1A">
      <w:pPr>
        <w:rPr>
          <w:rFonts w:ascii="Times New Roman" w:hAnsi="Times New Roman"/>
          <w:color w:val="201F1E"/>
          <w:sz w:val="24"/>
          <w:szCs w:val="24"/>
          <w:shd w:val="clear" w:color="auto" w:fill="FFFFFF"/>
          <w:lang w:val="en-US"/>
        </w:rPr>
      </w:pPr>
    </w:p>
    <w:p w14:paraId="0E844939" w14:textId="77777777" w:rsidR="00F00C1A" w:rsidRPr="00797087" w:rsidRDefault="00F00C1A" w:rsidP="00F00C1A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In response to a reviewer request that we evaluate whether </w:t>
      </w:r>
      <w:r w:rsidRPr="00DA4791">
        <w:rPr>
          <w:rFonts w:ascii="Times New Roman" w:hAnsi="Times New Roman"/>
          <w:sz w:val="24"/>
          <w:szCs w:val="24"/>
          <w:lang w:val="en-US"/>
        </w:rPr>
        <w:t>the findings were selective for classic psychedelics</w:t>
      </w:r>
      <w:r>
        <w:rPr>
          <w:rFonts w:ascii="Times New Roman" w:hAnsi="Times New Roman"/>
          <w:sz w:val="24"/>
          <w:szCs w:val="24"/>
          <w:lang w:val="en-US"/>
        </w:rPr>
        <w:t xml:space="preserve">, we also tested the association between cardiometabolic diseases and </w:t>
      </w:r>
      <w:bookmarkStart w:id="5" w:name="_Hlk74836065"/>
      <w:r>
        <w:rPr>
          <w:rFonts w:ascii="Times New Roman" w:hAnsi="Times New Roman"/>
          <w:sz w:val="24"/>
          <w:szCs w:val="24"/>
          <w:lang w:val="en-US"/>
        </w:rPr>
        <w:t>lifetime use of marijuana</w:t>
      </w:r>
      <w:bookmarkEnd w:id="5"/>
      <w:r>
        <w:rPr>
          <w:rFonts w:ascii="Times New Roman" w:hAnsi="Times New Roman"/>
          <w:sz w:val="24"/>
          <w:szCs w:val="24"/>
          <w:lang w:val="en-US"/>
        </w:rPr>
        <w:t xml:space="preserve">, a substance with some overlap in pharmacology and phenomenology with classic psychedelics 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[1</w:t>
      </w:r>
      <w:r w:rsidRPr="00661423">
        <w:rPr>
          <w:rFonts w:ascii="Times New Roman" w:hAnsi="Times New Roman"/>
          <w:sz w:val="24"/>
          <w:szCs w:val="24"/>
          <w:vertAlign w:val="superscript"/>
          <w:lang w:val="en-US"/>
        </w:rPr>
        <w:t>], [2]</w:t>
      </w:r>
      <w:r>
        <w:rPr>
          <w:rFonts w:ascii="Times New Roman" w:hAnsi="Times New Roman"/>
          <w:sz w:val="24"/>
          <w:szCs w:val="24"/>
          <w:lang w:val="en-US"/>
        </w:rPr>
        <w:t>. These analyses were not part of our a priori analytic plan. The results showed that there was no significant associations</w:t>
      </w:r>
      <w:r w:rsidRPr="0079708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between lifetime marijuana use and heart disease in the past year or lifetime marijuana use and diabetes in the past year (see Supplementary Table S1).</w:t>
      </w:r>
    </w:p>
    <w:p w14:paraId="03F9D6AB" w14:textId="77777777" w:rsidR="00F00C1A" w:rsidRPr="00797087" w:rsidRDefault="00F00C1A" w:rsidP="00F00C1A">
      <w:pPr>
        <w:rPr>
          <w:rFonts w:ascii="Times New Roman" w:hAnsi="Times New Roman"/>
          <w:b/>
          <w:bCs/>
          <w:color w:val="201F1E"/>
          <w:sz w:val="24"/>
          <w:szCs w:val="24"/>
          <w:shd w:val="clear" w:color="auto" w:fill="FFFFFF"/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36"/>
        <w:gridCol w:w="1799"/>
        <w:gridCol w:w="982"/>
        <w:gridCol w:w="1655"/>
      </w:tblGrid>
      <w:tr w:rsidR="00F00C1A" w:rsidRPr="003F16DB" w14:paraId="649D0B59" w14:textId="77777777" w:rsidTr="00491275">
        <w:tc>
          <w:tcPr>
            <w:tcW w:w="9072" w:type="dxa"/>
            <w:gridSpan w:val="4"/>
            <w:tcBorders>
              <w:top w:val="nil"/>
              <w:left w:val="nil"/>
              <w:right w:val="nil"/>
            </w:tcBorders>
          </w:tcPr>
          <w:p w14:paraId="22AD1220" w14:textId="77777777" w:rsidR="00F00C1A" w:rsidRPr="00C1652A" w:rsidRDefault="00F00C1A" w:rsidP="00491275">
            <w:pPr>
              <w:jc w:val="center"/>
              <w:rPr>
                <w:rStyle w:val="st"/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st"/>
                <w:rFonts w:ascii="Times New Roman" w:hAnsi="Times New Roman"/>
                <w:sz w:val="24"/>
                <w:szCs w:val="24"/>
                <w:lang w:val="en-US"/>
              </w:rPr>
              <w:t>Supplementary Table S1. Lifetime use of ma</w:t>
            </w:r>
            <w:r w:rsidRPr="004621B1">
              <w:rPr>
                <w:rStyle w:val="st"/>
                <w:rFonts w:ascii="Times New Roman" w:hAnsi="Times New Roman"/>
                <w:sz w:val="24"/>
                <w:szCs w:val="24"/>
                <w:lang w:val="en-US"/>
              </w:rPr>
              <w:t>rijuana and cardiometabolic diseases</w:t>
            </w:r>
          </w:p>
        </w:tc>
      </w:tr>
      <w:tr w:rsidR="00F00C1A" w:rsidRPr="00C1652A" w14:paraId="095D9B08" w14:textId="77777777" w:rsidTr="00491275">
        <w:tc>
          <w:tcPr>
            <w:tcW w:w="4636" w:type="dxa"/>
            <w:tcBorders>
              <w:left w:val="nil"/>
              <w:bottom w:val="single" w:sz="4" w:space="0" w:color="auto"/>
              <w:right w:val="nil"/>
            </w:tcBorders>
          </w:tcPr>
          <w:p w14:paraId="77C9383C" w14:textId="77777777" w:rsidR="00F00C1A" w:rsidRPr="00C1652A" w:rsidRDefault="00F00C1A" w:rsidP="00491275">
            <w:pPr>
              <w:rPr>
                <w:rStyle w:val="st"/>
                <w:rFonts w:ascii="Times New Roman" w:hAnsi="Times New Roman"/>
                <w:sz w:val="24"/>
                <w:szCs w:val="24"/>
              </w:rPr>
            </w:pPr>
            <w:proofErr w:type="spellStart"/>
            <w:r w:rsidRPr="00C1652A">
              <w:rPr>
                <w:rStyle w:val="st"/>
                <w:rFonts w:ascii="Times New Roman" w:hAnsi="Times New Roman"/>
                <w:sz w:val="24"/>
                <w:szCs w:val="24"/>
              </w:rPr>
              <w:t>Variable</w:t>
            </w:r>
            <w:proofErr w:type="spellEnd"/>
          </w:p>
        </w:tc>
        <w:tc>
          <w:tcPr>
            <w:tcW w:w="1799" w:type="dxa"/>
            <w:tcBorders>
              <w:left w:val="nil"/>
              <w:bottom w:val="single" w:sz="4" w:space="0" w:color="auto"/>
              <w:right w:val="nil"/>
            </w:tcBorders>
          </w:tcPr>
          <w:p w14:paraId="7D7F4D01" w14:textId="77777777" w:rsidR="00F00C1A" w:rsidRPr="00C1652A" w:rsidRDefault="00F00C1A" w:rsidP="00491275">
            <w:pPr>
              <w:jc w:val="center"/>
              <w:rPr>
                <w:rStyle w:val="st"/>
                <w:rFonts w:ascii="Times New Roman" w:hAnsi="Times New Roman"/>
                <w:sz w:val="24"/>
                <w:szCs w:val="24"/>
              </w:rPr>
            </w:pPr>
            <w:proofErr w:type="spellStart"/>
            <w:r w:rsidRPr="00C1652A">
              <w:rPr>
                <w:rStyle w:val="st"/>
                <w:rFonts w:ascii="Times New Roman" w:hAnsi="Times New Roman"/>
                <w:sz w:val="24"/>
                <w:szCs w:val="24"/>
              </w:rPr>
              <w:t>aOR</w:t>
            </w:r>
            <w:proofErr w:type="spellEnd"/>
            <w:r w:rsidRPr="00C1652A">
              <w:rPr>
                <w:rStyle w:val="st"/>
                <w:rFonts w:ascii="Times New Roman" w:hAnsi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982" w:type="dxa"/>
            <w:tcBorders>
              <w:left w:val="nil"/>
              <w:bottom w:val="single" w:sz="4" w:space="0" w:color="auto"/>
              <w:right w:val="nil"/>
            </w:tcBorders>
          </w:tcPr>
          <w:p w14:paraId="17BA1F45" w14:textId="77777777" w:rsidR="00F00C1A" w:rsidRPr="00C1652A" w:rsidRDefault="00F00C1A" w:rsidP="00491275">
            <w:pPr>
              <w:jc w:val="center"/>
              <w:rPr>
                <w:rStyle w:val="st"/>
                <w:rFonts w:ascii="Times New Roman" w:hAnsi="Times New Roman"/>
                <w:sz w:val="24"/>
                <w:szCs w:val="24"/>
              </w:rPr>
            </w:pPr>
            <w:r w:rsidRPr="00C1652A">
              <w:rPr>
                <w:rStyle w:val="st"/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C1652A">
              <w:rPr>
                <w:rStyle w:val="st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652A">
              <w:rPr>
                <w:rStyle w:val="st"/>
                <w:rFonts w:ascii="Times New Roman" w:hAnsi="Times New Roman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1655" w:type="dxa"/>
            <w:tcBorders>
              <w:left w:val="nil"/>
              <w:bottom w:val="single" w:sz="4" w:space="0" w:color="auto"/>
              <w:right w:val="nil"/>
            </w:tcBorders>
          </w:tcPr>
          <w:p w14:paraId="5A4E4FF0" w14:textId="77777777" w:rsidR="00F00C1A" w:rsidRPr="00C1652A" w:rsidRDefault="00F00C1A" w:rsidP="00491275">
            <w:pPr>
              <w:jc w:val="center"/>
              <w:rPr>
                <w:rStyle w:val="st"/>
                <w:rFonts w:ascii="Times New Roman" w:hAnsi="Times New Roman"/>
                <w:sz w:val="24"/>
                <w:szCs w:val="24"/>
              </w:rPr>
            </w:pPr>
          </w:p>
        </w:tc>
      </w:tr>
      <w:tr w:rsidR="00F00C1A" w:rsidRPr="00C1652A" w14:paraId="2E6F75FD" w14:textId="77777777" w:rsidTr="00491275">
        <w:tc>
          <w:tcPr>
            <w:tcW w:w="7417" w:type="dxa"/>
            <w:gridSpan w:val="3"/>
            <w:tcBorders>
              <w:left w:val="nil"/>
              <w:bottom w:val="nil"/>
              <w:right w:val="nil"/>
            </w:tcBorders>
          </w:tcPr>
          <w:p w14:paraId="67114A82" w14:textId="77777777" w:rsidR="00F00C1A" w:rsidRPr="00C1652A" w:rsidRDefault="00F00C1A" w:rsidP="00491275">
            <w:pPr>
              <w:rPr>
                <w:rStyle w:val="st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left w:val="nil"/>
              <w:bottom w:val="nil"/>
              <w:right w:val="nil"/>
            </w:tcBorders>
          </w:tcPr>
          <w:p w14:paraId="1D645DCE" w14:textId="77777777" w:rsidR="00F00C1A" w:rsidRPr="00C1652A" w:rsidRDefault="00F00C1A" w:rsidP="00491275">
            <w:pPr>
              <w:rPr>
                <w:rStyle w:val="st"/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00C1A" w:rsidRPr="003F16DB" w14:paraId="0C488FC4" w14:textId="77777777" w:rsidTr="00491275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0E2FB3" w14:textId="77777777" w:rsidR="00F00C1A" w:rsidRPr="00C1652A" w:rsidRDefault="00F00C1A" w:rsidP="00491275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C1652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Heart disease in the past year</w:t>
            </w:r>
          </w:p>
        </w:tc>
      </w:tr>
      <w:tr w:rsidR="00F00C1A" w:rsidRPr="00C1652A" w14:paraId="600CD397" w14:textId="77777777" w:rsidTr="00491275"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</w:tcPr>
          <w:p w14:paraId="56C00C59" w14:textId="77777777" w:rsidR="00F00C1A" w:rsidRPr="008218C1" w:rsidRDefault="00F00C1A" w:rsidP="00491275">
            <w:pPr>
              <w:rPr>
                <w:rStyle w:val="st"/>
                <w:rFonts w:ascii="Times New Roman" w:hAnsi="Times New Roman"/>
                <w:sz w:val="24"/>
                <w:szCs w:val="24"/>
              </w:rPr>
            </w:pPr>
            <w:proofErr w:type="spellStart"/>
            <w:r w:rsidRPr="005819D8">
              <w:rPr>
                <w:rFonts w:ascii="Times New Roman" w:hAnsi="Times New Roman"/>
                <w:sz w:val="24"/>
                <w:szCs w:val="24"/>
              </w:rPr>
              <w:t>Lifetime</w:t>
            </w:r>
            <w:proofErr w:type="spellEnd"/>
            <w:r w:rsidRPr="005819D8">
              <w:rPr>
                <w:rFonts w:ascii="Times New Roman" w:hAnsi="Times New Roman"/>
                <w:sz w:val="24"/>
                <w:szCs w:val="24"/>
              </w:rPr>
              <w:t xml:space="preserve"> marijuana </w:t>
            </w:r>
            <w:proofErr w:type="spellStart"/>
            <w:r w:rsidRPr="005819D8">
              <w:rPr>
                <w:rFonts w:ascii="Times New Roman" w:hAnsi="Times New Roman"/>
                <w:sz w:val="24"/>
                <w:szCs w:val="24"/>
              </w:rPr>
              <w:t>use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14:paraId="20A68A60" w14:textId="77777777" w:rsidR="00F00C1A" w:rsidRPr="005819D8" w:rsidRDefault="00F00C1A" w:rsidP="00491275">
            <w:pPr>
              <w:jc w:val="center"/>
              <w:rPr>
                <w:rStyle w:val="st"/>
                <w:rFonts w:ascii="Times New Roman" w:hAnsi="Times New Roman"/>
                <w:sz w:val="24"/>
                <w:szCs w:val="24"/>
              </w:rPr>
            </w:pPr>
            <w:r w:rsidRPr="005819D8">
              <w:rPr>
                <w:rStyle w:val="st"/>
                <w:rFonts w:ascii="Times New Roman" w:hAnsi="Times New Roman"/>
                <w:sz w:val="24"/>
                <w:szCs w:val="24"/>
              </w:rPr>
              <w:t>0.93 (0.85-1.02)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01748C3" w14:textId="77777777" w:rsidR="00F00C1A" w:rsidRPr="005819D8" w:rsidRDefault="00F00C1A" w:rsidP="00491275">
            <w:pPr>
              <w:jc w:val="center"/>
              <w:rPr>
                <w:rStyle w:val="st"/>
                <w:rFonts w:ascii="Times New Roman" w:hAnsi="Times New Roman"/>
                <w:sz w:val="24"/>
                <w:szCs w:val="24"/>
              </w:rPr>
            </w:pPr>
            <w:r w:rsidRPr="005819D8">
              <w:rPr>
                <w:rStyle w:val="st"/>
                <w:rFonts w:ascii="Times New Roman" w:hAnsi="Times New Roman"/>
                <w:sz w:val="24"/>
                <w:szCs w:val="24"/>
              </w:rPr>
              <w:t>.142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14:paraId="084F2A0C" w14:textId="77777777" w:rsidR="00F00C1A" w:rsidRPr="005819D8" w:rsidRDefault="00F00C1A" w:rsidP="00491275">
            <w:pPr>
              <w:jc w:val="center"/>
              <w:rPr>
                <w:rStyle w:val="st"/>
                <w:rFonts w:ascii="Times New Roman" w:hAnsi="Times New Roman"/>
                <w:sz w:val="24"/>
                <w:szCs w:val="24"/>
              </w:rPr>
            </w:pPr>
          </w:p>
        </w:tc>
      </w:tr>
      <w:tr w:rsidR="00F00C1A" w:rsidRPr="00C1652A" w14:paraId="43A480F3" w14:textId="77777777" w:rsidTr="00491275"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</w:tcPr>
          <w:p w14:paraId="671E41C3" w14:textId="77777777" w:rsidR="00F00C1A" w:rsidRPr="005819D8" w:rsidRDefault="00F00C1A" w:rsidP="00491275">
            <w:pPr>
              <w:rPr>
                <w:rStyle w:val="st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14:paraId="0ECDC3FD" w14:textId="77777777" w:rsidR="00F00C1A" w:rsidRPr="005819D8" w:rsidRDefault="00F00C1A" w:rsidP="00491275">
            <w:pPr>
              <w:jc w:val="center"/>
              <w:rPr>
                <w:rStyle w:val="st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06E474D7" w14:textId="77777777" w:rsidR="00F00C1A" w:rsidRPr="005819D8" w:rsidRDefault="00F00C1A" w:rsidP="00491275">
            <w:pPr>
              <w:jc w:val="center"/>
              <w:rPr>
                <w:rStyle w:val="st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14:paraId="05630ADD" w14:textId="77777777" w:rsidR="00F00C1A" w:rsidRPr="005819D8" w:rsidRDefault="00F00C1A" w:rsidP="00491275">
            <w:pPr>
              <w:jc w:val="center"/>
              <w:rPr>
                <w:rStyle w:val="st"/>
                <w:rFonts w:ascii="Times New Roman" w:hAnsi="Times New Roman"/>
                <w:sz w:val="24"/>
                <w:szCs w:val="24"/>
              </w:rPr>
            </w:pPr>
          </w:p>
        </w:tc>
      </w:tr>
      <w:tr w:rsidR="00F00C1A" w:rsidRPr="003F16DB" w14:paraId="595034BC" w14:textId="77777777" w:rsidTr="00491275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F3BAC1" w14:textId="77777777" w:rsidR="00F00C1A" w:rsidRPr="008218C1" w:rsidRDefault="00F00C1A" w:rsidP="00491275">
            <w:pPr>
              <w:jc w:val="center"/>
              <w:rPr>
                <w:rStyle w:val="st"/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5819D8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Diabetes in the past year</w:t>
            </w:r>
          </w:p>
        </w:tc>
      </w:tr>
      <w:tr w:rsidR="00F00C1A" w:rsidRPr="00C1652A" w14:paraId="4BB425C2" w14:textId="77777777" w:rsidTr="00491275"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</w:tcPr>
          <w:p w14:paraId="7503FA18" w14:textId="77777777" w:rsidR="00F00C1A" w:rsidRPr="008218C1" w:rsidRDefault="00F00C1A" w:rsidP="00491275">
            <w:pPr>
              <w:rPr>
                <w:rStyle w:val="st"/>
                <w:rFonts w:ascii="Times New Roman" w:hAnsi="Times New Roman"/>
                <w:sz w:val="24"/>
                <w:szCs w:val="24"/>
              </w:rPr>
            </w:pPr>
            <w:proofErr w:type="spellStart"/>
            <w:r w:rsidRPr="005819D8">
              <w:rPr>
                <w:rFonts w:ascii="Times New Roman" w:hAnsi="Times New Roman"/>
                <w:sz w:val="24"/>
                <w:szCs w:val="24"/>
              </w:rPr>
              <w:t>Lifetime</w:t>
            </w:r>
            <w:proofErr w:type="spellEnd"/>
            <w:r w:rsidRPr="005819D8">
              <w:rPr>
                <w:rFonts w:ascii="Times New Roman" w:hAnsi="Times New Roman"/>
                <w:sz w:val="24"/>
                <w:szCs w:val="24"/>
              </w:rPr>
              <w:t xml:space="preserve"> marijuana </w:t>
            </w:r>
            <w:proofErr w:type="spellStart"/>
            <w:r w:rsidRPr="005819D8">
              <w:rPr>
                <w:rFonts w:ascii="Times New Roman" w:hAnsi="Times New Roman"/>
                <w:sz w:val="24"/>
                <w:szCs w:val="24"/>
              </w:rPr>
              <w:t>use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14:paraId="349E56D7" w14:textId="77777777" w:rsidR="00F00C1A" w:rsidRPr="005819D8" w:rsidRDefault="00F00C1A" w:rsidP="00491275">
            <w:pPr>
              <w:jc w:val="center"/>
              <w:rPr>
                <w:rStyle w:val="st"/>
                <w:rFonts w:ascii="Times New Roman" w:hAnsi="Times New Roman"/>
                <w:sz w:val="24"/>
                <w:szCs w:val="24"/>
              </w:rPr>
            </w:pPr>
            <w:r w:rsidRPr="005819D8">
              <w:rPr>
                <w:rStyle w:val="st"/>
                <w:rFonts w:ascii="Times New Roman" w:hAnsi="Times New Roman"/>
                <w:sz w:val="24"/>
                <w:szCs w:val="24"/>
              </w:rPr>
              <w:t>0.99 (0.92-1.07)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9765424" w14:textId="77777777" w:rsidR="00F00C1A" w:rsidRPr="005819D8" w:rsidRDefault="00F00C1A" w:rsidP="00491275">
            <w:pPr>
              <w:jc w:val="center"/>
              <w:rPr>
                <w:rStyle w:val="st"/>
                <w:rFonts w:ascii="Times New Roman" w:hAnsi="Times New Roman"/>
                <w:sz w:val="24"/>
                <w:szCs w:val="24"/>
              </w:rPr>
            </w:pPr>
            <w:r w:rsidRPr="005819D8">
              <w:rPr>
                <w:rStyle w:val="st"/>
                <w:rFonts w:ascii="Times New Roman" w:hAnsi="Times New Roman"/>
                <w:sz w:val="24"/>
                <w:szCs w:val="24"/>
              </w:rPr>
              <w:t>.887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14:paraId="0B86C159" w14:textId="77777777" w:rsidR="00F00C1A" w:rsidRPr="005819D8" w:rsidRDefault="00F00C1A" w:rsidP="00491275">
            <w:pPr>
              <w:jc w:val="center"/>
              <w:rPr>
                <w:rStyle w:val="st"/>
                <w:rFonts w:ascii="Times New Roman" w:hAnsi="Times New Roman"/>
                <w:sz w:val="24"/>
                <w:szCs w:val="24"/>
              </w:rPr>
            </w:pPr>
          </w:p>
        </w:tc>
      </w:tr>
      <w:tr w:rsidR="00F00C1A" w:rsidRPr="00C1652A" w14:paraId="39BE3DF4" w14:textId="77777777" w:rsidTr="00491275"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</w:tcPr>
          <w:p w14:paraId="591966AE" w14:textId="77777777" w:rsidR="00F00C1A" w:rsidRPr="008218C1" w:rsidRDefault="00F00C1A" w:rsidP="00491275">
            <w:pPr>
              <w:rPr>
                <w:rStyle w:val="st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14:paraId="3E850DEF" w14:textId="77777777" w:rsidR="00F00C1A" w:rsidRPr="008218C1" w:rsidRDefault="00F00C1A" w:rsidP="00491275">
            <w:pPr>
              <w:jc w:val="center"/>
              <w:rPr>
                <w:rStyle w:val="st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117452CF" w14:textId="77777777" w:rsidR="00F00C1A" w:rsidRPr="008218C1" w:rsidRDefault="00F00C1A" w:rsidP="00491275">
            <w:pPr>
              <w:rPr>
                <w:rStyle w:val="st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</w:tcPr>
          <w:p w14:paraId="36997F87" w14:textId="77777777" w:rsidR="00F00C1A" w:rsidRPr="00C1652A" w:rsidRDefault="00F00C1A" w:rsidP="00491275">
            <w:pPr>
              <w:rPr>
                <w:rStyle w:val="st"/>
                <w:rFonts w:ascii="Times New Roman" w:hAnsi="Times New Roman"/>
                <w:sz w:val="24"/>
                <w:szCs w:val="24"/>
              </w:rPr>
            </w:pPr>
          </w:p>
        </w:tc>
      </w:tr>
      <w:tr w:rsidR="00F00C1A" w:rsidRPr="003F16DB" w14:paraId="1B55C877" w14:textId="77777777" w:rsidTr="00491275">
        <w:tc>
          <w:tcPr>
            <w:tcW w:w="9072" w:type="dxa"/>
            <w:gridSpan w:val="4"/>
            <w:tcBorders>
              <w:left w:val="nil"/>
              <w:bottom w:val="nil"/>
              <w:right w:val="nil"/>
            </w:tcBorders>
          </w:tcPr>
          <w:p w14:paraId="525B804C" w14:textId="77777777" w:rsidR="00F00C1A" w:rsidRPr="00C1652A" w:rsidRDefault="00F00C1A" w:rsidP="0049127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65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number of observations in the models with heart disease as dependent variable was 375,473; the number of observations in the models with diabetes as dependent variable was 375,434; </w:t>
            </w:r>
            <w:proofErr w:type="spellStart"/>
            <w:r w:rsidRPr="00C1652A">
              <w:rPr>
                <w:rFonts w:ascii="Times New Roman" w:hAnsi="Times New Roman"/>
                <w:sz w:val="24"/>
                <w:szCs w:val="24"/>
                <w:lang w:val="en-US"/>
              </w:rPr>
              <w:t>aOR</w:t>
            </w:r>
            <w:proofErr w:type="spellEnd"/>
            <w:r w:rsidRPr="00C165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adjusted Odds Ratio; CI: confidence interval. Odds ratios were adjusted for age, sex, </w:t>
            </w:r>
            <w:proofErr w:type="spellStart"/>
            <w:r w:rsidRPr="00C1652A">
              <w:rPr>
                <w:rFonts w:ascii="Times New Roman" w:hAnsi="Times New Roman"/>
                <w:sz w:val="24"/>
                <w:szCs w:val="24"/>
                <w:lang w:val="en-US"/>
              </w:rPr>
              <w:t>ethnoracial</w:t>
            </w:r>
            <w:proofErr w:type="spellEnd"/>
            <w:r w:rsidRPr="00C165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identity, educational attainment, annual household income, marital status, self-reported engagement in risky behavior, lifetime use of classic psychedelics, cocaine, other stimulants, sedatives, tranquilizers, heroin, pain relievers, phencyclidine (PCP), 3,4-methylenedioxymethamphetamine (MDMA/ecstasy), inhalants, smokeless tobacco, pipe tobacco, cigar, and cigarettes daily, and age of first alcohol use.</w:t>
            </w:r>
          </w:p>
        </w:tc>
      </w:tr>
    </w:tbl>
    <w:p w14:paraId="44F84370" w14:textId="77777777" w:rsidR="00F00C1A" w:rsidRDefault="00F00C1A" w:rsidP="00F00C1A">
      <w:pPr>
        <w:spacing w:line="480" w:lineRule="auto"/>
        <w:ind w:left="720" w:hanging="720"/>
        <w:rPr>
          <w:rFonts w:ascii="Times New Roman" w:hAnsi="Times New Roman"/>
          <w:sz w:val="24"/>
          <w:szCs w:val="24"/>
          <w:lang w:val="en-US"/>
        </w:rPr>
      </w:pPr>
    </w:p>
    <w:p w14:paraId="03400119" w14:textId="77777777" w:rsidR="00F00C1A" w:rsidRDefault="00F00C1A" w:rsidP="00F00C1A">
      <w:pPr>
        <w:spacing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661423">
        <w:rPr>
          <w:rFonts w:ascii="Times New Roman" w:hAnsi="Times New Roman"/>
          <w:b/>
          <w:bCs/>
          <w:sz w:val="24"/>
          <w:szCs w:val="24"/>
          <w:lang w:val="en-US"/>
        </w:rPr>
        <w:t>References</w:t>
      </w:r>
    </w:p>
    <w:p w14:paraId="4976D4A7" w14:textId="77777777" w:rsidR="00F00C1A" w:rsidRDefault="00F00C1A" w:rsidP="00F00C1A">
      <w:pPr>
        <w:pStyle w:val="Liststycke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5B5E">
        <w:rPr>
          <w:rFonts w:ascii="Times New Roman" w:hAnsi="Times New Roman"/>
          <w:sz w:val="24"/>
          <w:szCs w:val="24"/>
          <w:lang w:val="en-US"/>
        </w:rPr>
        <w:t>Ibarra-</w:t>
      </w:r>
      <w:proofErr w:type="spellStart"/>
      <w:r w:rsidRPr="00D65B5E">
        <w:rPr>
          <w:rFonts w:ascii="Times New Roman" w:hAnsi="Times New Roman"/>
          <w:sz w:val="24"/>
          <w:szCs w:val="24"/>
          <w:lang w:val="en-US"/>
        </w:rPr>
        <w:t>Lecue</w:t>
      </w:r>
      <w:proofErr w:type="spellEnd"/>
      <w:r w:rsidRPr="00D65B5E">
        <w:rPr>
          <w:rFonts w:ascii="Times New Roman" w:hAnsi="Times New Roman"/>
          <w:sz w:val="24"/>
          <w:szCs w:val="24"/>
          <w:lang w:val="en-US"/>
        </w:rPr>
        <w:t>, I., Mollinedo-</w:t>
      </w:r>
      <w:proofErr w:type="spellStart"/>
      <w:r w:rsidRPr="00D65B5E">
        <w:rPr>
          <w:rFonts w:ascii="Times New Roman" w:hAnsi="Times New Roman"/>
          <w:sz w:val="24"/>
          <w:szCs w:val="24"/>
          <w:lang w:val="en-US"/>
        </w:rPr>
        <w:t>Gajate</w:t>
      </w:r>
      <w:proofErr w:type="spellEnd"/>
      <w:r w:rsidRPr="00D65B5E">
        <w:rPr>
          <w:rFonts w:ascii="Times New Roman" w:hAnsi="Times New Roman"/>
          <w:sz w:val="24"/>
          <w:szCs w:val="24"/>
          <w:lang w:val="en-US"/>
        </w:rPr>
        <w:t xml:space="preserve">, I., Meana, J. J., </w:t>
      </w:r>
      <w:proofErr w:type="spellStart"/>
      <w:r w:rsidRPr="00D65B5E">
        <w:rPr>
          <w:rFonts w:ascii="Times New Roman" w:hAnsi="Times New Roman"/>
          <w:sz w:val="24"/>
          <w:szCs w:val="24"/>
          <w:lang w:val="en-US"/>
        </w:rPr>
        <w:t>Callado</w:t>
      </w:r>
      <w:proofErr w:type="spellEnd"/>
      <w:r w:rsidRPr="00D65B5E">
        <w:rPr>
          <w:rFonts w:ascii="Times New Roman" w:hAnsi="Times New Roman"/>
          <w:sz w:val="24"/>
          <w:szCs w:val="24"/>
          <w:lang w:val="en-US"/>
        </w:rPr>
        <w:t>, L. F., Diez-</w:t>
      </w:r>
      <w:proofErr w:type="spellStart"/>
      <w:r w:rsidRPr="00D65B5E">
        <w:rPr>
          <w:rFonts w:ascii="Times New Roman" w:hAnsi="Times New Roman"/>
          <w:sz w:val="24"/>
          <w:szCs w:val="24"/>
          <w:lang w:val="en-US"/>
        </w:rPr>
        <w:t>Alarcia</w:t>
      </w:r>
      <w:proofErr w:type="spellEnd"/>
      <w:r w:rsidRPr="00D65B5E">
        <w:rPr>
          <w:rFonts w:ascii="Times New Roman" w:hAnsi="Times New Roman"/>
          <w:sz w:val="24"/>
          <w:szCs w:val="24"/>
          <w:lang w:val="en-US"/>
        </w:rPr>
        <w:t xml:space="preserve">, R., &amp; </w:t>
      </w:r>
      <w:proofErr w:type="spellStart"/>
      <w:r w:rsidRPr="00D65B5E">
        <w:rPr>
          <w:rFonts w:ascii="Times New Roman" w:hAnsi="Times New Roman"/>
          <w:sz w:val="24"/>
          <w:szCs w:val="24"/>
          <w:lang w:val="en-US"/>
        </w:rPr>
        <w:t>Urigüen</w:t>
      </w:r>
      <w:proofErr w:type="spellEnd"/>
      <w:r w:rsidRPr="00D65B5E">
        <w:rPr>
          <w:rFonts w:ascii="Times New Roman" w:hAnsi="Times New Roman"/>
          <w:sz w:val="24"/>
          <w:szCs w:val="24"/>
          <w:lang w:val="en-US"/>
        </w:rPr>
        <w:t xml:space="preserve">, L. Chronic cannabis promotes pro-hallucinogenic signaling of 5-HT2A receptors through Akt/mTOR pathway. </w:t>
      </w:r>
      <w:r w:rsidRPr="00740768">
        <w:rPr>
          <w:rFonts w:ascii="Times New Roman" w:hAnsi="Times New Roman"/>
          <w:i/>
          <w:iCs/>
          <w:sz w:val="24"/>
          <w:szCs w:val="24"/>
          <w:lang w:val="en-US"/>
        </w:rPr>
        <w:t>Neuropsychopharmacology</w:t>
      </w:r>
      <w:r w:rsidRPr="00D65B5E">
        <w:rPr>
          <w:rFonts w:ascii="Times New Roman" w:hAnsi="Times New Roman"/>
          <w:sz w:val="24"/>
          <w:szCs w:val="24"/>
          <w:lang w:val="en-US"/>
        </w:rPr>
        <w:t>, 43(10), 2028-2035</w:t>
      </w:r>
      <w:r>
        <w:rPr>
          <w:rFonts w:ascii="Times New Roman" w:hAnsi="Times New Roman"/>
          <w:sz w:val="24"/>
          <w:szCs w:val="24"/>
          <w:lang w:val="en-US"/>
        </w:rPr>
        <w:t xml:space="preserve"> (2018)</w:t>
      </w:r>
      <w:r w:rsidRPr="00D65B5E">
        <w:rPr>
          <w:rFonts w:ascii="Times New Roman" w:hAnsi="Times New Roman"/>
          <w:sz w:val="24"/>
          <w:szCs w:val="24"/>
          <w:lang w:val="en-US"/>
        </w:rPr>
        <w:t>.</w:t>
      </w:r>
    </w:p>
    <w:p w14:paraId="6EC8E9D4" w14:textId="77777777" w:rsidR="00F00C1A" w:rsidRDefault="00F00C1A" w:rsidP="00F00C1A">
      <w:pPr>
        <w:pStyle w:val="Liststycke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D65B5E">
        <w:rPr>
          <w:rFonts w:ascii="Times New Roman" w:hAnsi="Times New Roman"/>
          <w:sz w:val="24"/>
          <w:szCs w:val="24"/>
          <w:lang w:val="en-US"/>
        </w:rPr>
        <w:lastRenderedPageBreak/>
        <w:t xml:space="preserve">Franklin, J. M., &amp; Carrasco, G. A. Cannabinoid-induced enhanced interaction and protein levels of serotonin 5-HT2A and dopamine D2 receptors in rat prefrontal cortex. </w:t>
      </w:r>
      <w:r w:rsidRPr="00740768">
        <w:rPr>
          <w:rFonts w:ascii="Times New Roman" w:hAnsi="Times New Roman"/>
          <w:i/>
          <w:iCs/>
          <w:sz w:val="24"/>
          <w:szCs w:val="24"/>
          <w:lang w:val="en-US"/>
        </w:rPr>
        <w:t xml:space="preserve">Journal of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P</w:t>
      </w:r>
      <w:r w:rsidRPr="00740768">
        <w:rPr>
          <w:rFonts w:ascii="Times New Roman" w:hAnsi="Times New Roman"/>
          <w:i/>
          <w:iCs/>
          <w:sz w:val="24"/>
          <w:szCs w:val="24"/>
          <w:lang w:val="en-US"/>
        </w:rPr>
        <w:t>sychopharmacology</w:t>
      </w:r>
      <w:r w:rsidRPr="00D65B5E">
        <w:rPr>
          <w:rFonts w:ascii="Times New Roman" w:hAnsi="Times New Roman"/>
          <w:sz w:val="24"/>
          <w:szCs w:val="24"/>
          <w:lang w:val="en-US"/>
        </w:rPr>
        <w:t>, 26(10), 1333-1347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65B5E">
        <w:rPr>
          <w:rFonts w:ascii="Times New Roman" w:hAnsi="Times New Roman"/>
          <w:sz w:val="24"/>
          <w:szCs w:val="24"/>
          <w:lang w:val="en-US"/>
        </w:rPr>
        <w:t>(2012).</w:t>
      </w:r>
    </w:p>
    <w:p w14:paraId="3747D411" w14:textId="77777777" w:rsidR="00F61D7F" w:rsidRPr="00F00C1A" w:rsidRDefault="00F61D7F">
      <w:pPr>
        <w:rPr>
          <w:lang w:val="en-US"/>
        </w:rPr>
      </w:pPr>
    </w:p>
    <w:sectPr w:rsidR="00F61D7F" w:rsidRPr="00F00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32C3"/>
    <w:multiLevelType w:val="hybridMultilevel"/>
    <w:tmpl w:val="4DB8F4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C1A"/>
    <w:rsid w:val="003F16DB"/>
    <w:rsid w:val="00F00C1A"/>
    <w:rsid w:val="00F6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1161"/>
  <w15:chartTrackingRefBased/>
  <w15:docId w15:val="{8899ACDB-6B29-4E90-B14E-FCCD8BC9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C1A"/>
    <w:rPr>
      <w:rFonts w:eastAsia="Times New Roman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ody">
    <w:name w:val="Body"/>
    <w:rsid w:val="00F00C1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</w:pPr>
    <w:rPr>
      <w:rFonts w:ascii="Calibri" w:eastAsia="Times New Roman" w:hAnsi="Calibri" w:cs="Arial Unicode MS"/>
      <w:color w:val="000000"/>
      <w:u w:color="000000"/>
      <w:lang w:val="en-US" w:eastAsia="en-GB"/>
    </w:rPr>
  </w:style>
  <w:style w:type="character" w:customStyle="1" w:styleId="st">
    <w:name w:val="st"/>
    <w:basedOn w:val="Standardstycketeckensnitt"/>
    <w:rsid w:val="00F00C1A"/>
    <w:rPr>
      <w:rFonts w:cs="Times New Roman"/>
    </w:rPr>
  </w:style>
  <w:style w:type="table" w:styleId="Tabellrutnt">
    <w:name w:val="Table Grid"/>
    <w:basedOn w:val="Normaltabell"/>
    <w:uiPriority w:val="39"/>
    <w:rsid w:val="00F00C1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00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Simonsson</dc:creator>
  <cp:keywords/>
  <dc:description/>
  <cp:lastModifiedBy>Otto Simonsson</cp:lastModifiedBy>
  <cp:revision>2</cp:revision>
  <dcterms:created xsi:type="dcterms:W3CDTF">2021-06-20T07:26:00Z</dcterms:created>
  <dcterms:modified xsi:type="dcterms:W3CDTF">2021-06-22T06:10:00Z</dcterms:modified>
</cp:coreProperties>
</file>