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55F" w:rsidRPr="000D0303" w:rsidRDefault="00FE655F" w:rsidP="00FE655F">
      <w:pPr>
        <w:widowControl/>
        <w:autoSpaceDE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3360A3">
        <w:rPr>
          <w:rFonts w:ascii="Times New Roman" w:hAnsi="Times New Roman" w:cs="Times New Roman"/>
          <w:b/>
          <w:sz w:val="22"/>
          <w:szCs w:val="22"/>
        </w:rPr>
        <w:t>S</w:t>
      </w:r>
      <w:r w:rsidRPr="009A0A42">
        <w:rPr>
          <w:rFonts w:ascii="Times New Roman" w:hAnsi="Times New Roman" w:cs="Times New Roman"/>
          <w:b/>
          <w:sz w:val="24"/>
        </w:rPr>
        <w:t>uppl</w:t>
      </w:r>
      <w:r>
        <w:rPr>
          <w:rFonts w:ascii="Times New Roman" w:hAnsi="Times New Roman" w:cs="Times New Roman"/>
          <w:b/>
          <w:sz w:val="24"/>
        </w:rPr>
        <w:t>ementary T</w:t>
      </w:r>
      <w:r w:rsidRPr="0073428B">
        <w:rPr>
          <w:rFonts w:ascii="Times New Roman" w:hAnsi="Times New Roman" w:cs="Times New Roman"/>
          <w:b/>
          <w:sz w:val="24"/>
        </w:rPr>
        <w:t xml:space="preserve">able </w:t>
      </w:r>
      <w:r>
        <w:rPr>
          <w:rFonts w:ascii="Times New Roman" w:hAnsi="Times New Roman" w:cs="Times New Roman"/>
          <w:b/>
          <w:sz w:val="24"/>
        </w:rPr>
        <w:t>1</w:t>
      </w:r>
      <w:r w:rsidRPr="0073428B">
        <w:rPr>
          <w:rFonts w:ascii="Times New Roman" w:hAnsi="Times New Roman" w:cs="Times New Roman"/>
          <w:b/>
          <w:sz w:val="24"/>
        </w:rPr>
        <w:t xml:space="preserve">. </w:t>
      </w:r>
      <w:r w:rsidRPr="009A0A42">
        <w:rPr>
          <w:rFonts w:ascii="Times New Roman" w:hAnsi="Times New Roman" w:cs="Times New Roman"/>
          <w:b/>
          <w:sz w:val="24"/>
        </w:rPr>
        <w:t>Body weight variability and r</w:t>
      </w:r>
      <w:r w:rsidRPr="003360A3">
        <w:rPr>
          <w:rFonts w:ascii="Times New Roman" w:hAnsi="Times New Roman" w:cs="Times New Roman"/>
          <w:b/>
          <w:sz w:val="24"/>
        </w:rPr>
        <w:t>isk of NAFLD according to overall bodyweight change</w:t>
      </w:r>
      <w:r>
        <w:rPr>
          <w:rFonts w:ascii="Times New Roman" w:hAnsi="Times New Roman" w:cs="Times New Roman"/>
          <w:sz w:val="24"/>
        </w:rPr>
        <w:t xml:space="preserve">  </w:t>
      </w:r>
    </w:p>
    <w:tbl>
      <w:tblPr>
        <w:tblW w:w="13380" w:type="dxa"/>
        <w:tblLook w:val="04A0" w:firstRow="1" w:lastRow="0" w:firstColumn="1" w:lastColumn="0" w:noHBand="0" w:noVBand="1"/>
      </w:tblPr>
      <w:tblGrid>
        <w:gridCol w:w="2212"/>
        <w:gridCol w:w="1306"/>
        <w:gridCol w:w="2319"/>
        <w:gridCol w:w="1306"/>
        <w:gridCol w:w="1306"/>
        <w:gridCol w:w="2319"/>
        <w:gridCol w:w="1306"/>
        <w:gridCol w:w="1306"/>
      </w:tblGrid>
      <w:tr w:rsidR="00FE655F" w:rsidRPr="003360A3" w:rsidTr="002D2CC3">
        <w:trPr>
          <w:trHeight w:val="397"/>
          <w:tblHeader/>
        </w:trPr>
        <w:tc>
          <w:tcPr>
            <w:tcW w:w="2212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Overall bodyweight change</w:t>
            </w:r>
          </w:p>
        </w:tc>
        <w:tc>
          <w:tcPr>
            <w:tcW w:w="1306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1" w:type="dxa"/>
            <w:gridSpan w:val="3"/>
            <w:tcBorders>
              <w:top w:val="single" w:sz="12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Univariable analysis</w:t>
            </w:r>
          </w:p>
        </w:tc>
        <w:tc>
          <w:tcPr>
            <w:tcW w:w="4931" w:type="dxa"/>
            <w:gridSpan w:val="3"/>
            <w:tcBorders>
              <w:top w:val="single" w:sz="12" w:space="0" w:color="auto"/>
              <w:left w:val="dashSmallGap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Multivariable analysis</w:t>
            </w:r>
          </w:p>
        </w:tc>
      </w:tr>
      <w:tr w:rsidR="00FE655F" w:rsidRPr="003360A3" w:rsidTr="002D2CC3">
        <w:trPr>
          <w:trHeight w:val="283"/>
          <w:tblHeader/>
        </w:trPr>
        <w:tc>
          <w:tcPr>
            <w:tcW w:w="221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vMerge/>
            <w:tcBorders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Hazard Ratio (95% CI)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Overall</w:t>
            </w:r>
          </w:p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2319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Hazard Ratio (95% CI)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Overall</w:t>
            </w:r>
          </w:p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P-value</w:t>
            </w:r>
          </w:p>
        </w:tc>
      </w:tr>
      <w:tr w:rsidR="00FE655F" w:rsidRPr="003360A3" w:rsidTr="002D2CC3">
        <w:trPr>
          <w:trHeight w:val="375"/>
        </w:trPr>
        <w:tc>
          <w:tcPr>
            <w:tcW w:w="1338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Loss ≥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5% (n=160)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SD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vs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-3</w:t>
            </w:r>
          </w:p>
        </w:tc>
        <w:tc>
          <w:tcPr>
            <w:tcW w:w="2319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2.04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0.58, 7.2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2319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1.17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0.27, 5.09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0.83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CV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1.47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0.47, 4.64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0.77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0.21, 2.86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0.70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ARV</w:t>
            </w:r>
          </w:p>
        </w:tc>
        <w:tc>
          <w:tcPr>
            <w:tcW w:w="1306" w:type="dxa"/>
            <w:tcBorders>
              <w:top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1.54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0.55, 4.36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306" w:type="dxa"/>
            <w:tcBorders>
              <w:top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1.48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0.43, 5.04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306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0.53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VIM</w:t>
            </w:r>
          </w:p>
        </w:tc>
        <w:tc>
          <w:tcPr>
            <w:tcW w:w="1306" w:type="dxa"/>
            <w:tcBorders>
              <w:top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1.49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0.47, 4.69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0.78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0.21, 2.9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306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0.72</w:t>
            </w:r>
          </w:p>
        </w:tc>
      </w:tr>
      <w:tr w:rsidR="00FE655F" w:rsidRPr="003360A3" w:rsidTr="002D2CC3">
        <w:trPr>
          <w:trHeight w:val="375"/>
        </w:trPr>
        <w:tc>
          <w:tcPr>
            <w:tcW w:w="1338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Stable weight (within ± 5% change)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(n=1,417)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SD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.00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0.72, 1.41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2319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0.91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0.64, 1.29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0.58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CV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0.63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0.43, 0.93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0.7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0.47, 1.05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0.08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ARV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1.14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0.86, 1.53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0.86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0.63, 1.16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0.3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0.3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VIM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0.72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0.49, 1.05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0.75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0.51, 1.1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0.14</w:t>
            </w:r>
          </w:p>
        </w:tc>
      </w:tr>
      <w:tr w:rsidR="00FE655F" w:rsidRPr="003360A3" w:rsidTr="002D2CC3">
        <w:trPr>
          <w:trHeight w:val="375"/>
        </w:trPr>
        <w:tc>
          <w:tcPr>
            <w:tcW w:w="1338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Gain ≥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5% (n=330)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SD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1.68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1.12, 2.5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0)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2319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1.25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0.81, 1.93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0.3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0.3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CV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1.23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0.84, 1.81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1.21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0.81, 1.81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0.34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ARV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1.38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0.95, 1.99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0.88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0.58, 1.33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3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0.54</w:t>
            </w:r>
          </w:p>
        </w:tc>
      </w:tr>
      <w:tr w:rsidR="00FE655F" w:rsidRPr="003360A3" w:rsidTr="002D2CC3">
        <w:trPr>
          <w:trHeight w:val="375"/>
        </w:trPr>
        <w:tc>
          <w:tcPr>
            <w:tcW w:w="2212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VIM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Q4 vs Q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1-3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1.29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0.87, 1.9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0)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E655F" w:rsidRPr="003360A3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2319" w:type="dxa"/>
            <w:tcBorders>
              <w:top w:val="dashed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3360A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1.09 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0.72, 1.66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0.6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55F" w:rsidRPr="00743D0A" w:rsidRDefault="00FE655F" w:rsidP="002D2CC3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743D0A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0.6</w:t>
            </w:r>
            <w:r w:rsidRPr="00467569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</w:t>
            </w:r>
          </w:p>
        </w:tc>
      </w:tr>
    </w:tbl>
    <w:p w:rsidR="00FE655F" w:rsidRPr="00362E95" w:rsidRDefault="00FE655F" w:rsidP="00FE655F">
      <w:pPr>
        <w:widowControl/>
        <w:autoSpaceDE/>
        <w:rPr>
          <w:rFonts w:ascii="Times New Roman" w:eastAsia="맑은 고딕" w:hAnsi="Times New Roman" w:cs="Times New Roman"/>
          <w:color w:val="000000"/>
          <w:kern w:val="0"/>
          <w:sz w:val="24"/>
        </w:rPr>
      </w:pPr>
      <w:r>
        <w:rPr>
          <w:rFonts w:ascii="Times New Roman" w:eastAsia="맑은 고딕" w:hAnsi="Times New Roman" w:cs="Times New Roman"/>
          <w:color w:val="000000"/>
          <w:kern w:val="0"/>
          <w:sz w:val="24"/>
        </w:rPr>
        <w:t xml:space="preserve">NAFLD, nonalcoholic fatty liver disease; CI, confidence interval; </w:t>
      </w:r>
      <w:r w:rsidRPr="00362E95">
        <w:rPr>
          <w:rFonts w:ascii="Times New Roman" w:eastAsia="맑은 고딕" w:hAnsi="Times New Roman" w:cs="Times New Roman"/>
          <w:color w:val="000000"/>
          <w:kern w:val="0"/>
          <w:sz w:val="24"/>
        </w:rPr>
        <w:t>SD, standard deviation; CV, coefficient of variation, ARV, average real variability; VIM, variability independent of mean; OBC, overall bodyweight change</w:t>
      </w:r>
      <w:r>
        <w:rPr>
          <w:rFonts w:ascii="Times New Roman" w:eastAsia="맑은 고딕" w:hAnsi="Times New Roman" w:cs="Times New Roman"/>
          <w:color w:val="000000"/>
          <w:kern w:val="0"/>
          <w:sz w:val="24"/>
        </w:rPr>
        <w:t xml:space="preserve">; </w:t>
      </w:r>
      <w:r>
        <w:rPr>
          <w:rFonts w:ascii="Times New Roman" w:hAnsi="Times New Roman" w:cs="Times New Roman"/>
          <w:sz w:val="24"/>
        </w:rPr>
        <w:t>Q, quartile.</w:t>
      </w:r>
    </w:p>
    <w:p w:rsidR="00FE655F" w:rsidRDefault="00FE655F" w:rsidP="00FE655F">
      <w:pPr>
        <w:widowControl/>
        <w:autoSpaceDE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Adj</w:t>
      </w:r>
      <w:r w:rsidRPr="00452358">
        <w:rPr>
          <w:rFonts w:ascii="Times New Roman" w:hAnsi="Times New Roman" w:cs="Times New Roman"/>
          <w:sz w:val="22"/>
          <w:szCs w:val="22"/>
        </w:rPr>
        <w:t>usted for age, sex, hypertension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452358">
        <w:rPr>
          <w:rFonts w:ascii="Times New Roman" w:hAnsi="Times New Roman" w:cs="Times New Roman"/>
          <w:sz w:val="22"/>
          <w:szCs w:val="22"/>
        </w:rPr>
        <w:t>diabetes</w:t>
      </w:r>
      <w:r>
        <w:rPr>
          <w:rFonts w:ascii="Times New Roman" w:hAnsi="Times New Roman" w:cs="Times New Roman"/>
          <w:sz w:val="22"/>
          <w:szCs w:val="22"/>
        </w:rPr>
        <w:t xml:space="preserve">, waist circumference, </w:t>
      </w:r>
      <w:r>
        <w:rPr>
          <w:rFonts w:ascii="Times New Roman" w:eastAsia="맑은 고딕" w:hAnsi="Times New Roman" w:cs="Times New Roman"/>
          <w:color w:val="000000"/>
          <w:sz w:val="24"/>
        </w:rPr>
        <w:t>body mass index</w:t>
      </w:r>
      <w:r>
        <w:rPr>
          <w:rFonts w:ascii="Times New Roman" w:hAnsi="Times New Roman" w:cs="Times New Roman"/>
          <w:sz w:val="22"/>
          <w:szCs w:val="22"/>
        </w:rPr>
        <w:t xml:space="preserve">, triglyceride, high density cholesterol, total cholesterol, </w:t>
      </w:r>
      <w:r w:rsidRPr="00004E18">
        <w:rPr>
          <w:rFonts w:ascii="Times New Roman" w:hAnsi="Times New Roman" w:cs="Times New Roman"/>
          <w:sz w:val="22"/>
          <w:szCs w:val="22"/>
        </w:rPr>
        <w:t>alanine transaminase,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and number of measurements</w:t>
      </w:r>
    </w:p>
    <w:p w:rsidR="00EF3A0A" w:rsidRDefault="00EF3A0A"/>
    <w:sectPr w:rsidR="00EF3A0A" w:rsidSect="00FE655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C8D" w:rsidRDefault="003E4C8D" w:rsidP="0047432B">
      <w:r>
        <w:separator/>
      </w:r>
    </w:p>
  </w:endnote>
  <w:endnote w:type="continuationSeparator" w:id="0">
    <w:p w:rsidR="003E4C8D" w:rsidRDefault="003E4C8D" w:rsidP="00474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C8D" w:rsidRDefault="003E4C8D" w:rsidP="0047432B">
      <w:r>
        <w:separator/>
      </w:r>
    </w:p>
  </w:footnote>
  <w:footnote w:type="continuationSeparator" w:id="0">
    <w:p w:rsidR="003E4C8D" w:rsidRDefault="003E4C8D" w:rsidP="00474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5F"/>
    <w:rsid w:val="003E4C8D"/>
    <w:rsid w:val="0047432B"/>
    <w:rsid w:val="00EF3A0A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57BEFA-EDD8-487F-81E9-9BF3D23B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55F"/>
    <w:pPr>
      <w:widowControl w:val="0"/>
      <w:suppressAutoHyphens/>
      <w:autoSpaceDE w:val="0"/>
      <w:spacing w:after="0" w:line="240" w:lineRule="auto"/>
    </w:pPr>
    <w:rPr>
      <w:rFonts w:ascii="바탕" w:eastAsia="바탕" w:hAnsi="바탕" w:cs="바탕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32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7432B"/>
    <w:rPr>
      <w:rFonts w:ascii="바탕" w:eastAsia="바탕" w:hAnsi="바탕" w:cs="바탕"/>
      <w:kern w:val="1"/>
      <w:szCs w:val="24"/>
    </w:rPr>
  </w:style>
  <w:style w:type="paragraph" w:styleId="a4">
    <w:name w:val="footer"/>
    <w:basedOn w:val="a"/>
    <w:link w:val="Char0"/>
    <w:uiPriority w:val="99"/>
    <w:unhideWhenUsed/>
    <w:rsid w:val="0047432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7432B"/>
    <w:rPr>
      <w:rFonts w:ascii="바탕" w:eastAsia="바탕" w:hAnsi="바탕" w:cs="바탕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2</cp:revision>
  <dcterms:created xsi:type="dcterms:W3CDTF">2021-05-12T00:12:00Z</dcterms:created>
  <dcterms:modified xsi:type="dcterms:W3CDTF">2021-05-12T00:12:00Z</dcterms:modified>
</cp:coreProperties>
</file>