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8460D" w14:textId="77777777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  <w:r w:rsidRPr="00A6717F">
        <w:rPr>
          <w:rFonts w:ascii="Arial" w:hAnsi="Arial" w:cs="Arial"/>
          <w:b/>
          <w:bCs/>
        </w:rPr>
        <w:t xml:space="preserve">Additional Information </w:t>
      </w:r>
    </w:p>
    <w:p w14:paraId="1AC41F4A" w14:textId="5D95F6B3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5D261295" w14:textId="0280A2E4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  <w:bookmarkStart w:id="0" w:name="_GoBack"/>
      <w:bookmarkEnd w:id="0"/>
    </w:p>
    <w:p w14:paraId="1BF5B7EF" w14:textId="77777777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0F1270E" w14:textId="77777777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  <w:r w:rsidRPr="00A6717F">
        <w:rPr>
          <w:noProof/>
        </w:rPr>
        <w:t xml:space="preserve"> </w:t>
      </w:r>
      <w:r w:rsidRPr="00A6717F">
        <w:rPr>
          <w:noProof/>
          <w:lang w:val="en-IN" w:eastAsia="en-IN"/>
        </w:rPr>
        <w:drawing>
          <wp:inline distT="0" distB="0" distL="0" distR="0" wp14:anchorId="41FB07AC" wp14:editId="56623A3C">
            <wp:extent cx="5262552" cy="288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552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7447BC" w14:textId="77777777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DF0D6AD" w14:textId="77777777" w:rsidR="00BC628E" w:rsidRPr="00A6717F" w:rsidRDefault="00BC628E" w:rsidP="00BC628E">
      <w:pPr>
        <w:jc w:val="both"/>
        <w:rPr>
          <w:rFonts w:ascii="Arial" w:hAnsi="Arial" w:cs="Arial"/>
        </w:rPr>
      </w:pPr>
      <w:r w:rsidRPr="00A6717F">
        <w:rPr>
          <w:rFonts w:ascii="Arial" w:hAnsi="Arial" w:cs="Arial"/>
          <w:b/>
          <w:bCs/>
        </w:rPr>
        <w:t xml:space="preserve">Figure S1. PCR confirmation of the </w:t>
      </w:r>
      <w:proofErr w:type="spellStart"/>
      <w:r w:rsidRPr="00A6717F">
        <w:rPr>
          <w:rFonts w:ascii="Arial" w:hAnsi="Arial" w:cs="Arial"/>
          <w:b/>
          <w:bCs/>
          <w:i/>
          <w:iCs/>
        </w:rPr>
        <w:t>kmo</w:t>
      </w:r>
      <w:proofErr w:type="spellEnd"/>
      <w:r w:rsidRPr="00A6717F">
        <w:rPr>
          <w:rFonts w:ascii="Arial" w:hAnsi="Arial" w:cs="Arial"/>
          <w:b/>
          <w:bCs/>
          <w:i/>
          <w:iCs/>
        </w:rPr>
        <w:t xml:space="preserve"> </w:t>
      </w:r>
      <w:r w:rsidRPr="00A6717F">
        <w:rPr>
          <w:rFonts w:ascii="Arial" w:hAnsi="Arial" w:cs="Arial"/>
          <w:b/>
          <w:bCs/>
        </w:rPr>
        <w:t>knock-in.</w:t>
      </w:r>
      <w:r w:rsidRPr="00A6717F">
        <w:rPr>
          <w:rFonts w:ascii="Arial" w:hAnsi="Arial" w:cs="Arial"/>
        </w:rPr>
        <w:t xml:space="preserve"> Successful integration of the HDR construct into the </w:t>
      </w:r>
      <w:proofErr w:type="spellStart"/>
      <w:r w:rsidRPr="00A6717F">
        <w:rPr>
          <w:rFonts w:ascii="Arial" w:hAnsi="Arial" w:cs="Arial"/>
          <w:i/>
          <w:iCs/>
        </w:rPr>
        <w:t>kmo</w:t>
      </w:r>
      <w:proofErr w:type="spellEnd"/>
      <w:r w:rsidRPr="00A6717F">
        <w:rPr>
          <w:rFonts w:ascii="Arial" w:hAnsi="Arial" w:cs="Arial"/>
        </w:rPr>
        <w:t xml:space="preserve"> locus produced expected banding patterns along with additional seemingly non-specific amplicons. The amplicons of expected size for the </w:t>
      </w:r>
      <w:proofErr w:type="spellStart"/>
      <w:r w:rsidRPr="00A6717F">
        <w:rPr>
          <w:rFonts w:ascii="Arial" w:hAnsi="Arial" w:cs="Arial"/>
          <w:i/>
          <w:iCs/>
        </w:rPr>
        <w:t>kmo</w:t>
      </w:r>
      <w:proofErr w:type="spellEnd"/>
      <w:r w:rsidRPr="00A6717F">
        <w:rPr>
          <w:rFonts w:ascii="Arial" w:hAnsi="Arial" w:cs="Arial"/>
        </w:rPr>
        <w:t xml:space="preserve"> alleles were excised and sequence confirmed.</w:t>
      </w:r>
    </w:p>
    <w:p w14:paraId="1B68B3E5" w14:textId="77777777" w:rsidR="00BC628E" w:rsidRPr="00A6717F" w:rsidRDefault="00BC628E" w:rsidP="00BC628E">
      <w:pPr>
        <w:jc w:val="both"/>
        <w:rPr>
          <w:rFonts w:ascii="Arial" w:hAnsi="Arial" w:cs="Arial"/>
          <w:b/>
          <w:bCs/>
        </w:rPr>
      </w:pPr>
    </w:p>
    <w:p w14:paraId="1ACA1436" w14:textId="77777777" w:rsidR="00BC628E" w:rsidRPr="00A6717F" w:rsidRDefault="00BC628E" w:rsidP="00BC628E">
      <w:pPr>
        <w:jc w:val="both"/>
        <w:rPr>
          <w:rFonts w:ascii="Arial" w:hAnsi="Arial" w:cs="Arial"/>
          <w:b/>
          <w:bCs/>
        </w:rPr>
      </w:pPr>
      <w:r w:rsidRPr="00A6717F">
        <w:rPr>
          <w:rFonts w:ascii="Arial" w:hAnsi="Arial" w:cs="Arial"/>
          <w:b/>
          <w:bCs/>
          <w:noProof/>
          <w:lang w:val="en-IN" w:eastAsia="en-IN"/>
        </w:rPr>
        <w:drawing>
          <wp:inline distT="0" distB="0" distL="0" distR="0" wp14:anchorId="1160E717" wp14:editId="4D8E2849">
            <wp:extent cx="6173204" cy="51300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204" cy="513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76220C" w14:textId="77777777" w:rsidR="00BC628E" w:rsidRPr="00A6717F" w:rsidRDefault="00BC628E" w:rsidP="00BC628E">
      <w:pPr>
        <w:jc w:val="both"/>
        <w:rPr>
          <w:rFonts w:ascii="Arial" w:hAnsi="Arial" w:cs="Arial"/>
          <w:b/>
          <w:bCs/>
        </w:rPr>
      </w:pPr>
    </w:p>
    <w:p w14:paraId="30051CAC" w14:textId="77777777" w:rsidR="00BC628E" w:rsidRPr="00A6717F" w:rsidRDefault="00BC628E" w:rsidP="00BC628E">
      <w:pPr>
        <w:jc w:val="both"/>
        <w:rPr>
          <w:rFonts w:ascii="Arial" w:hAnsi="Arial" w:cs="Arial"/>
          <w:color w:val="202020"/>
          <w:shd w:val="clear" w:color="auto" w:fill="FFFFFF"/>
        </w:rPr>
      </w:pPr>
      <w:r w:rsidRPr="00A6717F">
        <w:rPr>
          <w:rFonts w:ascii="Arial" w:hAnsi="Arial" w:cs="Arial"/>
          <w:b/>
          <w:bCs/>
        </w:rPr>
        <w:t xml:space="preserve">Figure S2. Sequence confirmation of the </w:t>
      </w:r>
      <w:proofErr w:type="spellStart"/>
      <w:r w:rsidRPr="00A6717F">
        <w:rPr>
          <w:rFonts w:ascii="Arial" w:hAnsi="Arial" w:cs="Arial"/>
          <w:b/>
          <w:bCs/>
          <w:i/>
          <w:iCs/>
        </w:rPr>
        <w:t>kmo</w:t>
      </w:r>
      <w:proofErr w:type="spellEnd"/>
      <w:r w:rsidRPr="00A6717F">
        <w:rPr>
          <w:rFonts w:ascii="Arial" w:hAnsi="Arial" w:cs="Arial"/>
          <w:b/>
          <w:bCs/>
          <w:i/>
          <w:iCs/>
        </w:rPr>
        <w:t xml:space="preserve"> </w:t>
      </w:r>
      <w:r w:rsidRPr="00A6717F">
        <w:rPr>
          <w:rFonts w:ascii="Arial" w:hAnsi="Arial" w:cs="Arial"/>
          <w:b/>
          <w:bCs/>
        </w:rPr>
        <w:t xml:space="preserve">knock-in. </w:t>
      </w:r>
      <w:r w:rsidRPr="00A6717F">
        <w:rPr>
          <w:rFonts w:ascii="Arial" w:hAnsi="Arial" w:cs="Arial"/>
        </w:rPr>
        <w:t xml:space="preserve">Sanger sequencing traces showing (a) the 5’ and (b) the 3’ junctions of the </w:t>
      </w:r>
      <w:proofErr w:type="spellStart"/>
      <w:r w:rsidRPr="00A6717F">
        <w:rPr>
          <w:rFonts w:ascii="Arial" w:hAnsi="Arial" w:cs="Arial"/>
          <w:i/>
          <w:iCs/>
        </w:rPr>
        <w:t>kmo</w:t>
      </w:r>
      <w:proofErr w:type="spellEnd"/>
      <w:r w:rsidRPr="00A6717F">
        <w:rPr>
          <w:rFonts w:ascii="Arial" w:hAnsi="Arial" w:cs="Arial"/>
          <w:i/>
          <w:iCs/>
        </w:rPr>
        <w:t xml:space="preserve"> </w:t>
      </w:r>
      <w:r w:rsidRPr="00A6717F">
        <w:rPr>
          <w:rFonts w:ascii="Arial" w:hAnsi="Arial" w:cs="Arial"/>
        </w:rPr>
        <w:t xml:space="preserve">knock-in cassette within the genome. In the 3’ junction, the reverse primer </w:t>
      </w:r>
      <w:r w:rsidRPr="00A6717F">
        <w:rPr>
          <w:rFonts w:ascii="Arial" w:hAnsi="Arial" w:cs="Arial"/>
          <w:color w:val="202020"/>
          <w:shd w:val="clear" w:color="auto" w:fill="FFFFFF"/>
        </w:rPr>
        <w:t xml:space="preserve">binds to the genomic region immediately adjacent to the right homology arm which resulted in poor quality </w:t>
      </w:r>
      <w:proofErr w:type="spellStart"/>
      <w:r w:rsidRPr="00A6717F">
        <w:rPr>
          <w:rFonts w:ascii="Arial" w:hAnsi="Arial" w:cs="Arial"/>
          <w:color w:val="202020"/>
          <w:shd w:val="clear" w:color="auto" w:fill="FFFFFF"/>
        </w:rPr>
        <w:t>basecalling</w:t>
      </w:r>
      <w:proofErr w:type="spellEnd"/>
      <w:r w:rsidRPr="00A6717F">
        <w:rPr>
          <w:rFonts w:ascii="Arial" w:hAnsi="Arial" w:cs="Arial"/>
          <w:color w:val="202020"/>
          <w:shd w:val="clear" w:color="auto" w:fill="FFFFFF"/>
        </w:rPr>
        <w:t xml:space="preserve"> (red highlighted bases) at the junction of the homology arm with the genome (b).</w:t>
      </w:r>
    </w:p>
    <w:p w14:paraId="4F29C50E" w14:textId="77777777" w:rsidR="00BC628E" w:rsidRPr="00A6717F" w:rsidRDefault="00BC628E" w:rsidP="00BC628E">
      <w:pPr>
        <w:jc w:val="both"/>
        <w:rPr>
          <w:rFonts w:ascii="Arial" w:hAnsi="Arial" w:cs="Arial"/>
          <w:color w:val="202020"/>
          <w:shd w:val="clear" w:color="auto" w:fill="FFFFFF"/>
        </w:rPr>
      </w:pPr>
    </w:p>
    <w:p w14:paraId="71485BCC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5C38BDE1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21116FB6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623E54D0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3D7E689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665C5A5B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DCFC040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64922D95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3D1D5D62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4E76624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6FD94BDB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D0C30CD" w14:textId="57EA298F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08AEA774" w14:textId="0E72016A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101BD28" w14:textId="5692CA88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33317A55" w14:textId="679C896F" w:rsidR="00B17739" w:rsidRPr="00A6717F" w:rsidRDefault="002C01F0" w:rsidP="00B17739">
      <w:pPr>
        <w:spacing w:after="0"/>
        <w:jc w:val="both"/>
        <w:rPr>
          <w:rFonts w:ascii="Arial" w:hAnsi="Arial" w:cs="Arial"/>
          <w:b/>
          <w:bCs/>
        </w:rPr>
      </w:pPr>
      <w:r w:rsidRPr="00A6717F">
        <w:rPr>
          <w:rFonts w:ascii="Arial" w:hAnsi="Arial" w:cs="Arial"/>
          <w:b/>
          <w:bCs/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08E73A83" wp14:editId="39CAACD4">
            <wp:simplePos x="914400" y="1257300"/>
            <wp:positionH relativeFrom="margin">
              <wp:align>center</wp:align>
            </wp:positionH>
            <wp:positionV relativeFrom="margin">
              <wp:align>top</wp:align>
            </wp:positionV>
            <wp:extent cx="4320000" cy="5565373"/>
            <wp:effectExtent l="0" t="0" r="4445" b="0"/>
            <wp:wrapSquare wrapText="bothSides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565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2ED10B" w14:textId="77777777" w:rsidR="00B17739" w:rsidRPr="00A6717F" w:rsidRDefault="00B17739" w:rsidP="00B17739">
      <w:pPr>
        <w:spacing w:after="0"/>
        <w:jc w:val="both"/>
        <w:rPr>
          <w:rFonts w:ascii="Arial" w:hAnsi="Arial" w:cs="Arial"/>
          <w:b/>
          <w:bCs/>
        </w:rPr>
      </w:pPr>
    </w:p>
    <w:p w14:paraId="6AA02C5F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6C8AAE0D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05CA3FD9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159C7446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0820CED0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5E51C3B6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AB37531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1D30D8B5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2E80AF3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FE0E600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2EC8CB9E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6EF79A0E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6BFB0227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56006C11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66524A0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8405217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17E6A44F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6043661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B165561" w14:textId="68746ACE" w:rsidR="00B17739" w:rsidRPr="00A6717F" w:rsidRDefault="00B17739" w:rsidP="00B17739">
      <w:pPr>
        <w:jc w:val="both"/>
        <w:rPr>
          <w:rFonts w:ascii="Arial" w:hAnsi="Arial" w:cs="Arial"/>
        </w:rPr>
      </w:pPr>
      <w:r w:rsidRPr="00A6717F">
        <w:rPr>
          <w:rFonts w:ascii="Arial" w:hAnsi="Arial" w:cs="Arial"/>
          <w:b/>
          <w:bCs/>
        </w:rPr>
        <w:t>Figure S</w:t>
      </w:r>
      <w:r w:rsidR="002C01F0" w:rsidRPr="00A6717F">
        <w:rPr>
          <w:rFonts w:ascii="Arial" w:hAnsi="Arial" w:cs="Arial"/>
          <w:b/>
          <w:bCs/>
        </w:rPr>
        <w:t>3</w:t>
      </w:r>
      <w:r w:rsidRPr="00A6717F">
        <w:rPr>
          <w:rFonts w:ascii="Arial" w:hAnsi="Arial" w:cs="Arial"/>
          <w:b/>
          <w:bCs/>
        </w:rPr>
        <w:t xml:space="preserve">. </w:t>
      </w:r>
      <w:r w:rsidR="00D4065C" w:rsidRPr="00A6717F">
        <w:rPr>
          <w:rFonts w:ascii="Arial" w:hAnsi="Arial" w:cs="Arial"/>
          <w:b/>
          <w:bCs/>
        </w:rPr>
        <w:t>Testing of wild</w:t>
      </w:r>
      <w:r w:rsidR="00F1250A" w:rsidRPr="00A6717F">
        <w:rPr>
          <w:rFonts w:ascii="Arial" w:hAnsi="Arial" w:cs="Arial"/>
          <w:b/>
          <w:bCs/>
        </w:rPr>
        <w:t xml:space="preserve"> </w:t>
      </w:r>
      <w:r w:rsidR="00D4065C" w:rsidRPr="00A6717F">
        <w:rPr>
          <w:rFonts w:ascii="Arial" w:hAnsi="Arial" w:cs="Arial"/>
          <w:b/>
          <w:bCs/>
        </w:rPr>
        <w:t xml:space="preserve">type </w:t>
      </w:r>
      <w:proofErr w:type="spellStart"/>
      <w:r w:rsidR="00D4065C" w:rsidRPr="00A6717F">
        <w:rPr>
          <w:rFonts w:ascii="Arial" w:hAnsi="Arial" w:cs="Arial"/>
          <w:b/>
          <w:bCs/>
          <w:i/>
          <w:iCs/>
        </w:rPr>
        <w:t>kmo</w:t>
      </w:r>
      <w:proofErr w:type="spellEnd"/>
      <w:r w:rsidR="00D4065C" w:rsidRPr="00A6717F">
        <w:rPr>
          <w:rFonts w:ascii="Arial" w:hAnsi="Arial" w:cs="Arial"/>
          <w:b/>
          <w:bCs/>
          <w:i/>
          <w:iCs/>
        </w:rPr>
        <w:t xml:space="preserve"> </w:t>
      </w:r>
      <w:r w:rsidRPr="00A6717F">
        <w:rPr>
          <w:rFonts w:ascii="Arial" w:hAnsi="Arial" w:cs="Arial"/>
          <w:b/>
          <w:bCs/>
        </w:rPr>
        <w:t>PCR</w:t>
      </w:r>
      <w:r w:rsidR="00D4065C" w:rsidRPr="00A6717F">
        <w:rPr>
          <w:rFonts w:ascii="Arial" w:hAnsi="Arial" w:cs="Arial"/>
          <w:b/>
          <w:bCs/>
        </w:rPr>
        <w:t xml:space="preserve"> primers</w:t>
      </w:r>
      <w:r w:rsidRPr="00A6717F">
        <w:rPr>
          <w:rFonts w:ascii="Arial" w:hAnsi="Arial" w:cs="Arial"/>
          <w:b/>
          <w:bCs/>
        </w:rPr>
        <w:t>.</w:t>
      </w:r>
      <w:r w:rsidRPr="00A6717F">
        <w:rPr>
          <w:rFonts w:ascii="Arial" w:hAnsi="Arial" w:cs="Arial"/>
        </w:rPr>
        <w:t xml:space="preserve"> S</w:t>
      </w:r>
      <w:r w:rsidR="00F1250A" w:rsidRPr="00A6717F">
        <w:rPr>
          <w:rFonts w:ascii="Arial" w:hAnsi="Arial" w:cs="Arial"/>
        </w:rPr>
        <w:t xml:space="preserve">et A, B &amp; C – three different pairs of primers. PCR Primer Set-A gave the amplicons of expected size and the cropped image shown in supplementary figure S1. </w:t>
      </w:r>
    </w:p>
    <w:p w14:paraId="4EC255E5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4188A0BD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50E98A3F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B91444C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91BBC50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2BC8C544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0C0DEF0E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29B113D7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5D35B7B8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47AE477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BADAE6D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73E5E35D" w14:textId="375F6731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62069DE9" w14:textId="77777777" w:rsidR="00B17739" w:rsidRPr="00A6717F" w:rsidRDefault="00B17739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22B1BDC2" w14:textId="7B45A0F6" w:rsidR="00B17739" w:rsidRPr="00A6717F" w:rsidRDefault="00B17739" w:rsidP="00B17739">
      <w:pPr>
        <w:spacing w:after="0"/>
        <w:jc w:val="both"/>
        <w:rPr>
          <w:rFonts w:ascii="Arial" w:hAnsi="Arial" w:cs="Arial"/>
          <w:b/>
          <w:bCs/>
        </w:rPr>
      </w:pPr>
    </w:p>
    <w:p w14:paraId="17C99219" w14:textId="2DCB973C" w:rsidR="00B17739" w:rsidRPr="00A6717F" w:rsidRDefault="00B17739" w:rsidP="00B17739">
      <w:pPr>
        <w:spacing w:after="0"/>
        <w:jc w:val="both"/>
        <w:rPr>
          <w:rFonts w:ascii="Arial" w:hAnsi="Arial" w:cs="Arial"/>
          <w:b/>
          <w:bCs/>
        </w:rPr>
      </w:pPr>
    </w:p>
    <w:p w14:paraId="4FB6F969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2957C14F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6DFCA3ED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215664B9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4BF7D09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6D010D9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FC33B1F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C46E6B7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CD98BDA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15648FC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701A6D0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769DBBFB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1911529A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6EFC16BC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6C7E303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0D3A4867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31A9393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5A45B3C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2BE35481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5F5826C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373C4844" w14:textId="77777777" w:rsidR="003E15C2" w:rsidRPr="00A6717F" w:rsidRDefault="003E15C2" w:rsidP="00B17739">
      <w:pPr>
        <w:jc w:val="both"/>
        <w:rPr>
          <w:rFonts w:ascii="Arial" w:hAnsi="Arial" w:cs="Arial"/>
          <w:b/>
          <w:bCs/>
        </w:rPr>
      </w:pPr>
    </w:p>
    <w:p w14:paraId="48F0D0EE" w14:textId="77777777" w:rsidR="00F1250A" w:rsidRPr="00A6717F" w:rsidRDefault="00F1250A" w:rsidP="00B17739">
      <w:pPr>
        <w:jc w:val="both"/>
        <w:rPr>
          <w:rFonts w:ascii="Arial" w:hAnsi="Arial" w:cs="Arial"/>
          <w:b/>
          <w:bCs/>
        </w:rPr>
      </w:pPr>
    </w:p>
    <w:p w14:paraId="2AF67BA9" w14:textId="4D8072CD" w:rsidR="00B17739" w:rsidRPr="00A6717F" w:rsidRDefault="003E15C2" w:rsidP="00B17739">
      <w:pPr>
        <w:jc w:val="both"/>
        <w:rPr>
          <w:rFonts w:ascii="Arial" w:hAnsi="Arial" w:cs="Arial"/>
        </w:rPr>
      </w:pPr>
      <w:r w:rsidRPr="00A6717F">
        <w:rPr>
          <w:rFonts w:ascii="Arial" w:hAnsi="Arial" w:cs="Arial"/>
          <w:b/>
          <w:bCs/>
          <w:noProof/>
          <w:lang w:val="en-IN" w:eastAsia="en-IN"/>
        </w:rPr>
        <w:drawing>
          <wp:anchor distT="0" distB="0" distL="114300" distR="114300" simplePos="0" relativeHeight="251659264" behindDoc="0" locked="0" layoutInCell="1" allowOverlap="1" wp14:anchorId="7D9DA007" wp14:editId="27A58C6E">
            <wp:simplePos x="0" y="0"/>
            <wp:positionH relativeFrom="margin">
              <wp:align>center</wp:align>
            </wp:positionH>
            <wp:positionV relativeFrom="margin">
              <wp:posOffset>180975</wp:posOffset>
            </wp:positionV>
            <wp:extent cx="4320000" cy="5602811"/>
            <wp:effectExtent l="0" t="0" r="4445" b="0"/>
            <wp:wrapSquare wrapText="bothSides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5602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7739" w:rsidRPr="00A6717F">
        <w:rPr>
          <w:rFonts w:ascii="Arial" w:hAnsi="Arial" w:cs="Arial"/>
          <w:b/>
          <w:bCs/>
        </w:rPr>
        <w:t>Figure S</w:t>
      </w:r>
      <w:r w:rsidRPr="00A6717F">
        <w:rPr>
          <w:rFonts w:ascii="Arial" w:hAnsi="Arial" w:cs="Arial"/>
          <w:b/>
          <w:bCs/>
        </w:rPr>
        <w:t>4</w:t>
      </w:r>
      <w:r w:rsidR="00B17739" w:rsidRPr="00A6717F">
        <w:rPr>
          <w:rFonts w:ascii="Arial" w:hAnsi="Arial" w:cs="Arial"/>
          <w:b/>
          <w:bCs/>
        </w:rPr>
        <w:t xml:space="preserve">. </w:t>
      </w:r>
      <w:r w:rsidR="00F1250A" w:rsidRPr="00A6717F">
        <w:rPr>
          <w:rFonts w:ascii="Arial" w:hAnsi="Arial" w:cs="Arial"/>
          <w:b/>
          <w:bCs/>
        </w:rPr>
        <w:t xml:space="preserve">Testing of </w:t>
      </w:r>
      <w:r w:rsidR="00B17739" w:rsidRPr="00A6717F">
        <w:rPr>
          <w:rFonts w:ascii="Arial" w:hAnsi="Arial" w:cs="Arial"/>
          <w:b/>
          <w:bCs/>
        </w:rPr>
        <w:t xml:space="preserve">PCR </w:t>
      </w:r>
      <w:r w:rsidR="00F1250A" w:rsidRPr="00A6717F">
        <w:rPr>
          <w:rFonts w:ascii="Arial" w:hAnsi="Arial" w:cs="Arial"/>
          <w:b/>
          <w:bCs/>
        </w:rPr>
        <w:t xml:space="preserve">primers of </w:t>
      </w:r>
      <w:proofErr w:type="spellStart"/>
      <w:r w:rsidR="00F1250A" w:rsidRPr="00A6717F">
        <w:rPr>
          <w:rFonts w:ascii="Arial" w:hAnsi="Arial" w:cs="Arial"/>
          <w:b/>
          <w:bCs/>
          <w:i/>
          <w:iCs/>
        </w:rPr>
        <w:t>kmo</w:t>
      </w:r>
      <w:proofErr w:type="spellEnd"/>
      <w:r w:rsidR="00F1250A" w:rsidRPr="00A6717F">
        <w:rPr>
          <w:rFonts w:ascii="Arial" w:hAnsi="Arial" w:cs="Arial"/>
          <w:b/>
          <w:bCs/>
          <w:i/>
          <w:iCs/>
        </w:rPr>
        <w:t xml:space="preserve"> </w:t>
      </w:r>
      <w:r w:rsidR="000B6B5E" w:rsidRPr="00A6717F">
        <w:rPr>
          <w:rFonts w:ascii="Arial" w:hAnsi="Arial" w:cs="Arial"/>
          <w:b/>
          <w:bCs/>
          <w:i/>
          <w:iCs/>
        </w:rPr>
        <w:t xml:space="preserve">knock-in. </w:t>
      </w:r>
      <w:r w:rsidR="000B6B5E" w:rsidRPr="00A6717F">
        <w:rPr>
          <w:rFonts w:ascii="Arial" w:hAnsi="Arial" w:cs="Arial"/>
        </w:rPr>
        <w:t>S</w:t>
      </w:r>
      <w:r w:rsidR="00F1250A" w:rsidRPr="00A6717F">
        <w:rPr>
          <w:rFonts w:ascii="Arial" w:hAnsi="Arial" w:cs="Arial"/>
        </w:rPr>
        <w:t xml:space="preserve">et A, B &amp; C – three different pairs of primers for amplification of Left Homology arm. Set – D &amp; E – PCR primer pairs for amplifying RHA arm. PCR primer Set – B &amp; D gave the amplicons of expected size and the cropped image shown in the figure 2. </w:t>
      </w:r>
    </w:p>
    <w:p w14:paraId="10798A5F" w14:textId="1D631C3B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  <w:r w:rsidRPr="00A6717F">
        <w:rPr>
          <w:rFonts w:ascii="Arial" w:hAnsi="Arial" w:cs="Arial"/>
          <w:b/>
          <w:bCs/>
        </w:rPr>
        <w:t>Competing interests</w:t>
      </w:r>
    </w:p>
    <w:p w14:paraId="21BE21A6" w14:textId="77777777" w:rsidR="00BC628E" w:rsidRPr="00A6717F" w:rsidRDefault="00BC628E" w:rsidP="00BC628E">
      <w:pPr>
        <w:spacing w:after="0"/>
        <w:jc w:val="both"/>
        <w:rPr>
          <w:rFonts w:ascii="Arial" w:hAnsi="Arial" w:cs="Arial"/>
          <w:b/>
          <w:bCs/>
        </w:rPr>
      </w:pPr>
    </w:p>
    <w:p w14:paraId="161DAD8E" w14:textId="77777777" w:rsidR="00BC628E" w:rsidRDefault="00BC628E" w:rsidP="00BC628E">
      <w:pPr>
        <w:pStyle w:val="EndNoteBibliography"/>
        <w:rPr>
          <w:rFonts w:ascii="Arial" w:hAnsi="Arial" w:cs="Arial"/>
        </w:rPr>
      </w:pPr>
      <w:r w:rsidRPr="00A6717F">
        <w:rPr>
          <w:rFonts w:ascii="Arial" w:hAnsi="Arial" w:cs="Arial"/>
        </w:rPr>
        <w:t>The authors declare no competing interests.</w:t>
      </w:r>
    </w:p>
    <w:p w14:paraId="0B97E8AC" w14:textId="77777777" w:rsidR="00BC628E" w:rsidRDefault="00BC628E" w:rsidP="00BC628E">
      <w:pPr>
        <w:jc w:val="both"/>
        <w:rPr>
          <w:rFonts w:ascii="Arial" w:hAnsi="Arial" w:cs="Arial"/>
        </w:rPr>
      </w:pPr>
    </w:p>
    <w:p w14:paraId="5DC5B7EB" w14:textId="77777777" w:rsidR="00BC628E" w:rsidRPr="00E928FD" w:rsidRDefault="00BC628E" w:rsidP="00BC628E">
      <w:pPr>
        <w:jc w:val="both"/>
        <w:rPr>
          <w:rFonts w:ascii="Arial" w:hAnsi="Arial" w:cs="Arial"/>
          <w:b/>
          <w:bCs/>
        </w:rPr>
      </w:pPr>
    </w:p>
    <w:p w14:paraId="052D9D5F" w14:textId="77777777" w:rsidR="00BC628E" w:rsidRPr="00E928FD" w:rsidRDefault="00BC628E" w:rsidP="00BC628E">
      <w:pPr>
        <w:pStyle w:val="Heading1"/>
        <w:jc w:val="both"/>
        <w:rPr>
          <w:b w:val="0"/>
          <w:bCs w:val="0"/>
        </w:rPr>
      </w:pPr>
    </w:p>
    <w:p w14:paraId="0A040221" w14:textId="77777777" w:rsidR="00AE6E7B" w:rsidRDefault="00AE6E7B"/>
    <w:sectPr w:rsidR="00AE6E7B" w:rsidSect="00A671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28E"/>
    <w:rsid w:val="000B6B5E"/>
    <w:rsid w:val="002C01F0"/>
    <w:rsid w:val="003E15C2"/>
    <w:rsid w:val="00A6717F"/>
    <w:rsid w:val="00AE6E7B"/>
    <w:rsid w:val="00B17739"/>
    <w:rsid w:val="00BC628E"/>
    <w:rsid w:val="00D4065C"/>
    <w:rsid w:val="00EB6F4A"/>
    <w:rsid w:val="00F1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59BE1"/>
  <w15:chartTrackingRefBased/>
  <w15:docId w15:val="{7AAB2C89-091C-42A0-8814-A231CD19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28E"/>
  </w:style>
  <w:style w:type="paragraph" w:styleId="Heading1">
    <w:name w:val="heading 1"/>
    <w:basedOn w:val="Normal"/>
    <w:next w:val="Normal"/>
    <w:link w:val="Heading1Char"/>
    <w:uiPriority w:val="9"/>
    <w:qFormat/>
    <w:rsid w:val="00BC628E"/>
    <w:pPr>
      <w:keepNext/>
      <w:outlineLvl w:val="0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28E"/>
    <w:rPr>
      <w:rFonts w:ascii="Arial" w:hAnsi="Arial" w:cs="Arial"/>
      <w:b/>
      <w:bCs/>
    </w:rPr>
  </w:style>
  <w:style w:type="paragraph" w:customStyle="1" w:styleId="EndNoteBibliography">
    <w:name w:val="EndNote Bibliography"/>
    <w:basedOn w:val="Normal"/>
    <w:link w:val="EndNoteBibliographyChar"/>
    <w:rsid w:val="00BC628E"/>
    <w:pPr>
      <w:spacing w:line="240" w:lineRule="auto"/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C628E"/>
    <w:rPr>
      <w:rFonts w:ascii="Calibri" w:hAnsi="Calibri" w:cs="Calibri"/>
      <w:noProof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BC62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Harvey-Samuel</dc:creator>
  <cp:keywords/>
  <dc:description/>
  <cp:lastModifiedBy>Bhuvaneswari R.</cp:lastModifiedBy>
  <cp:revision>8</cp:revision>
  <dcterms:created xsi:type="dcterms:W3CDTF">2021-05-19T14:24:00Z</dcterms:created>
  <dcterms:modified xsi:type="dcterms:W3CDTF">2021-07-09T10:51:00Z</dcterms:modified>
</cp:coreProperties>
</file>