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57FB" w:rsidRDefault="009757FB" w:rsidP="009757FB">
      <w:pPr>
        <w:spacing w:line="276" w:lineRule="auto"/>
        <w:jc w:val="center"/>
        <w:rPr>
          <w:rFonts w:ascii="Georgia" w:hAnsi="Georgia" w:cs="Arial"/>
          <w:b/>
          <w:bCs/>
          <w:sz w:val="24"/>
          <w:szCs w:val="24"/>
          <w:lang w:val="en-US"/>
        </w:rPr>
      </w:pPr>
      <w:r>
        <w:rPr>
          <w:rFonts w:ascii="Georgia" w:hAnsi="Georgia" w:cs="Arial"/>
          <w:b/>
          <w:bCs/>
          <w:sz w:val="24"/>
          <w:szCs w:val="24"/>
          <w:lang w:val="en-US"/>
        </w:rPr>
        <w:t>Local intestinal microbiota response</w:t>
      </w:r>
      <w:r w:rsidRPr="00D52917">
        <w:rPr>
          <w:rFonts w:ascii="Georgia" w:hAnsi="Georgia" w:cs="Arial"/>
          <w:b/>
          <w:bCs/>
          <w:sz w:val="24"/>
          <w:szCs w:val="24"/>
          <w:lang w:val="en-US"/>
        </w:rPr>
        <w:t xml:space="preserve"> and systemic effects of feeding black soldier fly larvae to replace soybean meal in growing pigs</w:t>
      </w:r>
    </w:p>
    <w:p w:rsidR="00B32719" w:rsidRPr="006B72F4" w:rsidRDefault="00B32719" w:rsidP="00B32719">
      <w:pPr>
        <w:tabs>
          <w:tab w:val="left" w:pos="2380"/>
        </w:tabs>
        <w:spacing w:line="276" w:lineRule="auto"/>
        <w:rPr>
          <w:rFonts w:ascii="Georgia" w:hAnsi="Georgia" w:cs="Arial"/>
          <w:sz w:val="24"/>
          <w:szCs w:val="24"/>
          <w:lang w:val="en-US"/>
        </w:rPr>
      </w:pPr>
      <w:r w:rsidRPr="006B72F4">
        <w:rPr>
          <w:rFonts w:ascii="Georgia" w:hAnsi="Georgia" w:cs="Arial"/>
          <w:sz w:val="24"/>
          <w:szCs w:val="24"/>
          <w:lang w:val="en-US"/>
        </w:rPr>
        <w:t>Soumya K. Kar</w:t>
      </w:r>
      <w:r w:rsidRPr="006B72F4">
        <w:rPr>
          <w:rFonts w:ascii="Georgia" w:hAnsi="Georgia" w:cs="Arial"/>
          <w:sz w:val="24"/>
          <w:szCs w:val="24"/>
          <w:vertAlign w:val="superscript"/>
          <w:lang w:val="en-US"/>
        </w:rPr>
        <w:t>1</w:t>
      </w:r>
      <w:r>
        <w:rPr>
          <w:rFonts w:ascii="Georgia" w:hAnsi="Georgia" w:cs="Arial"/>
          <w:sz w:val="24"/>
          <w:szCs w:val="24"/>
          <w:vertAlign w:val="superscript"/>
          <w:lang w:val="en-US"/>
        </w:rPr>
        <w:t>*</w:t>
      </w:r>
      <w:r w:rsidRPr="006B72F4">
        <w:rPr>
          <w:rFonts w:ascii="Georgia" w:hAnsi="Georgia" w:cs="Arial"/>
          <w:sz w:val="24"/>
          <w:szCs w:val="24"/>
          <w:lang w:val="en-US"/>
        </w:rPr>
        <w:t>, Dirkjan Schokker</w:t>
      </w:r>
      <w:r>
        <w:rPr>
          <w:rFonts w:ascii="Georgia" w:hAnsi="Georgia" w:cs="Arial"/>
          <w:sz w:val="24"/>
          <w:szCs w:val="24"/>
          <w:vertAlign w:val="superscript"/>
          <w:lang w:val="en-US"/>
        </w:rPr>
        <w:t>2</w:t>
      </w:r>
      <w:r w:rsidRPr="006B72F4">
        <w:rPr>
          <w:rFonts w:ascii="Georgia" w:hAnsi="Georgia" w:cs="Arial"/>
          <w:sz w:val="24"/>
          <w:szCs w:val="24"/>
          <w:lang w:val="en-US"/>
        </w:rPr>
        <w:t>, Amy C. Harms</w:t>
      </w:r>
      <w:r>
        <w:rPr>
          <w:rFonts w:ascii="Georgia" w:hAnsi="Georgia" w:cs="Arial"/>
          <w:sz w:val="24"/>
          <w:szCs w:val="24"/>
          <w:vertAlign w:val="superscript"/>
          <w:lang w:val="en-US"/>
        </w:rPr>
        <w:t>3,4</w:t>
      </w:r>
      <w:r w:rsidRPr="006B72F4">
        <w:rPr>
          <w:rFonts w:ascii="Georgia" w:hAnsi="Georgia" w:cs="Arial"/>
          <w:sz w:val="24"/>
          <w:szCs w:val="24"/>
          <w:lang w:val="en-US"/>
        </w:rPr>
        <w:t>, Leo Kruijt</w:t>
      </w:r>
      <w:r>
        <w:rPr>
          <w:rFonts w:ascii="Georgia" w:hAnsi="Georgia" w:cs="Arial"/>
          <w:sz w:val="24"/>
          <w:szCs w:val="24"/>
          <w:vertAlign w:val="superscript"/>
          <w:lang w:val="en-US"/>
        </w:rPr>
        <w:t>2</w:t>
      </w:r>
      <w:r w:rsidRPr="006B72F4">
        <w:rPr>
          <w:rFonts w:ascii="Georgia" w:hAnsi="Georgia" w:cs="Arial"/>
          <w:sz w:val="24"/>
          <w:szCs w:val="24"/>
          <w:lang w:val="en-US"/>
        </w:rPr>
        <w:t>, Mari A. Smits</w:t>
      </w:r>
      <w:r>
        <w:rPr>
          <w:rFonts w:ascii="Georgia" w:hAnsi="Georgia" w:cs="Arial"/>
          <w:sz w:val="24"/>
          <w:szCs w:val="24"/>
          <w:vertAlign w:val="superscript"/>
          <w:lang w:val="en-US"/>
        </w:rPr>
        <w:t>2</w:t>
      </w:r>
      <w:r w:rsidRPr="006B72F4">
        <w:rPr>
          <w:rFonts w:ascii="Georgia" w:hAnsi="Georgia" w:cs="Arial"/>
          <w:sz w:val="24"/>
          <w:szCs w:val="24"/>
          <w:vertAlign w:val="subscript"/>
          <w:lang w:val="en-US"/>
        </w:rPr>
        <w:t xml:space="preserve">, </w:t>
      </w:r>
      <w:r w:rsidRPr="006B72F4">
        <w:rPr>
          <w:rFonts w:ascii="Georgia" w:hAnsi="Georgia" w:cs="Arial"/>
          <w:sz w:val="24"/>
          <w:szCs w:val="24"/>
          <w:lang w:val="en-US"/>
        </w:rPr>
        <w:t>Alfons J. M. Jansman</w:t>
      </w:r>
      <w:r w:rsidRPr="006B72F4">
        <w:rPr>
          <w:rFonts w:ascii="Georgia" w:hAnsi="Georgia" w:cs="Arial"/>
          <w:sz w:val="24"/>
          <w:szCs w:val="24"/>
          <w:vertAlign w:val="superscript"/>
          <w:lang w:val="en-US"/>
        </w:rPr>
        <w:t>1</w:t>
      </w:r>
    </w:p>
    <w:p w:rsidR="00B32719" w:rsidRPr="006B72F4" w:rsidRDefault="00B32719" w:rsidP="00B32719">
      <w:pPr>
        <w:spacing w:line="276" w:lineRule="auto"/>
        <w:jc w:val="both"/>
        <w:rPr>
          <w:rFonts w:ascii="Georgia" w:hAnsi="Georgia" w:cs="Arial"/>
          <w:sz w:val="24"/>
          <w:szCs w:val="24"/>
          <w:lang w:val="en-US"/>
        </w:rPr>
      </w:pPr>
    </w:p>
    <w:p w:rsidR="00B32719" w:rsidRPr="006B72F4" w:rsidRDefault="00B32719" w:rsidP="00B32719">
      <w:pPr>
        <w:tabs>
          <w:tab w:val="left" w:pos="2380"/>
        </w:tabs>
        <w:spacing w:line="276" w:lineRule="auto"/>
        <w:rPr>
          <w:rFonts w:ascii="Georgia" w:hAnsi="Georgia" w:cs="Arial"/>
          <w:sz w:val="24"/>
          <w:szCs w:val="24"/>
          <w:lang w:val="en-US"/>
        </w:rPr>
      </w:pPr>
    </w:p>
    <w:p w:rsidR="00B32719" w:rsidRPr="006B72F4" w:rsidRDefault="00B32719" w:rsidP="00B32719">
      <w:pPr>
        <w:spacing w:line="276" w:lineRule="auto"/>
        <w:rPr>
          <w:rFonts w:ascii="Georgia" w:hAnsi="Georgia" w:cs="Arial"/>
          <w:sz w:val="24"/>
          <w:szCs w:val="24"/>
          <w:lang w:val="en-US"/>
        </w:rPr>
      </w:pPr>
      <w:r w:rsidRPr="006B72F4">
        <w:rPr>
          <w:rFonts w:ascii="Georgia" w:hAnsi="Georgia" w:cs="Arial"/>
          <w:sz w:val="24"/>
          <w:szCs w:val="24"/>
          <w:vertAlign w:val="superscript"/>
          <w:lang w:val="en-US"/>
        </w:rPr>
        <w:t xml:space="preserve">1 </w:t>
      </w:r>
      <w:r w:rsidRPr="006B72F4">
        <w:rPr>
          <w:rFonts w:ascii="Georgia" w:hAnsi="Georgia" w:cs="Arial"/>
          <w:sz w:val="24"/>
          <w:szCs w:val="24"/>
          <w:lang w:val="en-US"/>
        </w:rPr>
        <w:t>Wageningen Livestock Research, Animal Nutrition, Wageningen University &amp; Research, Wageningen, The Netherlands</w:t>
      </w:r>
    </w:p>
    <w:p w:rsidR="00B32719" w:rsidRDefault="00B32719" w:rsidP="00B32719">
      <w:pPr>
        <w:tabs>
          <w:tab w:val="left" w:pos="2380"/>
        </w:tabs>
        <w:spacing w:line="276" w:lineRule="auto"/>
        <w:rPr>
          <w:rFonts w:ascii="Georgia" w:hAnsi="Georgia" w:cs="Arial"/>
          <w:sz w:val="24"/>
          <w:szCs w:val="24"/>
          <w:lang w:val="en-US"/>
        </w:rPr>
      </w:pPr>
      <w:r w:rsidRPr="006B72F4">
        <w:rPr>
          <w:rFonts w:ascii="Georgia" w:hAnsi="Georgia" w:cs="Arial"/>
          <w:sz w:val="24"/>
          <w:szCs w:val="24"/>
          <w:vertAlign w:val="superscript"/>
          <w:lang w:val="en-US"/>
        </w:rPr>
        <w:t xml:space="preserve">2 </w:t>
      </w:r>
      <w:r w:rsidRPr="006B72F4">
        <w:rPr>
          <w:rFonts w:ascii="Georgia" w:hAnsi="Georgia" w:cs="Arial"/>
          <w:sz w:val="24"/>
          <w:szCs w:val="24"/>
          <w:lang w:val="en-US"/>
        </w:rPr>
        <w:t xml:space="preserve">Wageningen Livestock Research, Animal </w:t>
      </w:r>
      <w:r>
        <w:rPr>
          <w:rFonts w:ascii="Georgia" w:hAnsi="Georgia" w:cs="Arial"/>
          <w:sz w:val="24"/>
          <w:szCs w:val="24"/>
          <w:lang w:val="en-US"/>
        </w:rPr>
        <w:t>Breeding and Genomics</w:t>
      </w:r>
      <w:r w:rsidRPr="006B72F4">
        <w:rPr>
          <w:rFonts w:ascii="Georgia" w:hAnsi="Georgia" w:cs="Arial"/>
          <w:sz w:val="24"/>
          <w:szCs w:val="24"/>
          <w:lang w:val="en-US"/>
        </w:rPr>
        <w:t xml:space="preserve">, Wageningen University &amp; Research, Wageningen, The Netherlands </w:t>
      </w:r>
    </w:p>
    <w:p w:rsidR="00B32719" w:rsidRPr="006B72F4" w:rsidRDefault="00B32719" w:rsidP="00B32719">
      <w:pPr>
        <w:tabs>
          <w:tab w:val="left" w:pos="2380"/>
        </w:tabs>
        <w:spacing w:line="276" w:lineRule="auto"/>
        <w:rPr>
          <w:rFonts w:ascii="Georgia" w:hAnsi="Georgia" w:cs="Arial"/>
          <w:sz w:val="24"/>
          <w:szCs w:val="24"/>
          <w:lang w:val="en-US"/>
        </w:rPr>
      </w:pPr>
      <w:r w:rsidRPr="00C21648">
        <w:rPr>
          <w:rFonts w:ascii="Georgia" w:hAnsi="Georgia" w:cs="Arial"/>
          <w:sz w:val="24"/>
          <w:szCs w:val="24"/>
          <w:vertAlign w:val="superscript"/>
          <w:lang w:val="en-US"/>
        </w:rPr>
        <w:t>3</w:t>
      </w:r>
      <w:r w:rsidRPr="006B72F4">
        <w:rPr>
          <w:rFonts w:ascii="Georgia" w:hAnsi="Georgia" w:cs="Arial"/>
          <w:sz w:val="24"/>
          <w:szCs w:val="24"/>
          <w:lang w:val="en-US"/>
        </w:rPr>
        <w:t>Netherlands Metabolomics Centre, Leiden University, Leiden, the Netherlands</w:t>
      </w:r>
    </w:p>
    <w:p w:rsidR="00B32719" w:rsidRDefault="00B32719" w:rsidP="00B32719">
      <w:pPr>
        <w:tabs>
          <w:tab w:val="left" w:pos="2380"/>
        </w:tabs>
        <w:spacing w:line="276" w:lineRule="auto"/>
        <w:rPr>
          <w:rFonts w:ascii="Georgia" w:hAnsi="Georgia" w:cs="Arial"/>
          <w:sz w:val="24"/>
          <w:szCs w:val="24"/>
          <w:lang w:val="en-US"/>
        </w:rPr>
      </w:pPr>
      <w:r>
        <w:rPr>
          <w:rFonts w:ascii="Georgia" w:hAnsi="Georgia" w:cs="Arial"/>
          <w:sz w:val="24"/>
          <w:szCs w:val="24"/>
          <w:vertAlign w:val="superscript"/>
          <w:lang w:val="en-US"/>
        </w:rPr>
        <w:t>4</w:t>
      </w:r>
      <w:r w:rsidRPr="006B72F4">
        <w:rPr>
          <w:rFonts w:ascii="Georgia" w:hAnsi="Georgia" w:cs="Arial"/>
          <w:sz w:val="24"/>
          <w:szCs w:val="24"/>
          <w:lang w:val="en-US"/>
        </w:rPr>
        <w:t>Department of Analytical Biosciences, Leiden University, Leiden, the Netherlands</w:t>
      </w:r>
    </w:p>
    <w:p w:rsidR="00B32719" w:rsidRDefault="00B32719" w:rsidP="00B32719">
      <w:pPr>
        <w:tabs>
          <w:tab w:val="left" w:pos="2380"/>
        </w:tabs>
        <w:spacing w:line="276" w:lineRule="auto"/>
        <w:rPr>
          <w:rFonts w:ascii="Georgia" w:hAnsi="Georgia" w:cs="Arial"/>
          <w:sz w:val="24"/>
          <w:szCs w:val="24"/>
          <w:lang w:val="en-US"/>
        </w:rPr>
      </w:pPr>
    </w:p>
    <w:p w:rsidR="00B92AC9" w:rsidRDefault="00B32719" w:rsidP="00B32719">
      <w:pPr>
        <w:rPr>
          <w:rFonts w:ascii="Georgia" w:hAnsi="Georgia" w:cs="Arial"/>
          <w:sz w:val="24"/>
          <w:szCs w:val="24"/>
          <w:lang w:val="en-US"/>
        </w:rPr>
      </w:pPr>
      <w:r>
        <w:rPr>
          <w:rFonts w:ascii="Georgia" w:hAnsi="Georgia" w:cs="Arial"/>
          <w:sz w:val="24"/>
          <w:szCs w:val="24"/>
          <w:lang w:val="en-US"/>
        </w:rPr>
        <w:t xml:space="preserve">* </w:t>
      </w:r>
      <w:r w:rsidRPr="00CB70D4">
        <w:rPr>
          <w:rFonts w:ascii="Georgia" w:hAnsi="Georgia" w:cs="Arial"/>
          <w:sz w:val="24"/>
          <w:szCs w:val="24"/>
          <w:lang w:val="en-US"/>
        </w:rPr>
        <w:t>Correspondence</w:t>
      </w:r>
      <w:r>
        <w:rPr>
          <w:rFonts w:ascii="Georgia" w:hAnsi="Georgia" w:cs="Arial"/>
          <w:sz w:val="24"/>
          <w:szCs w:val="24"/>
          <w:lang w:val="en-US"/>
        </w:rPr>
        <w:t xml:space="preserve">: Dr. Soumya </w:t>
      </w:r>
      <w:proofErr w:type="spellStart"/>
      <w:r>
        <w:rPr>
          <w:rFonts w:ascii="Georgia" w:hAnsi="Georgia" w:cs="Arial"/>
          <w:sz w:val="24"/>
          <w:szCs w:val="24"/>
          <w:lang w:val="en-US"/>
        </w:rPr>
        <w:t>Kanti</w:t>
      </w:r>
      <w:proofErr w:type="spellEnd"/>
      <w:r>
        <w:rPr>
          <w:rFonts w:ascii="Georgia" w:hAnsi="Georgia" w:cs="Arial"/>
          <w:sz w:val="24"/>
          <w:szCs w:val="24"/>
          <w:lang w:val="en-US"/>
        </w:rPr>
        <w:t xml:space="preserve"> Kar, </w:t>
      </w:r>
      <w:hyperlink r:id="rId4" w:history="1">
        <w:r w:rsidRPr="00CB42D3">
          <w:rPr>
            <w:rStyle w:val="Hyperlink"/>
            <w:rFonts w:ascii="Georgia" w:hAnsi="Georgia" w:cs="Arial"/>
            <w:sz w:val="24"/>
            <w:szCs w:val="24"/>
            <w:lang w:val="en-US"/>
          </w:rPr>
          <w:t>soumya.kar@wur.nl</w:t>
        </w:r>
      </w:hyperlink>
      <w:r>
        <w:rPr>
          <w:rFonts w:ascii="Georgia" w:hAnsi="Georgia" w:cs="Arial"/>
          <w:sz w:val="24"/>
          <w:szCs w:val="24"/>
          <w:lang w:val="en-US"/>
        </w:rPr>
        <w:t xml:space="preserve"> </w:t>
      </w:r>
      <w:r w:rsidR="00B92AC9">
        <w:rPr>
          <w:rFonts w:ascii="Georgia" w:hAnsi="Georgia" w:cs="Arial"/>
          <w:sz w:val="24"/>
          <w:szCs w:val="24"/>
          <w:lang w:val="en-US"/>
        </w:rPr>
        <w:br w:type="page"/>
      </w:r>
    </w:p>
    <w:p w:rsidR="00AF3B49" w:rsidRPr="0023672E" w:rsidRDefault="00AF3B49" w:rsidP="00AF3B49">
      <w:pPr>
        <w:rPr>
          <w:rFonts w:ascii="Georgia" w:hAnsi="Georgia"/>
          <w:sz w:val="24"/>
          <w:szCs w:val="24"/>
        </w:rPr>
      </w:pPr>
      <w:r w:rsidRPr="0023672E">
        <w:rPr>
          <w:rFonts w:ascii="Georgia" w:hAnsi="Georgia"/>
          <w:b/>
          <w:bCs/>
          <w:sz w:val="24"/>
          <w:szCs w:val="24"/>
        </w:rPr>
        <w:lastRenderedPageBreak/>
        <w:t>Supplementary file S</w:t>
      </w:r>
      <w:r>
        <w:rPr>
          <w:rFonts w:ascii="Georgia" w:hAnsi="Georgia"/>
          <w:b/>
          <w:bCs/>
          <w:sz w:val="24"/>
          <w:szCs w:val="24"/>
        </w:rPr>
        <w:t>1</w:t>
      </w:r>
      <w:r w:rsidRPr="0023672E">
        <w:rPr>
          <w:rFonts w:ascii="Georgia" w:hAnsi="Georgia"/>
          <w:sz w:val="24"/>
          <w:szCs w:val="24"/>
        </w:rPr>
        <w:t>: Relative abundance and list of identified bacterial genera by differential abundance analysis of microbiome data.</w:t>
      </w:r>
    </w:p>
    <w:p w:rsidR="00072EAE" w:rsidRPr="0023672E" w:rsidRDefault="00072EAE" w:rsidP="00072EAE">
      <w:pPr>
        <w:rPr>
          <w:rFonts w:ascii="Georgia" w:hAnsi="Georgia"/>
          <w:sz w:val="24"/>
          <w:szCs w:val="24"/>
        </w:rPr>
      </w:pPr>
      <w:r w:rsidRPr="0023672E">
        <w:rPr>
          <w:rFonts w:ascii="Georgia" w:hAnsi="Georgia"/>
          <w:b/>
          <w:bCs/>
          <w:sz w:val="24"/>
          <w:szCs w:val="24"/>
        </w:rPr>
        <w:t>Supplementary file S</w:t>
      </w:r>
      <w:r>
        <w:rPr>
          <w:rFonts w:ascii="Georgia" w:hAnsi="Georgia"/>
          <w:b/>
          <w:bCs/>
          <w:sz w:val="24"/>
          <w:szCs w:val="24"/>
        </w:rPr>
        <w:t>2</w:t>
      </w:r>
      <w:r w:rsidRPr="0023672E">
        <w:rPr>
          <w:rFonts w:ascii="Georgia" w:hAnsi="Georgia"/>
          <w:sz w:val="24"/>
          <w:szCs w:val="24"/>
        </w:rPr>
        <w:t>: The list core enriched gene in the biological processes and pathways of the enriched gene sets as shown in supplementary table S</w:t>
      </w:r>
      <w:r w:rsidR="003D7582">
        <w:rPr>
          <w:rFonts w:ascii="Georgia" w:hAnsi="Georgia"/>
          <w:sz w:val="24"/>
          <w:szCs w:val="24"/>
        </w:rPr>
        <w:t>2</w:t>
      </w:r>
      <w:bookmarkStart w:id="0" w:name="_GoBack"/>
      <w:bookmarkEnd w:id="0"/>
      <w:r w:rsidRPr="0023672E">
        <w:rPr>
          <w:rFonts w:ascii="Georgia" w:hAnsi="Georgia"/>
          <w:sz w:val="24"/>
          <w:szCs w:val="24"/>
        </w:rPr>
        <w:t>.</w:t>
      </w:r>
    </w:p>
    <w:p w:rsidR="00B92AC9" w:rsidRPr="0023672E" w:rsidRDefault="00B92AC9" w:rsidP="00B92AC9">
      <w:pPr>
        <w:rPr>
          <w:rFonts w:ascii="Georgia" w:hAnsi="Georgia"/>
          <w:sz w:val="24"/>
          <w:szCs w:val="24"/>
        </w:rPr>
      </w:pPr>
      <w:r w:rsidRPr="0023672E">
        <w:rPr>
          <w:rFonts w:ascii="Georgia" w:hAnsi="Georgia"/>
          <w:b/>
          <w:bCs/>
          <w:sz w:val="24"/>
          <w:szCs w:val="24"/>
        </w:rPr>
        <w:t>Supplementary file S</w:t>
      </w:r>
      <w:r w:rsidR="00072EAE">
        <w:rPr>
          <w:rFonts w:ascii="Georgia" w:hAnsi="Georgia"/>
          <w:b/>
          <w:bCs/>
          <w:sz w:val="24"/>
          <w:szCs w:val="24"/>
        </w:rPr>
        <w:t>3</w:t>
      </w:r>
      <w:r w:rsidRPr="0023672E">
        <w:rPr>
          <w:rFonts w:ascii="Georgia" w:hAnsi="Georgia"/>
          <w:sz w:val="24"/>
          <w:szCs w:val="24"/>
        </w:rPr>
        <w:t xml:space="preserve">: Internal standards, detected amine metabolites and used reference metabolome data base for metabolic pathway analysis.  </w:t>
      </w:r>
    </w:p>
    <w:p w:rsidR="00072EAE" w:rsidRPr="0023672E" w:rsidRDefault="00072EAE">
      <w:pPr>
        <w:rPr>
          <w:rFonts w:ascii="Georgia" w:hAnsi="Georgia"/>
          <w:sz w:val="24"/>
          <w:szCs w:val="24"/>
        </w:rPr>
      </w:pPr>
    </w:p>
    <w:sectPr w:rsidR="00072EAE" w:rsidRPr="002367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403"/>
    <w:rsid w:val="00072EAE"/>
    <w:rsid w:val="000E0CE5"/>
    <w:rsid w:val="00176462"/>
    <w:rsid w:val="0023672E"/>
    <w:rsid w:val="003D7582"/>
    <w:rsid w:val="007E6403"/>
    <w:rsid w:val="009757FB"/>
    <w:rsid w:val="00A4777A"/>
    <w:rsid w:val="00AF3B49"/>
    <w:rsid w:val="00B142F7"/>
    <w:rsid w:val="00B32719"/>
    <w:rsid w:val="00B9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500B8"/>
  <w15:chartTrackingRefBased/>
  <w15:docId w15:val="{70B9E428-59C2-482A-A054-88D3E0FC9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en-GB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6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6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4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327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oumya.kar@wur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Kar, Soumya</dc:creator>
  <cp:keywords/>
  <dc:description/>
  <cp:lastModifiedBy>Kar, Soumya</cp:lastModifiedBy>
  <cp:revision>2</cp:revision>
  <dcterms:created xsi:type="dcterms:W3CDTF">2021-06-24T08:28:00Z</dcterms:created>
  <dcterms:modified xsi:type="dcterms:W3CDTF">2021-06-24T08:28:00Z</dcterms:modified>
</cp:coreProperties>
</file>