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8F" w:rsidRPr="00A156C6" w:rsidRDefault="004B798F" w:rsidP="004B798F">
      <w:pPr>
        <w:spacing w:line="48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156C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Supplementary Data: </w:t>
      </w:r>
    </w:p>
    <w:p w:rsidR="004B798F" w:rsidRPr="00A156C6" w:rsidRDefault="004B798F" w:rsidP="004B798F">
      <w:pPr>
        <w:spacing w:line="48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6C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Co-culture model of B-cell acute lymphoblastic leukemia recapitulates a transcription signature of chemotherapy-refractory minimal residual disease</w:t>
      </w:r>
    </w:p>
    <w:p w:rsidR="004B798F" w:rsidRPr="00A156C6" w:rsidRDefault="004B798F" w:rsidP="004B798F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6C6">
        <w:rPr>
          <w:rFonts w:ascii="Times New Roman" w:eastAsia="Calibri" w:hAnsi="Times New Roman" w:cs="Times New Roman"/>
          <w:sz w:val="24"/>
          <w:szCs w:val="24"/>
        </w:rPr>
        <w:t xml:space="preserve">Stephanie L. </w:t>
      </w:r>
      <w:proofErr w:type="spellStart"/>
      <w:r w:rsidRPr="00A156C6">
        <w:rPr>
          <w:rFonts w:ascii="Times New Roman" w:eastAsia="Calibri" w:hAnsi="Times New Roman" w:cs="Times New Roman"/>
          <w:sz w:val="24"/>
          <w:szCs w:val="24"/>
        </w:rPr>
        <w:t>Rellick</w:t>
      </w:r>
      <w:proofErr w:type="spellEnd"/>
      <w:r w:rsidRPr="00A156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56C6">
        <w:rPr>
          <w:rFonts w:ascii="Times New Roman" w:eastAsia="Calibri" w:hAnsi="Times New Roman" w:cs="Times New Roman"/>
          <w:sz w:val="24"/>
          <w:szCs w:val="24"/>
        </w:rPr>
        <w:t>Gangqing</w:t>
      </w:r>
      <w:proofErr w:type="spellEnd"/>
      <w:r w:rsidRPr="00A156C6">
        <w:rPr>
          <w:rFonts w:ascii="Times New Roman" w:eastAsia="Calibri" w:hAnsi="Times New Roman" w:cs="Times New Roman"/>
          <w:sz w:val="24"/>
          <w:szCs w:val="24"/>
        </w:rPr>
        <w:t xml:space="preserve"> Hu, Debbie </w:t>
      </w:r>
      <w:proofErr w:type="spellStart"/>
      <w:r w:rsidRPr="00A156C6">
        <w:rPr>
          <w:rFonts w:ascii="Times New Roman" w:eastAsia="Calibri" w:hAnsi="Times New Roman" w:cs="Times New Roman"/>
          <w:sz w:val="24"/>
          <w:szCs w:val="24"/>
        </w:rPr>
        <w:t>Piktel</w:t>
      </w:r>
      <w:proofErr w:type="spellEnd"/>
      <w:r w:rsidRPr="00A156C6">
        <w:rPr>
          <w:rFonts w:ascii="Times New Roman" w:eastAsia="Calibri" w:hAnsi="Times New Roman" w:cs="Times New Roman"/>
          <w:sz w:val="24"/>
          <w:szCs w:val="24"/>
        </w:rPr>
        <w:t>, Karen H. Martin, Werner J. Geldenhuys, Rajesh R. Nair,</w:t>
      </w:r>
      <w:r w:rsidRPr="00A156C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A156C6">
        <w:rPr>
          <w:rFonts w:ascii="Times New Roman" w:eastAsia="Calibri" w:hAnsi="Times New Roman" w:cs="Times New Roman"/>
          <w:sz w:val="24"/>
          <w:szCs w:val="24"/>
        </w:rPr>
        <w:t>and Laura F. Gibson</w:t>
      </w:r>
    </w:p>
    <w:p w:rsidR="004B798F" w:rsidRPr="00A156C6" w:rsidRDefault="004B798F" w:rsidP="004B798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6C6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</w:p>
    <w:p w:rsidR="004B798F" w:rsidRPr="00A156C6" w:rsidRDefault="004B798F" w:rsidP="004B798F">
      <w:pPr>
        <w:rPr>
          <w:rFonts w:ascii="Times New Roman" w:eastAsia="Times New Roman" w:hAnsi="Times New Roman" w:cs="Times New Roman"/>
          <w:b/>
        </w:rPr>
      </w:pPr>
      <w:r w:rsidRPr="00A156C6">
        <w:rPr>
          <w:rFonts w:ascii="Times New Roman" w:eastAsia="Times New Roman" w:hAnsi="Times New Roman" w:cs="Times New Roman"/>
          <w:b/>
        </w:rPr>
        <w:br w:type="page"/>
      </w:r>
    </w:p>
    <w:p w:rsidR="004B798F" w:rsidRPr="00A156C6" w:rsidRDefault="004B798F" w:rsidP="004B798F">
      <w:pPr>
        <w:rPr>
          <w:rFonts w:ascii="Times New Roman" w:eastAsia="Times New Roman" w:hAnsi="Times New Roman" w:cs="Times New Roman"/>
          <w:b/>
        </w:rPr>
      </w:pPr>
      <w:r w:rsidRPr="00A156C6">
        <w:rPr>
          <w:rFonts w:ascii="Times New Roman" w:eastAsia="Times New Roman" w:hAnsi="Times New Roman" w:cs="Times New Roman"/>
          <w:b/>
        </w:rPr>
        <w:t>Supplementary Figure Legends</w:t>
      </w:r>
    </w:p>
    <w:p w:rsidR="004B798F" w:rsidRPr="00A156C6" w:rsidRDefault="004B798F" w:rsidP="004B798F">
      <w:p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  <w:b/>
        </w:rPr>
        <w:t xml:space="preserve">Supplementary Figure S1: Co-culture with BMSCs induced expression changes similar to the </w:t>
      </w:r>
      <w:proofErr w:type="spellStart"/>
      <w:r w:rsidRPr="00A156C6">
        <w:rPr>
          <w:rFonts w:ascii="Times New Roman" w:eastAsia="Times New Roman" w:hAnsi="Times New Roman" w:cs="Times New Roman"/>
          <w:b/>
        </w:rPr>
        <w:t>coculture</w:t>
      </w:r>
      <w:proofErr w:type="spellEnd"/>
      <w:r w:rsidRPr="00A156C6">
        <w:rPr>
          <w:rFonts w:ascii="Times New Roman" w:eastAsia="Times New Roman" w:hAnsi="Times New Roman" w:cs="Times New Roman"/>
          <w:b/>
        </w:rPr>
        <w:t xml:space="preserve"> with HOBs.</w:t>
      </w:r>
    </w:p>
    <w:p w:rsidR="004B798F" w:rsidRPr="00A156C6" w:rsidRDefault="004B798F" w:rsidP="004B7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156C6">
        <w:rPr>
          <w:rFonts w:ascii="Times New Roman" w:hAnsi="Times New Roman" w:cs="Times New Roman"/>
        </w:rPr>
        <w:t xml:space="preserve">Bar graphs for the normalized enrichment scores of GSEA analysis of expressed genes, ranked by the FC of expression (ALL co-cultured with BMSCs/LTMC), against the </w:t>
      </w:r>
      <w:proofErr w:type="spellStart"/>
      <w:r w:rsidRPr="00A156C6">
        <w:rPr>
          <w:rFonts w:ascii="Times New Roman" w:hAnsi="Times New Roman" w:cs="Times New Roman"/>
        </w:rPr>
        <w:t>MSigDB</w:t>
      </w:r>
      <w:proofErr w:type="spellEnd"/>
      <w:r w:rsidRPr="00A156C6">
        <w:rPr>
          <w:rFonts w:ascii="Times New Roman" w:hAnsi="Times New Roman" w:cs="Times New Roman"/>
        </w:rPr>
        <w:t xml:space="preserve"> HALLMARK gene sets (FDR q-</w:t>
      </w:r>
      <w:proofErr w:type="spellStart"/>
      <w:r w:rsidRPr="00A156C6">
        <w:rPr>
          <w:rFonts w:ascii="Times New Roman" w:hAnsi="Times New Roman" w:cs="Times New Roman"/>
        </w:rPr>
        <w:t>val</w:t>
      </w:r>
      <w:proofErr w:type="spellEnd"/>
      <w:r w:rsidRPr="00A156C6">
        <w:rPr>
          <w:rFonts w:ascii="Times New Roman" w:hAnsi="Times New Roman" w:cs="Times New Roman"/>
        </w:rPr>
        <w:t xml:space="preserve"> &lt; 0.05 and enrichment &gt; 1.5).</w:t>
      </w:r>
    </w:p>
    <w:p w:rsidR="004B798F" w:rsidRPr="00A156C6" w:rsidRDefault="004B798F" w:rsidP="004B7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156C6">
        <w:rPr>
          <w:rFonts w:ascii="Times New Roman" w:hAnsi="Times New Roman" w:cs="Times New Roman"/>
        </w:rPr>
        <w:t xml:space="preserve">GSEA analysis of expressed genes, ranked by the FC of expression (ALL co-cultured with BMSCs/LTMC), against the </w:t>
      </w:r>
      <w:proofErr w:type="spellStart"/>
      <w:r w:rsidRPr="00A156C6">
        <w:rPr>
          <w:rFonts w:ascii="Times New Roman" w:hAnsi="Times New Roman" w:cs="Times New Roman"/>
        </w:rPr>
        <w:t>MSigDB</w:t>
      </w:r>
      <w:proofErr w:type="spellEnd"/>
      <w:r w:rsidRPr="00A156C6">
        <w:rPr>
          <w:rFonts w:ascii="Times New Roman" w:hAnsi="Times New Roman" w:cs="Times New Roman"/>
        </w:rPr>
        <w:t xml:space="preserve"> gene set “OSWALD HEMATOPOIETIC STEM CELL IN COLLAGEN GEL UP”, which includes genes up-regulated in hematopoietic stem cells cultured with collagen gel compared to in suspension, and gene set “WONG ADULT TISSUE STEM MODULE” (middle panel), which includes genes up-regulated in adult tissue stem cells. </w:t>
      </w:r>
    </w:p>
    <w:p w:rsidR="004B798F" w:rsidRPr="00A156C6" w:rsidRDefault="004B798F" w:rsidP="004B7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156C6">
        <w:rPr>
          <w:rFonts w:ascii="Times New Roman" w:hAnsi="Times New Roman" w:cs="Times New Roman"/>
        </w:rPr>
        <w:t>GSEA analysis of expressed genes, ranked by the FC of expression (ALL co-cultured with BMSCs/LTMC), against genes that are up-regulated or down-regulated  in ALL cells corresponding to MRD as compared to ALL cells collected at time of diagnosis and before disease treatment in patients.</w:t>
      </w:r>
    </w:p>
    <w:p w:rsidR="004B798F" w:rsidRPr="00A156C6" w:rsidRDefault="004B798F" w:rsidP="004B798F">
      <w:p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  <w:b/>
        </w:rPr>
        <w:t>Supplementary Figure S2: Shared pathways between PD cells and MRD cells.</w:t>
      </w:r>
    </w:p>
    <w:p w:rsidR="004B798F" w:rsidRPr="00A156C6" w:rsidRDefault="004B798F" w:rsidP="004B798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</w:rPr>
        <w:t>Left panel: Venn diagram for genes up-regulated in PD cells vs LTMC cells and in MRD cells vs the control cells collected at diagnosis; right panel: Venn diagram for genes down-regulated in PD cells and in MRD cells.</w:t>
      </w:r>
    </w:p>
    <w:p w:rsidR="004B798F" w:rsidRPr="00A156C6" w:rsidRDefault="004B798F" w:rsidP="004B798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</w:rPr>
        <w:t>KEGG enrichment analysis for expressed genes that are among the top 25% up-regulated in terms of fold-change in PD cells vs LTMC cells and also the top 25% up-regulated in MRD cells vs the control cells.</w:t>
      </w:r>
    </w:p>
    <w:p w:rsidR="004B798F" w:rsidRPr="00A156C6" w:rsidRDefault="004B798F" w:rsidP="004B798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</w:rPr>
        <w:t xml:space="preserve">KEGG enrichment analysis for expressed genes that are among the top 25% down-regulated in terms of fold-change in PD cells vs LTMC cells and also the top 25% down-regulated in MRD </w:t>
      </w:r>
    </w:p>
    <w:p w:rsidR="004B798F" w:rsidRPr="00A156C6" w:rsidRDefault="004B798F" w:rsidP="004B798F">
      <w:pPr>
        <w:pStyle w:val="ListParagraph"/>
        <w:rPr>
          <w:rFonts w:ascii="Times New Roman" w:eastAsia="Times New Roman" w:hAnsi="Times New Roman" w:cs="Times New Roman"/>
        </w:rPr>
      </w:pPr>
      <w:proofErr w:type="gramStart"/>
      <w:r w:rsidRPr="00A156C6">
        <w:rPr>
          <w:rFonts w:ascii="Times New Roman" w:eastAsia="Times New Roman" w:hAnsi="Times New Roman" w:cs="Times New Roman"/>
        </w:rPr>
        <w:t>cells</w:t>
      </w:r>
      <w:proofErr w:type="gramEnd"/>
      <w:r w:rsidRPr="00A156C6">
        <w:rPr>
          <w:rFonts w:ascii="Times New Roman" w:eastAsia="Times New Roman" w:hAnsi="Times New Roman" w:cs="Times New Roman"/>
        </w:rPr>
        <w:t xml:space="preserve"> vs the control cells.</w:t>
      </w:r>
    </w:p>
    <w:p w:rsidR="004B798F" w:rsidRPr="00A156C6" w:rsidRDefault="004B798F" w:rsidP="004B798F">
      <w:pPr>
        <w:pStyle w:val="ListParagraph"/>
        <w:rPr>
          <w:rFonts w:ascii="Times New Roman" w:eastAsia="Times New Roman" w:hAnsi="Times New Roman" w:cs="Times New Roman"/>
        </w:rPr>
      </w:pPr>
    </w:p>
    <w:p w:rsidR="004B798F" w:rsidRPr="00A156C6" w:rsidRDefault="004B798F" w:rsidP="004B798F">
      <w:p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  <w:b/>
        </w:rPr>
        <w:t>Supplementary Figure S3: Validation of transcription signatures identified from RNA-</w:t>
      </w:r>
      <w:proofErr w:type="spellStart"/>
      <w:r w:rsidRPr="00A156C6">
        <w:rPr>
          <w:rFonts w:ascii="Times New Roman" w:eastAsia="Times New Roman" w:hAnsi="Times New Roman" w:cs="Times New Roman"/>
          <w:b/>
        </w:rPr>
        <w:t>Seq</w:t>
      </w:r>
      <w:proofErr w:type="spellEnd"/>
      <w:r w:rsidRPr="00A156C6">
        <w:rPr>
          <w:rFonts w:ascii="Times New Roman" w:eastAsia="Times New Roman" w:hAnsi="Times New Roman" w:cs="Times New Roman"/>
          <w:b/>
        </w:rPr>
        <w:t xml:space="preserve"> in PB and PD cells using three ALL cell lines</w:t>
      </w:r>
      <w:r w:rsidRPr="00A156C6">
        <w:rPr>
          <w:rFonts w:ascii="Times New Roman" w:eastAsia="Times New Roman" w:hAnsi="Times New Roman" w:cs="Times New Roman"/>
        </w:rPr>
        <w:t>.</w:t>
      </w:r>
    </w:p>
    <w:p w:rsidR="004B798F" w:rsidRPr="00A156C6" w:rsidRDefault="004B798F" w:rsidP="004B798F">
      <w:pPr>
        <w:rPr>
          <w:rFonts w:ascii="Times New Roman" w:eastAsia="Times New Roman" w:hAnsi="Times New Roman" w:cs="Times New Roman"/>
        </w:rPr>
      </w:pPr>
      <w:r w:rsidRPr="00A156C6">
        <w:rPr>
          <w:rFonts w:ascii="Times New Roman" w:eastAsia="Times New Roman" w:hAnsi="Times New Roman" w:cs="Times New Roman"/>
        </w:rPr>
        <w:t xml:space="preserve">REH, SUP-B15, and TOM-1 leukemic cell lines were grown in media (LTMC) or in co-culture with human osteoblasts (HOB) for 10 days. Both media and co-culture cells were then subjected to separation using G-10 </w:t>
      </w:r>
      <w:proofErr w:type="spellStart"/>
      <w:r w:rsidRPr="00A156C6">
        <w:rPr>
          <w:rFonts w:ascii="Times New Roman" w:eastAsia="Times New Roman" w:hAnsi="Times New Roman" w:cs="Times New Roman"/>
        </w:rPr>
        <w:t>Sephadex</w:t>
      </w:r>
      <w:proofErr w:type="spellEnd"/>
      <w:r w:rsidRPr="00A156C6">
        <w:rPr>
          <w:rFonts w:ascii="Times New Roman" w:eastAsia="Times New Roman" w:hAnsi="Times New Roman" w:cs="Times New Roman"/>
        </w:rPr>
        <w:t xml:space="preserve">. RNA was extracted from the isolated leukemic cells and qPCR completed for </w:t>
      </w:r>
      <w:r w:rsidRPr="00A156C6">
        <w:rPr>
          <w:rFonts w:ascii="Times New Roman" w:eastAsia="Times New Roman" w:hAnsi="Times New Roman" w:cs="Times New Roman"/>
          <w:i/>
        </w:rPr>
        <w:t>CEBPB</w:t>
      </w:r>
      <w:r w:rsidRPr="00A156C6">
        <w:rPr>
          <w:rFonts w:ascii="Times New Roman" w:eastAsia="Times New Roman" w:hAnsi="Times New Roman" w:cs="Times New Roman"/>
        </w:rPr>
        <w:t xml:space="preserve">, </w:t>
      </w:r>
      <w:r w:rsidRPr="00A156C6">
        <w:rPr>
          <w:rFonts w:ascii="Times New Roman" w:eastAsia="Times New Roman" w:hAnsi="Times New Roman" w:cs="Times New Roman"/>
          <w:i/>
        </w:rPr>
        <w:t>SGK1</w:t>
      </w:r>
      <w:r w:rsidRPr="00A156C6">
        <w:rPr>
          <w:rFonts w:ascii="Times New Roman" w:eastAsia="Times New Roman" w:hAnsi="Times New Roman" w:cs="Times New Roman"/>
        </w:rPr>
        <w:t xml:space="preserve">, </w:t>
      </w:r>
      <w:r w:rsidRPr="00A156C6">
        <w:rPr>
          <w:rFonts w:ascii="Times New Roman" w:eastAsia="Times New Roman" w:hAnsi="Times New Roman" w:cs="Times New Roman"/>
          <w:i/>
        </w:rPr>
        <w:t>SIGLEC15</w:t>
      </w:r>
      <w:r w:rsidRPr="00A156C6">
        <w:rPr>
          <w:rFonts w:ascii="Times New Roman" w:eastAsia="Times New Roman" w:hAnsi="Times New Roman" w:cs="Times New Roman"/>
        </w:rPr>
        <w:t xml:space="preserve">, </w:t>
      </w:r>
      <w:r w:rsidRPr="00A156C6">
        <w:rPr>
          <w:rFonts w:ascii="Times New Roman" w:eastAsia="Times New Roman" w:hAnsi="Times New Roman" w:cs="Times New Roman"/>
          <w:i/>
        </w:rPr>
        <w:t>MVP</w:t>
      </w:r>
      <w:r w:rsidRPr="00A156C6">
        <w:rPr>
          <w:rFonts w:ascii="Times New Roman" w:eastAsia="Times New Roman" w:hAnsi="Times New Roman" w:cs="Times New Roman"/>
        </w:rPr>
        <w:t xml:space="preserve">, and </w:t>
      </w:r>
      <w:r w:rsidRPr="00A156C6">
        <w:rPr>
          <w:rFonts w:ascii="Times New Roman" w:eastAsia="Times New Roman" w:hAnsi="Times New Roman" w:cs="Times New Roman"/>
          <w:i/>
        </w:rPr>
        <w:t>ITGB2</w:t>
      </w:r>
      <w:r w:rsidRPr="00A156C6">
        <w:rPr>
          <w:rFonts w:ascii="Times New Roman" w:eastAsia="Times New Roman" w:hAnsi="Times New Roman" w:cs="Times New Roman"/>
        </w:rPr>
        <w:t xml:space="preserve">. </w:t>
      </w:r>
      <w:r w:rsidRPr="00A156C6">
        <w:rPr>
          <w:rFonts w:ascii="Times New Roman" w:eastAsia="Times New Roman" w:hAnsi="Times New Roman" w:cs="Times New Roman"/>
          <w:i/>
        </w:rPr>
        <w:t>RPL13A</w:t>
      </w:r>
      <w:r w:rsidRPr="00A156C6">
        <w:rPr>
          <w:rFonts w:ascii="Times New Roman" w:eastAsia="Times New Roman" w:hAnsi="Times New Roman" w:cs="Times New Roman"/>
        </w:rPr>
        <w:t xml:space="preserve"> was used for normalization.</w:t>
      </w:r>
      <w:r w:rsidRPr="00A156C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156C6">
        <w:rPr>
          <w:rFonts w:ascii="Times New Roman" w:eastAsia="Times New Roman" w:hAnsi="Times New Roman" w:cs="Times New Roman"/>
        </w:rPr>
        <w:t>The average fold change of each gene is graphed with standard error (SEM), with the black line indicating LTMC, which was used for comparison.</w:t>
      </w:r>
    </w:p>
    <w:p w:rsidR="004B798F" w:rsidRPr="00A156C6" w:rsidRDefault="004B798F" w:rsidP="004B798F">
      <w:pPr>
        <w:pStyle w:val="ListParagraph"/>
        <w:rPr>
          <w:rFonts w:ascii="Times New Roman" w:eastAsia="Times New Roman" w:hAnsi="Times New Roman" w:cs="Times New Roman"/>
        </w:rPr>
      </w:pPr>
    </w:p>
    <w:p w:rsidR="004B798F" w:rsidRPr="00A156C6" w:rsidRDefault="004B798F" w:rsidP="004B798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56C6">
        <w:rPr>
          <w:rFonts w:ascii="Times New Roman" w:eastAsia="Times New Roman" w:hAnsi="Times New Roman" w:cs="Times New Roman"/>
          <w:b/>
          <w:bCs/>
        </w:rPr>
        <w:t>Supplementary Table S1: Potential regulators (top 20) for genes down-regulated in PD as compared to LTMC</w:t>
      </w:r>
      <w:r w:rsidRPr="00A156C6">
        <w:rPr>
          <w:rFonts w:ascii="Times New Roman" w:eastAsia="Times New Roman" w:hAnsi="Times New Roman" w:cs="Times New Roman"/>
          <w:b/>
          <w:bCs/>
        </w:rPr>
        <w:br/>
      </w:r>
    </w:p>
    <w:p w:rsidR="004B798F" w:rsidRDefault="004B798F" w:rsidP="004B798F">
      <w:pPr>
        <w:rPr>
          <w:rFonts w:ascii="Times New Roman" w:hAnsi="Times New Roman" w:cs="Times New Roman"/>
          <w:b/>
        </w:rPr>
      </w:pPr>
      <w:r w:rsidRPr="00A156C6">
        <w:rPr>
          <w:rFonts w:ascii="Times New Roman" w:hAnsi="Times New Roman" w:cs="Times New Roman"/>
          <w:b/>
        </w:rPr>
        <w:t>Supplementary Table S2: Potential regulators (top 20) for genes up-regulated in PD as compared to LTMC</w:t>
      </w:r>
    </w:p>
    <w:p w:rsidR="0081163F" w:rsidRDefault="0081163F" w:rsidP="004B798F"/>
    <w:sectPr w:rsidR="0081163F" w:rsidSect="00A15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C6C83"/>
    <w:multiLevelType w:val="hybridMultilevel"/>
    <w:tmpl w:val="44086F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93C63"/>
    <w:multiLevelType w:val="hybridMultilevel"/>
    <w:tmpl w:val="D9148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8F"/>
    <w:rsid w:val="004B798F"/>
    <w:rsid w:val="0081163F"/>
    <w:rsid w:val="00A1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F761D-1CFA-4570-A83F-F7949D90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WVU HSC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Rellick, Stephanie</dc:creator>
  <cp:keywords/>
  <dc:description/>
  <cp:lastModifiedBy>Bhuvaneswari R.</cp:lastModifiedBy>
  <cp:revision>2</cp:revision>
  <dcterms:created xsi:type="dcterms:W3CDTF">2021-07-14T18:08:00Z</dcterms:created>
  <dcterms:modified xsi:type="dcterms:W3CDTF">2021-07-21T13:01:00Z</dcterms:modified>
</cp:coreProperties>
</file>