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029" w:rsidRPr="00A72B42" w:rsidRDefault="00804029" w:rsidP="00804029">
      <w:pPr>
        <w:spacing w:after="36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  <w:bookmarkStart w:id="0" w:name="_GoBack"/>
    </w:p>
    <w:p w:rsidR="00804029" w:rsidRPr="00A72B42" w:rsidRDefault="00804029" w:rsidP="00804029">
      <w:pPr>
        <w:spacing w:after="36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:rsidR="00804029" w:rsidRPr="00A72B42" w:rsidRDefault="00804029" w:rsidP="00804029">
      <w:pPr>
        <w:spacing w:after="36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:rsidR="00804029" w:rsidRPr="00A72B42" w:rsidRDefault="00804029" w:rsidP="00804029">
      <w:pPr>
        <w:spacing w:after="36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:rsidR="00804029" w:rsidRPr="00A72B42" w:rsidRDefault="00804029" w:rsidP="00804029">
      <w:pPr>
        <w:spacing w:after="36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:rsidR="00804029" w:rsidRPr="00A72B42" w:rsidRDefault="00804029" w:rsidP="00F67FF3">
      <w:pPr>
        <w:spacing w:after="36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:rsidR="00F67FF3" w:rsidRPr="00A72B42" w:rsidRDefault="00F67FF3" w:rsidP="00F67FF3">
      <w:pPr>
        <w:spacing w:after="36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  <w:r w:rsidRPr="00A72B42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Telomere associated gene expression as well as TERT protein level and telomerase activity alter in the ovarian follicles of aged mice</w:t>
      </w:r>
    </w:p>
    <w:p w:rsidR="00F67FF3" w:rsidRPr="00A72B42" w:rsidRDefault="00F67FF3" w:rsidP="00F67FF3">
      <w:pPr>
        <w:spacing w:after="36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:rsidR="00804029" w:rsidRPr="00A72B42" w:rsidRDefault="00804029" w:rsidP="0080402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  <w:r w:rsidRPr="00A72B42">
        <w:rPr>
          <w:rFonts w:ascii="Arial" w:hAnsi="Arial" w:cs="Arial"/>
          <w:sz w:val="24"/>
          <w:szCs w:val="24"/>
          <w:shd w:val="clear" w:color="auto" w:fill="FFFFFF"/>
          <w:lang w:val="en-US"/>
        </w:rPr>
        <w:t>Esra Gozde Kosebent and Saffet Ozturk</w:t>
      </w:r>
      <w:r w:rsidRPr="00A72B42"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  <w:t>*</w:t>
      </w:r>
    </w:p>
    <w:p w:rsidR="00804029" w:rsidRPr="00A72B42" w:rsidRDefault="00804029" w:rsidP="00804029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:rsidR="00804029" w:rsidRPr="00A72B42" w:rsidRDefault="00804029" w:rsidP="00804029">
      <w:pPr>
        <w:spacing w:after="12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72B42">
        <w:rPr>
          <w:rFonts w:ascii="Arial" w:hAnsi="Arial" w:cs="Arial"/>
          <w:sz w:val="24"/>
          <w:szCs w:val="24"/>
          <w:lang w:val="en-US"/>
        </w:rPr>
        <w:t>Department of Histology and Embryology, Akdeniz University School of Medicine, Antalya, Turkey.</w:t>
      </w:r>
    </w:p>
    <w:p w:rsidR="00804029" w:rsidRPr="00A72B42" w:rsidRDefault="00804029" w:rsidP="00804029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en-US"/>
        </w:rPr>
      </w:pPr>
    </w:p>
    <w:p w:rsidR="00804029" w:rsidRPr="00A72B42" w:rsidRDefault="00804029" w:rsidP="00804029">
      <w:pPr>
        <w:spacing w:line="360" w:lineRule="auto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A72B42"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372C87" w:rsidRPr="00A72B42" w:rsidRDefault="00372C8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72B42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Supplemental data </w:t>
      </w:r>
    </w:p>
    <w:p w:rsidR="00C1570B" w:rsidRPr="00A72B42" w:rsidRDefault="00372C8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A72B42">
        <w:rPr>
          <w:rFonts w:ascii="Arial" w:hAnsi="Arial" w:cs="Arial"/>
          <w:b/>
          <w:sz w:val="24"/>
          <w:szCs w:val="24"/>
          <w:lang w:val="en-US"/>
        </w:rPr>
        <w:t xml:space="preserve">Supplemental data </w:t>
      </w:r>
      <w:r w:rsidR="00C1570B" w:rsidRPr="00A72B42">
        <w:rPr>
          <w:rFonts w:ascii="Arial" w:hAnsi="Arial" w:cs="Arial"/>
          <w:b/>
          <w:sz w:val="24"/>
          <w:szCs w:val="24"/>
          <w:lang w:val="en-US"/>
        </w:rPr>
        <w:t xml:space="preserve">Figure </w:t>
      </w:r>
      <w:r w:rsidRPr="00A72B42">
        <w:rPr>
          <w:rFonts w:ascii="Arial" w:hAnsi="Arial" w:cs="Arial"/>
          <w:b/>
          <w:sz w:val="24"/>
          <w:szCs w:val="24"/>
          <w:lang w:val="en-US"/>
        </w:rPr>
        <w:t>3.</w:t>
      </w:r>
      <w:r w:rsidR="00C1570B" w:rsidRPr="00A72B42">
        <w:rPr>
          <w:rFonts w:ascii="Arial" w:hAnsi="Arial" w:cs="Arial"/>
          <w:sz w:val="24"/>
          <w:szCs w:val="24"/>
          <w:lang w:val="en-US"/>
        </w:rPr>
        <w:t xml:space="preserve"> The TERT </w:t>
      </w:r>
      <w:r w:rsidR="00BF1501" w:rsidRPr="00A72B42">
        <w:rPr>
          <w:rFonts w:ascii="Arial" w:hAnsi="Arial" w:cs="Arial"/>
          <w:sz w:val="24"/>
          <w:szCs w:val="24"/>
          <w:lang w:val="en-US"/>
        </w:rPr>
        <w:t xml:space="preserve">levels </w:t>
      </w:r>
      <w:r w:rsidR="00C1570B" w:rsidRPr="00A72B42">
        <w:rPr>
          <w:rFonts w:ascii="Arial" w:hAnsi="Arial" w:cs="Arial"/>
          <w:sz w:val="24"/>
          <w:szCs w:val="24"/>
          <w:lang w:val="en-US"/>
        </w:rPr>
        <w:t xml:space="preserve">in the ovarian follicles from primary to antral stages in the adult and aged groups. In this analysis, we used primary (n = 60 </w:t>
      </w:r>
      <w:r w:rsidR="00BF1501" w:rsidRPr="00A72B42">
        <w:rPr>
          <w:rFonts w:ascii="Arial" w:hAnsi="Arial" w:cs="Arial"/>
          <w:sz w:val="24"/>
          <w:szCs w:val="24"/>
          <w:lang w:val="en-US"/>
        </w:rPr>
        <w:t>and</w:t>
      </w:r>
      <w:r w:rsidR="00C1570B" w:rsidRPr="00A72B42">
        <w:rPr>
          <w:rFonts w:ascii="Arial" w:hAnsi="Arial" w:cs="Arial"/>
          <w:sz w:val="24"/>
          <w:szCs w:val="24"/>
          <w:lang w:val="en-US"/>
        </w:rPr>
        <w:t xml:space="preserve"> n = 46), secondary (n = 77 </w:t>
      </w:r>
      <w:r w:rsidR="00BF1501" w:rsidRPr="00A72B42">
        <w:rPr>
          <w:rFonts w:ascii="Arial" w:hAnsi="Arial" w:cs="Arial"/>
          <w:sz w:val="24"/>
          <w:szCs w:val="24"/>
          <w:lang w:val="en-US"/>
        </w:rPr>
        <w:t>and</w:t>
      </w:r>
      <w:r w:rsidR="00C1570B" w:rsidRPr="00A72B42">
        <w:rPr>
          <w:rFonts w:ascii="Arial" w:hAnsi="Arial" w:cs="Arial"/>
          <w:sz w:val="24"/>
          <w:szCs w:val="24"/>
          <w:lang w:val="en-US"/>
        </w:rPr>
        <w:t xml:space="preserve"> n = 58 ), preantral (n = 59 </w:t>
      </w:r>
      <w:r w:rsidR="00BF1501" w:rsidRPr="00A72B42">
        <w:rPr>
          <w:rFonts w:ascii="Arial" w:hAnsi="Arial" w:cs="Arial"/>
          <w:sz w:val="24"/>
          <w:szCs w:val="24"/>
          <w:lang w:val="en-US"/>
        </w:rPr>
        <w:t>and</w:t>
      </w:r>
      <w:r w:rsidR="00C1570B" w:rsidRPr="00A72B42">
        <w:rPr>
          <w:rFonts w:ascii="Arial" w:hAnsi="Arial" w:cs="Arial"/>
          <w:sz w:val="24"/>
          <w:szCs w:val="24"/>
          <w:lang w:val="en-US"/>
        </w:rPr>
        <w:t xml:space="preserve"> n</w:t>
      </w:r>
      <w:r w:rsidR="00F03F1C" w:rsidRPr="00A72B42">
        <w:rPr>
          <w:rFonts w:ascii="Arial" w:hAnsi="Arial" w:cs="Arial"/>
          <w:sz w:val="24"/>
          <w:szCs w:val="24"/>
          <w:lang w:val="en-US"/>
        </w:rPr>
        <w:t xml:space="preserve"> </w:t>
      </w:r>
      <w:r w:rsidR="00C1570B" w:rsidRPr="00A72B42">
        <w:rPr>
          <w:rFonts w:ascii="Arial" w:hAnsi="Arial" w:cs="Arial"/>
          <w:sz w:val="24"/>
          <w:szCs w:val="24"/>
          <w:lang w:val="en-US"/>
        </w:rPr>
        <w:t>=</w:t>
      </w:r>
      <w:r w:rsidR="00F03F1C" w:rsidRPr="00A72B42">
        <w:rPr>
          <w:rFonts w:ascii="Arial" w:hAnsi="Arial" w:cs="Arial"/>
          <w:sz w:val="24"/>
          <w:szCs w:val="24"/>
          <w:lang w:val="en-US"/>
        </w:rPr>
        <w:t xml:space="preserve"> </w:t>
      </w:r>
      <w:r w:rsidR="00C1570B" w:rsidRPr="00A72B42">
        <w:rPr>
          <w:rFonts w:ascii="Arial" w:hAnsi="Arial" w:cs="Arial"/>
          <w:sz w:val="24"/>
          <w:szCs w:val="24"/>
          <w:lang w:val="en-US"/>
        </w:rPr>
        <w:t xml:space="preserve">64), </w:t>
      </w:r>
      <w:r w:rsidR="00BF1501" w:rsidRPr="00A72B42">
        <w:rPr>
          <w:rFonts w:ascii="Arial" w:hAnsi="Arial" w:cs="Arial"/>
          <w:sz w:val="24"/>
          <w:szCs w:val="24"/>
          <w:lang w:val="en-US"/>
        </w:rPr>
        <w:t xml:space="preserve">and </w:t>
      </w:r>
      <w:r w:rsidR="00C1570B" w:rsidRPr="00A72B42">
        <w:rPr>
          <w:rFonts w:ascii="Arial" w:hAnsi="Arial" w:cs="Arial"/>
          <w:sz w:val="24"/>
          <w:szCs w:val="24"/>
          <w:lang w:val="en-US"/>
        </w:rPr>
        <w:t xml:space="preserve">antral (n = 56 </w:t>
      </w:r>
      <w:r w:rsidR="00BF1501" w:rsidRPr="00A72B42">
        <w:rPr>
          <w:rFonts w:ascii="Arial" w:hAnsi="Arial" w:cs="Arial"/>
          <w:sz w:val="24"/>
          <w:szCs w:val="24"/>
          <w:lang w:val="en-US"/>
        </w:rPr>
        <w:t xml:space="preserve"> and </w:t>
      </w:r>
      <w:r w:rsidR="00C1570B" w:rsidRPr="00A72B42">
        <w:rPr>
          <w:rFonts w:ascii="Arial" w:hAnsi="Arial" w:cs="Arial"/>
          <w:sz w:val="24"/>
          <w:szCs w:val="24"/>
          <w:lang w:val="en-US"/>
        </w:rPr>
        <w:t>n = 38)</w:t>
      </w:r>
      <w:r w:rsidR="00F03F1C" w:rsidRPr="00A72B42">
        <w:rPr>
          <w:rFonts w:ascii="Arial" w:hAnsi="Arial" w:cs="Arial"/>
          <w:sz w:val="24"/>
          <w:szCs w:val="24"/>
          <w:lang w:val="en-US"/>
        </w:rPr>
        <w:t xml:space="preserve"> obtained from 14 adult and 9 aged mice, respectively</w:t>
      </w:r>
      <w:r w:rsidR="00C1570B" w:rsidRPr="00A72B42">
        <w:rPr>
          <w:rFonts w:ascii="Arial" w:hAnsi="Arial" w:cs="Arial"/>
          <w:sz w:val="24"/>
          <w:szCs w:val="24"/>
          <w:lang w:val="en-US"/>
        </w:rPr>
        <w:t>. The</w:t>
      </w:r>
      <w:r w:rsidRPr="00A72B42">
        <w:rPr>
          <w:rFonts w:ascii="Arial" w:hAnsi="Arial" w:cs="Arial"/>
          <w:sz w:val="24"/>
          <w:szCs w:val="24"/>
          <w:lang w:val="en-US"/>
        </w:rPr>
        <w:t xml:space="preserve"> representative bands from left to right show </w:t>
      </w:r>
      <w:r w:rsidR="00C1570B" w:rsidRPr="00A72B42">
        <w:rPr>
          <w:rFonts w:ascii="Arial" w:hAnsi="Arial" w:cs="Arial"/>
          <w:sz w:val="24"/>
          <w:szCs w:val="24"/>
          <w:lang w:val="en-US"/>
        </w:rPr>
        <w:t>marker, primary, secondary, preantral</w:t>
      </w:r>
      <w:r w:rsidR="00F03F1C" w:rsidRPr="00A72B42">
        <w:rPr>
          <w:rFonts w:ascii="Arial" w:hAnsi="Arial" w:cs="Arial"/>
          <w:sz w:val="24"/>
          <w:szCs w:val="24"/>
          <w:lang w:val="en-US"/>
        </w:rPr>
        <w:t>,</w:t>
      </w:r>
      <w:r w:rsidR="00C1570B" w:rsidRPr="00A72B42">
        <w:rPr>
          <w:rFonts w:ascii="Arial" w:hAnsi="Arial" w:cs="Arial"/>
          <w:sz w:val="24"/>
          <w:szCs w:val="24"/>
          <w:lang w:val="en-US"/>
        </w:rPr>
        <w:t xml:space="preserve"> and antral follicles</w:t>
      </w:r>
      <w:r w:rsidRPr="00A72B42">
        <w:rPr>
          <w:rFonts w:ascii="Arial" w:hAnsi="Arial" w:cs="Arial"/>
          <w:sz w:val="24"/>
          <w:szCs w:val="24"/>
          <w:lang w:val="en-US"/>
        </w:rPr>
        <w:t xml:space="preserve"> of the adult group</w:t>
      </w:r>
      <w:r w:rsidR="00C1570B" w:rsidRPr="00A72B42">
        <w:rPr>
          <w:rFonts w:ascii="Arial" w:hAnsi="Arial" w:cs="Arial"/>
          <w:sz w:val="24"/>
          <w:szCs w:val="24"/>
          <w:lang w:val="en-US"/>
        </w:rPr>
        <w:t>, and primary, secondary, preantral</w:t>
      </w:r>
      <w:r w:rsidR="00F03F1C" w:rsidRPr="00A72B42">
        <w:rPr>
          <w:rFonts w:ascii="Arial" w:hAnsi="Arial" w:cs="Arial"/>
          <w:sz w:val="24"/>
          <w:szCs w:val="24"/>
          <w:lang w:val="en-US"/>
        </w:rPr>
        <w:t>,</w:t>
      </w:r>
      <w:r w:rsidR="00C1570B" w:rsidRPr="00A72B42">
        <w:rPr>
          <w:rFonts w:ascii="Arial" w:hAnsi="Arial" w:cs="Arial"/>
          <w:sz w:val="24"/>
          <w:szCs w:val="24"/>
          <w:lang w:val="en-US"/>
        </w:rPr>
        <w:t xml:space="preserve"> and antral follicles</w:t>
      </w:r>
      <w:r w:rsidRPr="00A72B42">
        <w:rPr>
          <w:rFonts w:ascii="Arial" w:hAnsi="Arial" w:cs="Arial"/>
          <w:sz w:val="24"/>
          <w:szCs w:val="24"/>
          <w:lang w:val="en-US"/>
        </w:rPr>
        <w:t xml:space="preserve"> of the aged group</w:t>
      </w:r>
      <w:r w:rsidR="00C1570B" w:rsidRPr="00A72B42">
        <w:rPr>
          <w:rFonts w:ascii="Arial" w:hAnsi="Arial" w:cs="Arial"/>
          <w:sz w:val="24"/>
          <w:szCs w:val="24"/>
          <w:lang w:val="en-US"/>
        </w:rPr>
        <w:t>, respectively.</w:t>
      </w:r>
      <w:r w:rsidR="00F03F1C" w:rsidRPr="00A72B42">
        <w:rPr>
          <w:rFonts w:ascii="Arial" w:hAnsi="Arial" w:cs="Arial"/>
          <w:sz w:val="24"/>
          <w:szCs w:val="24"/>
          <w:lang w:val="en-US"/>
        </w:rPr>
        <w:t xml:space="preserve"> </w:t>
      </w:r>
      <w:r w:rsidR="00966D22" w:rsidRPr="00A72B42">
        <w:rPr>
          <w:rFonts w:ascii="Arial" w:hAnsi="Arial" w:cs="Arial"/>
          <w:sz w:val="24"/>
          <w:szCs w:val="24"/>
          <w:lang w:val="en-US"/>
        </w:rPr>
        <w:t>Notably</w:t>
      </w:r>
      <w:r w:rsidR="00F03F1C" w:rsidRPr="00A72B42">
        <w:rPr>
          <w:rFonts w:ascii="Arial" w:hAnsi="Arial" w:cs="Arial"/>
          <w:sz w:val="24"/>
          <w:szCs w:val="24"/>
          <w:lang w:val="en-US"/>
        </w:rPr>
        <w:t>, the far away band at the right shows the TERT level in the mouse ovary tissue, which is used as a positive control.</w:t>
      </w:r>
    </w:p>
    <w:p w:rsidR="00BF3C38" w:rsidRPr="00A72B42" w:rsidRDefault="00F03F1C" w:rsidP="00F67FF3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A72B42">
        <w:rPr>
          <w:rFonts w:ascii="Arial" w:hAnsi="Arial" w:cs="Arial"/>
          <w:noProof/>
          <w:sz w:val="24"/>
          <w:szCs w:val="24"/>
          <w:lang w:val="en-IN" w:eastAsia="en-IN"/>
        </w:rPr>
        <w:drawing>
          <wp:inline distT="0" distB="0" distL="0" distR="0">
            <wp:extent cx="5273040" cy="2054352"/>
            <wp:effectExtent l="19050" t="0" r="381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33" t="21320" r="7620" b="21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05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C61E99" w:rsidRPr="00A72B42" w:rsidRDefault="009E428B" w:rsidP="00982DD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72B42">
        <w:rPr>
          <w:rFonts w:ascii="Arial" w:hAnsi="Arial" w:cs="Arial"/>
          <w:b/>
          <w:sz w:val="24"/>
          <w:szCs w:val="24"/>
          <w:lang w:val="en-US"/>
        </w:rPr>
        <w:lastRenderedPageBreak/>
        <w:t>Supplemental data Figure 3.</w:t>
      </w:r>
      <w:r w:rsidRPr="00A72B42">
        <w:rPr>
          <w:rFonts w:ascii="Arial" w:hAnsi="Arial" w:cs="Arial"/>
          <w:sz w:val="24"/>
          <w:szCs w:val="24"/>
          <w:lang w:val="en-US"/>
        </w:rPr>
        <w:t xml:space="preserve"> </w:t>
      </w:r>
      <w:r w:rsidR="00C61E99" w:rsidRPr="00A72B42">
        <w:rPr>
          <w:rFonts w:ascii="Arial" w:hAnsi="Arial" w:cs="Arial"/>
          <w:sz w:val="24"/>
          <w:szCs w:val="24"/>
          <w:lang w:val="en-US"/>
        </w:rPr>
        <w:t xml:space="preserve">The GAPDH </w:t>
      </w:r>
      <w:r w:rsidR="00F03F1C" w:rsidRPr="00A72B42">
        <w:rPr>
          <w:rFonts w:ascii="Arial" w:hAnsi="Arial" w:cs="Arial"/>
          <w:sz w:val="24"/>
          <w:szCs w:val="24"/>
          <w:lang w:val="en-US"/>
        </w:rPr>
        <w:t xml:space="preserve">levels </w:t>
      </w:r>
      <w:r w:rsidR="00C61E99" w:rsidRPr="00A72B42">
        <w:rPr>
          <w:rFonts w:ascii="Arial" w:hAnsi="Arial" w:cs="Arial"/>
          <w:sz w:val="24"/>
          <w:szCs w:val="24"/>
          <w:lang w:val="en-US"/>
        </w:rPr>
        <w:t xml:space="preserve">in the ovarian follicles from primary to antral stages in the adult and aged groups. In this analysis, we used (n = 60 </w:t>
      </w:r>
      <w:r w:rsidR="00F03F1C" w:rsidRPr="00A72B42">
        <w:rPr>
          <w:rFonts w:ascii="Arial" w:hAnsi="Arial" w:cs="Arial"/>
          <w:sz w:val="24"/>
          <w:szCs w:val="24"/>
          <w:lang w:val="en-US"/>
        </w:rPr>
        <w:t>and</w:t>
      </w:r>
      <w:r w:rsidR="00C61E99" w:rsidRPr="00A72B42">
        <w:rPr>
          <w:rFonts w:ascii="Arial" w:hAnsi="Arial" w:cs="Arial"/>
          <w:sz w:val="24"/>
          <w:szCs w:val="24"/>
          <w:lang w:val="en-US"/>
        </w:rPr>
        <w:t xml:space="preserve"> n = 46), secondary (n = 77 </w:t>
      </w:r>
      <w:r w:rsidR="00F03F1C" w:rsidRPr="00A72B42">
        <w:rPr>
          <w:rFonts w:ascii="Arial" w:hAnsi="Arial" w:cs="Arial"/>
          <w:sz w:val="24"/>
          <w:szCs w:val="24"/>
          <w:lang w:val="en-US"/>
        </w:rPr>
        <w:t>and</w:t>
      </w:r>
      <w:r w:rsidR="00C61E99" w:rsidRPr="00A72B42">
        <w:rPr>
          <w:rFonts w:ascii="Arial" w:hAnsi="Arial" w:cs="Arial"/>
          <w:sz w:val="24"/>
          <w:szCs w:val="24"/>
          <w:lang w:val="en-US"/>
        </w:rPr>
        <w:t xml:space="preserve"> n = 58), preantral (n = 59 </w:t>
      </w:r>
      <w:r w:rsidR="00F03F1C" w:rsidRPr="00A72B42">
        <w:rPr>
          <w:rFonts w:ascii="Arial" w:hAnsi="Arial" w:cs="Arial"/>
          <w:sz w:val="24"/>
          <w:szCs w:val="24"/>
          <w:lang w:val="en-US"/>
        </w:rPr>
        <w:t>and</w:t>
      </w:r>
      <w:r w:rsidR="00C61E99" w:rsidRPr="00A72B42">
        <w:rPr>
          <w:rFonts w:ascii="Arial" w:hAnsi="Arial" w:cs="Arial"/>
          <w:sz w:val="24"/>
          <w:szCs w:val="24"/>
          <w:lang w:val="en-US"/>
        </w:rPr>
        <w:t xml:space="preserve"> n</w:t>
      </w:r>
      <w:r w:rsidR="00F03F1C" w:rsidRPr="00A72B42">
        <w:rPr>
          <w:rFonts w:ascii="Arial" w:hAnsi="Arial" w:cs="Arial"/>
          <w:sz w:val="24"/>
          <w:szCs w:val="24"/>
          <w:lang w:val="en-US"/>
        </w:rPr>
        <w:t xml:space="preserve"> </w:t>
      </w:r>
      <w:r w:rsidR="00C61E99" w:rsidRPr="00A72B42">
        <w:rPr>
          <w:rFonts w:ascii="Arial" w:hAnsi="Arial" w:cs="Arial"/>
          <w:sz w:val="24"/>
          <w:szCs w:val="24"/>
          <w:lang w:val="en-US"/>
        </w:rPr>
        <w:t>=</w:t>
      </w:r>
      <w:r w:rsidR="00F03F1C" w:rsidRPr="00A72B42">
        <w:rPr>
          <w:rFonts w:ascii="Arial" w:hAnsi="Arial" w:cs="Arial"/>
          <w:sz w:val="24"/>
          <w:szCs w:val="24"/>
          <w:lang w:val="en-US"/>
        </w:rPr>
        <w:t xml:space="preserve"> </w:t>
      </w:r>
      <w:r w:rsidR="00C61E99" w:rsidRPr="00A72B42">
        <w:rPr>
          <w:rFonts w:ascii="Arial" w:hAnsi="Arial" w:cs="Arial"/>
          <w:sz w:val="24"/>
          <w:szCs w:val="24"/>
          <w:lang w:val="en-US"/>
        </w:rPr>
        <w:t xml:space="preserve">64), antral (n = 56 </w:t>
      </w:r>
      <w:r w:rsidR="00BB75AF" w:rsidRPr="00A72B42">
        <w:rPr>
          <w:rFonts w:ascii="Arial" w:hAnsi="Arial" w:cs="Arial"/>
          <w:sz w:val="24"/>
          <w:szCs w:val="24"/>
          <w:lang w:val="en-US"/>
        </w:rPr>
        <w:t>and</w:t>
      </w:r>
      <w:r w:rsidR="00C61E99" w:rsidRPr="00A72B42">
        <w:rPr>
          <w:rFonts w:ascii="Arial" w:hAnsi="Arial" w:cs="Arial"/>
          <w:sz w:val="24"/>
          <w:szCs w:val="24"/>
          <w:lang w:val="en-US"/>
        </w:rPr>
        <w:t xml:space="preserve"> n = 38)</w:t>
      </w:r>
      <w:r w:rsidR="00966D22" w:rsidRPr="00A72B42">
        <w:rPr>
          <w:rFonts w:ascii="Arial" w:hAnsi="Arial" w:cs="Arial"/>
          <w:sz w:val="24"/>
          <w:szCs w:val="24"/>
          <w:lang w:val="en-US"/>
        </w:rPr>
        <w:t xml:space="preserve"> obtained from 14 adult and 9 aged mice, respectively</w:t>
      </w:r>
      <w:r w:rsidR="00C61E99" w:rsidRPr="00A72B42">
        <w:rPr>
          <w:rFonts w:ascii="Arial" w:hAnsi="Arial" w:cs="Arial"/>
          <w:sz w:val="24"/>
          <w:szCs w:val="24"/>
          <w:lang w:val="en-US"/>
        </w:rPr>
        <w:t xml:space="preserve">. </w:t>
      </w:r>
      <w:r w:rsidRPr="00A72B42">
        <w:rPr>
          <w:rFonts w:ascii="Arial" w:hAnsi="Arial" w:cs="Arial"/>
          <w:sz w:val="24"/>
          <w:szCs w:val="24"/>
          <w:lang w:val="en-US"/>
        </w:rPr>
        <w:t>The representative bands from left to right show marker, primary, secondary, preantral</w:t>
      </w:r>
      <w:r w:rsidR="00966D22" w:rsidRPr="00A72B42">
        <w:rPr>
          <w:rFonts w:ascii="Arial" w:hAnsi="Arial" w:cs="Arial"/>
          <w:sz w:val="24"/>
          <w:szCs w:val="24"/>
          <w:lang w:val="en-US"/>
        </w:rPr>
        <w:t>,</w:t>
      </w:r>
      <w:r w:rsidRPr="00A72B42">
        <w:rPr>
          <w:rFonts w:ascii="Arial" w:hAnsi="Arial" w:cs="Arial"/>
          <w:sz w:val="24"/>
          <w:szCs w:val="24"/>
          <w:lang w:val="en-US"/>
        </w:rPr>
        <w:t xml:space="preserve"> and antral follicles of the adult group, and primary, secondary, preantral</w:t>
      </w:r>
      <w:r w:rsidR="00966D22" w:rsidRPr="00A72B42">
        <w:rPr>
          <w:rFonts w:ascii="Arial" w:hAnsi="Arial" w:cs="Arial"/>
          <w:sz w:val="24"/>
          <w:szCs w:val="24"/>
          <w:lang w:val="en-US"/>
        </w:rPr>
        <w:t>,</w:t>
      </w:r>
      <w:r w:rsidRPr="00A72B42">
        <w:rPr>
          <w:rFonts w:ascii="Arial" w:hAnsi="Arial" w:cs="Arial"/>
          <w:sz w:val="24"/>
          <w:szCs w:val="24"/>
          <w:lang w:val="en-US"/>
        </w:rPr>
        <w:t xml:space="preserve"> and antral follicles of the aged group, respectively.</w:t>
      </w:r>
      <w:r w:rsidR="00966D22" w:rsidRPr="00A72B42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966D22" w:rsidRPr="00A72B42" w:rsidRDefault="00A6067D" w:rsidP="00966D22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A72B42">
        <w:rPr>
          <w:rFonts w:ascii="Arial" w:hAnsi="Arial" w:cs="Arial"/>
          <w:noProof/>
          <w:sz w:val="24"/>
          <w:szCs w:val="24"/>
          <w:lang w:val="en-IN" w:eastAsia="en-IN"/>
        </w:rPr>
        <w:drawing>
          <wp:inline distT="0" distB="0" distL="0" distR="0">
            <wp:extent cx="4797552" cy="2791968"/>
            <wp:effectExtent l="19050" t="0" r="3048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136" t="10354" r="8573" b="15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552" cy="279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AE7" w:rsidRPr="00A72B42" w:rsidRDefault="00B42AE7" w:rsidP="00982DD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982DD2" w:rsidRPr="00A72B42" w:rsidRDefault="00982DD2">
      <w:pPr>
        <w:rPr>
          <w:rFonts w:ascii="Arial" w:hAnsi="Arial" w:cs="Arial"/>
          <w:sz w:val="24"/>
          <w:szCs w:val="24"/>
          <w:lang w:val="en-US"/>
        </w:rPr>
      </w:pPr>
      <w:r w:rsidRPr="00A72B42">
        <w:rPr>
          <w:rFonts w:ascii="Arial" w:hAnsi="Arial" w:cs="Arial"/>
          <w:sz w:val="24"/>
          <w:szCs w:val="24"/>
          <w:lang w:val="en-US"/>
        </w:rPr>
        <w:br w:type="page"/>
      </w:r>
    </w:p>
    <w:p w:rsidR="00982DD2" w:rsidRPr="00A72B42" w:rsidRDefault="009E428B" w:rsidP="00982DD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72B42">
        <w:rPr>
          <w:rFonts w:ascii="Arial" w:hAnsi="Arial" w:cs="Arial"/>
          <w:b/>
          <w:sz w:val="24"/>
          <w:szCs w:val="24"/>
          <w:lang w:val="en-US"/>
        </w:rPr>
        <w:lastRenderedPageBreak/>
        <w:t>Supplemental data Figure 4.</w:t>
      </w:r>
      <w:r w:rsidRPr="00A72B42">
        <w:rPr>
          <w:rFonts w:ascii="Arial" w:hAnsi="Arial" w:cs="Arial"/>
          <w:sz w:val="24"/>
          <w:szCs w:val="24"/>
          <w:lang w:val="en-US"/>
        </w:rPr>
        <w:t xml:space="preserve"> </w:t>
      </w:r>
      <w:r w:rsidR="00982DD2" w:rsidRPr="00A72B42">
        <w:rPr>
          <w:rFonts w:ascii="Arial" w:hAnsi="Arial" w:cs="Arial"/>
          <w:sz w:val="24"/>
          <w:szCs w:val="24"/>
          <w:lang w:val="en-US"/>
        </w:rPr>
        <w:t>The telomerase activity in the ovarian follicles from primary to antral stages in the adult group. For this analysis, we used primary (n = 34), secondary (n = 30), preantral (n = 30 ), antral (n = 30)</w:t>
      </w:r>
      <w:r w:rsidR="00966D22" w:rsidRPr="00A72B42">
        <w:rPr>
          <w:rFonts w:ascii="Arial" w:hAnsi="Arial" w:cs="Arial"/>
          <w:sz w:val="24"/>
          <w:szCs w:val="24"/>
          <w:lang w:val="en-US"/>
        </w:rPr>
        <w:t xml:space="preserve"> from 5 adult mice</w:t>
      </w:r>
      <w:r w:rsidR="00982DD2" w:rsidRPr="00A72B42">
        <w:rPr>
          <w:rFonts w:ascii="Arial" w:hAnsi="Arial" w:cs="Arial"/>
          <w:sz w:val="24"/>
          <w:szCs w:val="24"/>
          <w:lang w:val="en-US"/>
        </w:rPr>
        <w:t>.</w:t>
      </w:r>
      <w:r w:rsidRPr="00A72B42">
        <w:rPr>
          <w:rFonts w:ascii="Arial" w:hAnsi="Arial" w:cs="Arial"/>
          <w:sz w:val="24"/>
          <w:szCs w:val="24"/>
          <w:lang w:val="en-US"/>
        </w:rPr>
        <w:t xml:space="preserve"> The representative PCR bands from left to right show NC (negative control), primary, primary (heat), secondary, secondary (heat), preantral, preantral (heat), antral, antral (heat) follicles, and TSR8 template. </w:t>
      </w:r>
    </w:p>
    <w:p w:rsidR="00982DD2" w:rsidRPr="00A72B42" w:rsidRDefault="00A72B42" w:rsidP="00F67FF3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A72B42">
        <w:rPr>
          <w:rFonts w:ascii="Arial" w:hAnsi="Arial" w:cs="Arial"/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1pt;height:293.35pt">
            <v:imagedata r:id="rId9" o:title="6W"/>
          </v:shape>
        </w:pict>
      </w:r>
    </w:p>
    <w:p w:rsidR="00982DD2" w:rsidRPr="00A72B42" w:rsidRDefault="00982DD2">
      <w:pPr>
        <w:rPr>
          <w:rFonts w:ascii="Arial" w:hAnsi="Arial" w:cs="Arial"/>
          <w:sz w:val="24"/>
          <w:szCs w:val="24"/>
          <w:lang w:val="en-US"/>
        </w:rPr>
      </w:pPr>
      <w:r w:rsidRPr="00A72B42">
        <w:rPr>
          <w:rFonts w:ascii="Arial" w:hAnsi="Arial" w:cs="Arial"/>
          <w:sz w:val="24"/>
          <w:szCs w:val="24"/>
          <w:lang w:val="en-US"/>
        </w:rPr>
        <w:br w:type="page"/>
      </w:r>
    </w:p>
    <w:p w:rsidR="00982DD2" w:rsidRPr="00A72B42" w:rsidRDefault="009E428B" w:rsidP="00982DD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A72B42">
        <w:rPr>
          <w:rFonts w:ascii="Arial" w:hAnsi="Arial" w:cs="Arial"/>
          <w:b/>
          <w:sz w:val="24"/>
          <w:szCs w:val="24"/>
          <w:lang w:val="en-US"/>
        </w:rPr>
        <w:lastRenderedPageBreak/>
        <w:t>Supplemental data Figure 4.</w:t>
      </w:r>
      <w:r w:rsidRPr="00A72B42">
        <w:rPr>
          <w:rFonts w:ascii="Arial" w:hAnsi="Arial" w:cs="Arial"/>
          <w:sz w:val="24"/>
          <w:szCs w:val="24"/>
          <w:lang w:val="en-US"/>
        </w:rPr>
        <w:t xml:space="preserve"> </w:t>
      </w:r>
      <w:r w:rsidR="00982DD2" w:rsidRPr="00A72B42">
        <w:rPr>
          <w:rFonts w:ascii="Arial" w:hAnsi="Arial" w:cs="Arial"/>
          <w:sz w:val="24"/>
          <w:szCs w:val="24"/>
          <w:lang w:val="en-US"/>
        </w:rPr>
        <w:t>The telomerase activity in the ovarian follicles from primary to antral stages in the aged group. For this analysis, we used primary (n = 21), secondary (n = 46), preantral (n = 25), antral (n = 25)</w:t>
      </w:r>
      <w:r w:rsidR="00966D22" w:rsidRPr="00A72B42">
        <w:rPr>
          <w:rFonts w:ascii="Arial" w:hAnsi="Arial" w:cs="Arial"/>
          <w:sz w:val="24"/>
          <w:szCs w:val="24"/>
          <w:lang w:val="en-US"/>
        </w:rPr>
        <w:t xml:space="preserve"> from 3 aged mice</w:t>
      </w:r>
      <w:r w:rsidR="00982DD2" w:rsidRPr="00A72B42">
        <w:rPr>
          <w:rFonts w:ascii="Arial" w:hAnsi="Arial" w:cs="Arial"/>
          <w:sz w:val="24"/>
          <w:szCs w:val="24"/>
          <w:lang w:val="en-US"/>
        </w:rPr>
        <w:t>.</w:t>
      </w:r>
      <w:r w:rsidRPr="00A72B42">
        <w:rPr>
          <w:rFonts w:ascii="Arial" w:hAnsi="Arial" w:cs="Arial"/>
          <w:sz w:val="24"/>
          <w:szCs w:val="24"/>
          <w:lang w:val="en-US"/>
        </w:rPr>
        <w:t xml:space="preserve"> The representative PCR bands from left to right show NC (negative control), primary, primary (heat), secondary, secondary (heat), preantral, preantral (heat), antral, antral (heat) follicles, and TSR8 template.</w:t>
      </w:r>
    </w:p>
    <w:p w:rsidR="00982DD2" w:rsidRPr="00A72B42" w:rsidRDefault="00A72B42" w:rsidP="00F67FF3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A72B42">
        <w:rPr>
          <w:rFonts w:ascii="Arial" w:hAnsi="Arial" w:cs="Arial"/>
          <w:sz w:val="24"/>
          <w:szCs w:val="24"/>
          <w:lang w:val="en-US"/>
        </w:rPr>
        <w:pict>
          <v:shape id="_x0000_i1026" type="#_x0000_t75" style="width:390.1pt;height:293.35pt">
            <v:imagedata r:id="rId10" o:title="52W"/>
          </v:shape>
        </w:pict>
      </w:r>
      <w:bookmarkEnd w:id="0"/>
    </w:p>
    <w:sectPr w:rsidR="00982DD2" w:rsidRPr="00A72B42" w:rsidSect="009215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67D" w:rsidRDefault="00A6067D" w:rsidP="009E428B">
      <w:pPr>
        <w:spacing w:after="0" w:line="240" w:lineRule="auto"/>
      </w:pPr>
      <w:r>
        <w:separator/>
      </w:r>
    </w:p>
  </w:endnote>
  <w:endnote w:type="continuationSeparator" w:id="0">
    <w:p w:rsidR="00A6067D" w:rsidRDefault="00A6067D" w:rsidP="009E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8B" w:rsidRDefault="009E42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91181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9E428B" w:rsidRDefault="00F61E98">
        <w:pPr>
          <w:pStyle w:val="Footer"/>
          <w:jc w:val="center"/>
        </w:pPr>
        <w:r w:rsidRPr="009E428B">
          <w:rPr>
            <w:rFonts w:ascii="Arial" w:hAnsi="Arial" w:cs="Arial"/>
            <w:sz w:val="24"/>
            <w:szCs w:val="24"/>
          </w:rPr>
          <w:fldChar w:fldCharType="begin"/>
        </w:r>
        <w:r w:rsidR="009E428B" w:rsidRPr="009E428B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9E428B">
          <w:rPr>
            <w:rFonts w:ascii="Arial" w:hAnsi="Arial" w:cs="Arial"/>
            <w:sz w:val="24"/>
            <w:szCs w:val="24"/>
          </w:rPr>
          <w:fldChar w:fldCharType="separate"/>
        </w:r>
        <w:r w:rsidR="00A72B42">
          <w:rPr>
            <w:rFonts w:ascii="Arial" w:hAnsi="Arial" w:cs="Arial"/>
            <w:noProof/>
            <w:sz w:val="24"/>
            <w:szCs w:val="24"/>
          </w:rPr>
          <w:t>3</w:t>
        </w:r>
        <w:r w:rsidRPr="009E428B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9E428B" w:rsidRDefault="009E428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8B" w:rsidRDefault="009E42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67D" w:rsidRDefault="00A6067D" w:rsidP="009E428B">
      <w:pPr>
        <w:spacing w:after="0" w:line="240" w:lineRule="auto"/>
      </w:pPr>
      <w:r>
        <w:separator/>
      </w:r>
    </w:p>
  </w:footnote>
  <w:footnote w:type="continuationSeparator" w:id="0">
    <w:p w:rsidR="00A6067D" w:rsidRDefault="00A6067D" w:rsidP="009E4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8B" w:rsidRDefault="009E42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8B" w:rsidRDefault="009E428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8B" w:rsidRDefault="009E42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C4E"/>
    <w:rsid w:val="001306F3"/>
    <w:rsid w:val="00291E82"/>
    <w:rsid w:val="00372C87"/>
    <w:rsid w:val="00531714"/>
    <w:rsid w:val="00565C4E"/>
    <w:rsid w:val="006C04C6"/>
    <w:rsid w:val="00804029"/>
    <w:rsid w:val="009215E5"/>
    <w:rsid w:val="00966D22"/>
    <w:rsid w:val="00982DD2"/>
    <w:rsid w:val="009E428B"/>
    <w:rsid w:val="00A6067D"/>
    <w:rsid w:val="00A72B42"/>
    <w:rsid w:val="00B42AE7"/>
    <w:rsid w:val="00BB75AF"/>
    <w:rsid w:val="00BD343B"/>
    <w:rsid w:val="00BE36F3"/>
    <w:rsid w:val="00BF1501"/>
    <w:rsid w:val="00BF3C38"/>
    <w:rsid w:val="00C1570B"/>
    <w:rsid w:val="00C61E99"/>
    <w:rsid w:val="00CD3DEB"/>
    <w:rsid w:val="00CE5FB2"/>
    <w:rsid w:val="00EC0A3F"/>
    <w:rsid w:val="00F03F1C"/>
    <w:rsid w:val="00F61E98"/>
    <w:rsid w:val="00F67FF3"/>
    <w:rsid w:val="00FB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501D1BB1-ECEB-4719-9574-5A57EE76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5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E4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428B"/>
  </w:style>
  <w:style w:type="paragraph" w:styleId="Footer">
    <w:name w:val="footer"/>
    <w:basedOn w:val="Normal"/>
    <w:link w:val="FooterChar"/>
    <w:uiPriority w:val="99"/>
    <w:unhideWhenUsed/>
    <w:rsid w:val="009E4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28B"/>
  </w:style>
  <w:style w:type="paragraph" w:styleId="BalloonText">
    <w:name w:val="Balloon Text"/>
    <w:basedOn w:val="Normal"/>
    <w:link w:val="BalloonTextChar"/>
    <w:uiPriority w:val="99"/>
    <w:semiHidden/>
    <w:unhideWhenUsed/>
    <w:rsid w:val="00B4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A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40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114A6-7D6A-45D1-BF7D-C5DC80782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Gözde Köşebent</dc:creator>
  <cp:lastModifiedBy>Divya Abirami S.</cp:lastModifiedBy>
  <cp:revision>8</cp:revision>
  <dcterms:created xsi:type="dcterms:W3CDTF">2020-06-26T09:12:00Z</dcterms:created>
  <dcterms:modified xsi:type="dcterms:W3CDTF">2021-07-23T12:21:00Z</dcterms:modified>
</cp:coreProperties>
</file>