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41FE4E" w14:textId="03B624E7" w:rsidR="0072039B" w:rsidRDefault="0072039B" w:rsidP="0072039B">
      <w:pPr>
        <w:pStyle w:val="NoSpacing"/>
        <w:spacing w:line="480" w:lineRule="auto"/>
        <w:jc w:val="both"/>
        <w:rPr>
          <w:rStyle w:val="NoSpacingChar"/>
          <w:rFonts w:ascii="Arial" w:eastAsiaTheme="minorEastAsia" w:hAnsi="Arial" w:cs="Arial"/>
          <w:b/>
          <w:bCs/>
          <w:sz w:val="20"/>
          <w:szCs w:val="20"/>
        </w:rPr>
      </w:pPr>
      <w:r w:rsidRPr="00DF2DE4">
        <w:rPr>
          <w:rStyle w:val="NoSpacingChar"/>
          <w:rFonts w:ascii="Arial" w:eastAsiaTheme="minorEastAsia" w:hAnsi="Arial" w:cs="Arial"/>
          <w:b/>
          <w:bCs/>
          <w:sz w:val="20"/>
          <w:szCs w:val="20"/>
        </w:rPr>
        <w:t xml:space="preserve">Supplementary data </w:t>
      </w:r>
    </w:p>
    <w:p w14:paraId="7FC5FBDB" w14:textId="77777777" w:rsidR="0072039B" w:rsidRPr="00DF2DE4" w:rsidRDefault="0072039B" w:rsidP="0072039B">
      <w:pPr>
        <w:pStyle w:val="NoSpacing"/>
        <w:spacing w:line="480" w:lineRule="auto"/>
        <w:jc w:val="both"/>
        <w:rPr>
          <w:rStyle w:val="NoSpacingChar"/>
          <w:rFonts w:ascii="Arial" w:eastAsiaTheme="minorEastAsia" w:hAnsi="Arial" w:cs="Arial"/>
          <w:b/>
          <w:bCs/>
          <w:sz w:val="20"/>
          <w:szCs w:val="20"/>
        </w:rPr>
      </w:pPr>
    </w:p>
    <w:p w14:paraId="695BF4C5" w14:textId="77777777" w:rsidR="0072039B" w:rsidRDefault="0072039B" w:rsidP="0072039B">
      <w:pPr>
        <w:pStyle w:val="NoSpacing"/>
        <w:spacing w:line="48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Supplementary </w:t>
      </w:r>
      <w:r w:rsidRPr="00427533">
        <w:rPr>
          <w:rFonts w:ascii="Arial" w:hAnsi="Arial" w:cs="Arial"/>
          <w:b/>
          <w:sz w:val="20"/>
          <w:szCs w:val="20"/>
        </w:rPr>
        <w:t>Figure</w:t>
      </w:r>
      <w:r>
        <w:rPr>
          <w:rFonts w:ascii="Arial" w:hAnsi="Arial" w:cs="Arial"/>
          <w:b/>
          <w:sz w:val="20"/>
          <w:szCs w:val="20"/>
        </w:rPr>
        <w:t xml:space="preserve"> S1: </w:t>
      </w:r>
    </w:p>
    <w:p w14:paraId="07CA1F48" w14:textId="77777777" w:rsidR="0072039B" w:rsidRDefault="0072039B" w:rsidP="0072039B">
      <w:pPr>
        <w:pStyle w:val="NoSpacing"/>
        <w:spacing w:line="480" w:lineRule="auto"/>
        <w:jc w:val="both"/>
        <w:rPr>
          <w:rFonts w:ascii="Arial" w:hAnsi="Arial" w:cs="Arial"/>
          <w:b/>
          <w:sz w:val="20"/>
          <w:szCs w:val="20"/>
        </w:rPr>
      </w:pPr>
      <w:r w:rsidRPr="00427533">
        <w:rPr>
          <w:rFonts w:ascii="Arial" w:hAnsi="Arial" w:cs="Arial"/>
          <w:b/>
          <w:sz w:val="20"/>
          <w:szCs w:val="20"/>
        </w:rPr>
        <w:t xml:space="preserve">Kaplan-Meier curves for rejection-free survival of kidney allografts </w:t>
      </w:r>
      <w:r>
        <w:rPr>
          <w:rFonts w:ascii="Arial" w:hAnsi="Arial" w:cs="Arial"/>
          <w:b/>
          <w:sz w:val="20"/>
          <w:szCs w:val="20"/>
        </w:rPr>
        <w:t xml:space="preserve">transplanted </w:t>
      </w:r>
      <w:r w:rsidRPr="00DE3127">
        <w:rPr>
          <w:rFonts w:ascii="Arial" w:hAnsi="Arial" w:cs="Arial"/>
          <w:b/>
          <w:sz w:val="20"/>
          <w:szCs w:val="20"/>
        </w:rPr>
        <w:t xml:space="preserve">in the 1990s </w:t>
      </w:r>
      <w:r>
        <w:rPr>
          <w:rFonts w:ascii="Arial" w:hAnsi="Arial" w:cs="Arial"/>
          <w:b/>
          <w:sz w:val="20"/>
          <w:szCs w:val="20"/>
        </w:rPr>
        <w:t>and in</w:t>
      </w:r>
      <w:r w:rsidRPr="00DE3127">
        <w:rPr>
          <w:rFonts w:ascii="Arial" w:hAnsi="Arial" w:cs="Arial"/>
          <w:b/>
          <w:sz w:val="20"/>
          <w:szCs w:val="20"/>
        </w:rPr>
        <w:t xml:space="preserve"> the 2000s</w:t>
      </w:r>
      <w:r w:rsidRPr="00427533">
        <w:rPr>
          <w:rFonts w:ascii="Arial" w:hAnsi="Arial" w:cs="Arial"/>
          <w:b/>
          <w:sz w:val="20"/>
          <w:szCs w:val="20"/>
        </w:rPr>
        <w:t xml:space="preserve"> according to the interleukin-6</w:t>
      </w:r>
      <w:r>
        <w:rPr>
          <w:rFonts w:ascii="Arial" w:hAnsi="Arial" w:cs="Arial"/>
          <w:b/>
          <w:sz w:val="20"/>
          <w:szCs w:val="20"/>
        </w:rPr>
        <w:t xml:space="preserve"> receptor polymorphism.</w:t>
      </w:r>
    </w:p>
    <w:p w14:paraId="701ECE57" w14:textId="77777777" w:rsidR="0072039B" w:rsidRDefault="0072039B" w:rsidP="0072039B">
      <w:pPr>
        <w:pStyle w:val="NoSpacing"/>
        <w:spacing w:line="48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val="en-IN" w:eastAsia="en-IN"/>
        </w:rPr>
        <w:drawing>
          <wp:inline distT="0" distB="0" distL="0" distR="0" wp14:anchorId="13CD6711" wp14:editId="49F7ABB3">
            <wp:extent cx="4047892" cy="5423013"/>
            <wp:effectExtent l="0" t="0" r="3810" b="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fbeelding 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50883" cy="542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EE0DB" w14:textId="77777777" w:rsidR="0072039B" w:rsidRPr="008714DB" w:rsidRDefault="0072039B" w:rsidP="0072039B">
      <w:pPr>
        <w:pStyle w:val="NoSpacing"/>
        <w:spacing w:line="480" w:lineRule="auto"/>
        <w:jc w:val="both"/>
        <w:rPr>
          <w:rFonts w:ascii="Arial" w:hAnsi="Arial" w:cs="Arial"/>
          <w:bCs/>
          <w:i/>
          <w:iCs/>
          <w:color w:val="404040" w:themeColor="text1" w:themeTint="BF"/>
          <w:sz w:val="20"/>
          <w:szCs w:val="20"/>
        </w:rPr>
      </w:pPr>
      <w:r w:rsidRPr="008714DB">
        <w:rPr>
          <w:rFonts w:ascii="Arial" w:hAnsi="Arial" w:cs="Arial"/>
          <w:bCs/>
          <w:color w:val="404040" w:themeColor="text1" w:themeTint="BF"/>
          <w:sz w:val="20"/>
          <w:szCs w:val="20"/>
        </w:rPr>
        <w:t xml:space="preserve">Cumulative rejection-free survival of renal allografts according to the presence of the </w:t>
      </w:r>
      <w:r w:rsidRPr="002D736D">
        <w:rPr>
          <w:rFonts w:ascii="Arial" w:hAnsi="Arial" w:cs="Arial"/>
          <w:bCs/>
          <w:color w:val="404040" w:themeColor="text1" w:themeTint="BF"/>
          <w:sz w:val="20"/>
          <w:szCs w:val="20"/>
        </w:rPr>
        <w:t>IL-6 receptor polymorphism</w:t>
      </w:r>
      <w:r w:rsidRPr="002D736D">
        <w:rPr>
          <w:rFonts w:ascii="Arial" w:hAnsi="Arial" w:cs="Arial"/>
          <w:bCs/>
          <w:i/>
          <w:iCs/>
          <w:color w:val="404040" w:themeColor="text1" w:themeTint="BF"/>
          <w:sz w:val="20"/>
          <w:szCs w:val="20"/>
        </w:rPr>
        <w:t xml:space="preserve"> </w:t>
      </w:r>
      <w:r w:rsidRPr="001D07CC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>(IL6R, rs2228145 A&gt;C, previously rs8192284</w:t>
      </w:r>
      <w:r w:rsidRPr="001D07CC">
        <w:rPr>
          <w:rFonts w:ascii="Arial" w:hAnsi="Arial" w:cs="Arial"/>
          <w:bCs/>
          <w:i/>
          <w:iCs/>
          <w:color w:val="404040" w:themeColor="text1" w:themeTint="BF"/>
          <w:sz w:val="20"/>
          <w:szCs w:val="20"/>
        </w:rPr>
        <w:t>)</w:t>
      </w:r>
      <w:r w:rsidRPr="004A3EA1">
        <w:rPr>
          <w:rFonts w:ascii="Arial" w:hAnsi="Arial" w:cs="Arial"/>
          <w:sz w:val="20"/>
          <w:szCs w:val="20"/>
        </w:rPr>
        <w:t xml:space="preserve"> </w:t>
      </w:r>
      <w:r w:rsidRPr="00360F90">
        <w:rPr>
          <w:rFonts w:ascii="Arial" w:hAnsi="Arial" w:cs="Arial"/>
          <w:sz w:val="20"/>
          <w:szCs w:val="20"/>
        </w:rPr>
        <w:t xml:space="preserve">in the donor for patients transplanted in the </w:t>
      </w:r>
      <w:r>
        <w:rPr>
          <w:rFonts w:ascii="Arial" w:hAnsi="Arial" w:cs="Arial"/>
          <w:sz w:val="20"/>
          <w:szCs w:val="20"/>
        </w:rPr>
        <w:t xml:space="preserve">(A) </w:t>
      </w:r>
      <w:r w:rsidRPr="00360F90">
        <w:rPr>
          <w:rFonts w:ascii="Arial" w:hAnsi="Arial" w:cs="Arial"/>
          <w:sz w:val="20"/>
          <w:szCs w:val="20"/>
        </w:rPr>
        <w:t xml:space="preserve">1990s and </w:t>
      </w:r>
      <w:r>
        <w:rPr>
          <w:rFonts w:ascii="Arial" w:hAnsi="Arial" w:cs="Arial"/>
          <w:sz w:val="20"/>
          <w:szCs w:val="20"/>
        </w:rPr>
        <w:t xml:space="preserve">in the (B) </w:t>
      </w:r>
      <w:r w:rsidRPr="00360F90">
        <w:rPr>
          <w:rFonts w:ascii="Arial" w:hAnsi="Arial" w:cs="Arial"/>
          <w:sz w:val="20"/>
          <w:szCs w:val="20"/>
        </w:rPr>
        <w:t xml:space="preserve">2000s. </w:t>
      </w:r>
      <w:r w:rsidRPr="008714DB">
        <w:rPr>
          <w:rFonts w:ascii="Arial" w:hAnsi="Arial" w:cs="Arial"/>
          <w:bCs/>
          <w:color w:val="404040" w:themeColor="text1" w:themeTint="BF"/>
          <w:sz w:val="20"/>
          <w:szCs w:val="20"/>
        </w:rPr>
        <w:t>Log-rank test was used to compare the incidence of biopsy-proven rejection between the groups.</w:t>
      </w:r>
    </w:p>
    <w:p w14:paraId="49651823" w14:textId="77777777" w:rsidR="0072039B" w:rsidRDefault="0072039B" w:rsidP="0072039B">
      <w:pPr>
        <w:pStyle w:val="NoSpacing"/>
        <w:spacing w:line="48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column"/>
      </w:r>
      <w:r>
        <w:rPr>
          <w:rFonts w:ascii="Arial" w:hAnsi="Arial" w:cs="Arial"/>
          <w:b/>
          <w:sz w:val="20"/>
          <w:szCs w:val="20"/>
        </w:rPr>
        <w:lastRenderedPageBreak/>
        <w:t xml:space="preserve">Supplementary </w:t>
      </w:r>
      <w:r w:rsidRPr="00427533">
        <w:rPr>
          <w:rFonts w:ascii="Arial" w:hAnsi="Arial" w:cs="Arial"/>
          <w:b/>
          <w:sz w:val="20"/>
          <w:szCs w:val="20"/>
        </w:rPr>
        <w:t>Figure</w:t>
      </w:r>
      <w:r>
        <w:rPr>
          <w:rFonts w:ascii="Arial" w:hAnsi="Arial" w:cs="Arial"/>
          <w:b/>
          <w:sz w:val="20"/>
          <w:szCs w:val="20"/>
        </w:rPr>
        <w:t xml:space="preserve"> S2: </w:t>
      </w:r>
      <w:r w:rsidRPr="00427533">
        <w:rPr>
          <w:rFonts w:ascii="Arial" w:hAnsi="Arial" w:cs="Arial"/>
          <w:b/>
          <w:sz w:val="20"/>
          <w:szCs w:val="20"/>
        </w:rPr>
        <w:t xml:space="preserve">Kaplan-Meier curves for rejection-free survival of kidney allografts according to </w:t>
      </w:r>
      <w:r>
        <w:rPr>
          <w:rFonts w:ascii="Arial" w:hAnsi="Arial" w:cs="Arial"/>
          <w:b/>
          <w:sz w:val="20"/>
          <w:szCs w:val="20"/>
        </w:rPr>
        <w:t>d</w:t>
      </w:r>
      <w:r w:rsidRPr="00DF2DE4">
        <w:rPr>
          <w:rFonts w:ascii="Arial" w:hAnsi="Arial" w:cs="Arial"/>
          <w:b/>
          <w:sz w:val="20"/>
          <w:szCs w:val="20"/>
        </w:rPr>
        <w:t>onor-recipient mismatch</w:t>
      </w:r>
      <w:r>
        <w:rPr>
          <w:rFonts w:ascii="Arial" w:hAnsi="Arial" w:cs="Arial"/>
          <w:b/>
          <w:sz w:val="20"/>
          <w:szCs w:val="20"/>
        </w:rPr>
        <w:t>es</w:t>
      </w:r>
      <w:r w:rsidRPr="00DF2DE4">
        <w:rPr>
          <w:rFonts w:ascii="Arial" w:hAnsi="Arial" w:cs="Arial"/>
          <w:b/>
          <w:sz w:val="20"/>
          <w:szCs w:val="20"/>
        </w:rPr>
        <w:t xml:space="preserve"> for </w:t>
      </w:r>
      <w:r w:rsidRPr="00427533">
        <w:rPr>
          <w:rFonts w:ascii="Arial" w:hAnsi="Arial" w:cs="Arial"/>
          <w:b/>
          <w:sz w:val="20"/>
          <w:szCs w:val="20"/>
        </w:rPr>
        <w:t xml:space="preserve">the interleukin-6 </w:t>
      </w:r>
      <w:r>
        <w:rPr>
          <w:rFonts w:ascii="Arial" w:hAnsi="Arial" w:cs="Arial"/>
          <w:b/>
          <w:sz w:val="20"/>
          <w:szCs w:val="20"/>
        </w:rPr>
        <w:t xml:space="preserve">and </w:t>
      </w:r>
      <w:r w:rsidRPr="00427533">
        <w:rPr>
          <w:rFonts w:ascii="Arial" w:hAnsi="Arial" w:cs="Arial"/>
          <w:b/>
          <w:sz w:val="20"/>
          <w:szCs w:val="20"/>
        </w:rPr>
        <w:t xml:space="preserve">interleukin-6 </w:t>
      </w:r>
      <w:r>
        <w:rPr>
          <w:rFonts w:ascii="Arial" w:hAnsi="Arial" w:cs="Arial"/>
          <w:b/>
          <w:sz w:val="20"/>
          <w:szCs w:val="20"/>
        </w:rPr>
        <w:t>receptor polymorphism.</w:t>
      </w:r>
    </w:p>
    <w:p w14:paraId="465BC3BE" w14:textId="77777777" w:rsidR="0072039B" w:rsidRDefault="0072039B" w:rsidP="0072039B">
      <w:pPr>
        <w:pStyle w:val="NoSpacing"/>
        <w:spacing w:line="48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val="en-IN" w:eastAsia="en-IN"/>
        </w:rPr>
        <w:drawing>
          <wp:inline distT="0" distB="0" distL="0" distR="0" wp14:anchorId="3D82D888" wp14:editId="5FB99F76">
            <wp:extent cx="5756275" cy="5273040"/>
            <wp:effectExtent l="0" t="0" r="0" b="0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fbeelding 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6275" cy="527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D7A2B" w14:textId="71240F21" w:rsidR="007F1021" w:rsidRPr="00830B8A" w:rsidRDefault="0072039B" w:rsidP="00830B8A">
      <w:pPr>
        <w:pStyle w:val="NoSpacing"/>
        <w:spacing w:line="480" w:lineRule="auto"/>
        <w:jc w:val="both"/>
        <w:rPr>
          <w:rFonts w:ascii="Arial" w:hAnsi="Arial" w:cs="Arial"/>
          <w:bCs/>
          <w:i/>
          <w:iCs/>
          <w:color w:val="404040" w:themeColor="text1" w:themeTint="BF"/>
          <w:sz w:val="20"/>
          <w:szCs w:val="20"/>
        </w:rPr>
      </w:pPr>
      <w:r w:rsidRPr="002D736D">
        <w:rPr>
          <w:rFonts w:ascii="Arial" w:hAnsi="Arial" w:cs="Arial"/>
          <w:sz w:val="20"/>
          <w:szCs w:val="20"/>
        </w:rPr>
        <w:t>To assess whether donor-recipient mismat</w:t>
      </w:r>
      <w:bookmarkStart w:id="0" w:name="_GoBack"/>
      <w:bookmarkEnd w:id="0"/>
      <w:r w:rsidRPr="002D736D">
        <w:rPr>
          <w:rFonts w:ascii="Arial" w:hAnsi="Arial" w:cs="Arial"/>
          <w:sz w:val="20"/>
          <w:szCs w:val="20"/>
        </w:rPr>
        <w:t>ch</w:t>
      </w:r>
      <w:r>
        <w:rPr>
          <w:rFonts w:ascii="Arial" w:hAnsi="Arial" w:cs="Arial"/>
          <w:sz w:val="20"/>
          <w:szCs w:val="20"/>
        </w:rPr>
        <w:t>es</w:t>
      </w:r>
      <w:r w:rsidRPr="002D736D">
        <w:rPr>
          <w:rFonts w:ascii="Arial" w:hAnsi="Arial" w:cs="Arial"/>
          <w:sz w:val="20"/>
          <w:szCs w:val="20"/>
        </w:rPr>
        <w:t xml:space="preserve"> for</w:t>
      </w:r>
      <w:r w:rsidRPr="007A3382">
        <w:t xml:space="preserve"> </w:t>
      </w:r>
      <w:r w:rsidRPr="007A3382">
        <w:rPr>
          <w:rFonts w:ascii="Arial" w:hAnsi="Arial" w:cs="Arial"/>
          <w:sz w:val="20"/>
          <w:szCs w:val="20"/>
        </w:rPr>
        <w:t>common polymorphisms</w:t>
      </w:r>
      <w:r>
        <w:rPr>
          <w:rFonts w:ascii="Arial" w:hAnsi="Arial" w:cs="Arial"/>
          <w:sz w:val="20"/>
          <w:szCs w:val="20"/>
        </w:rPr>
        <w:t xml:space="preserve"> </w:t>
      </w:r>
      <w:r w:rsidRPr="00456ED2">
        <w:rPr>
          <w:rFonts w:ascii="Arial" w:hAnsi="Arial" w:cs="Arial"/>
          <w:sz w:val="20"/>
          <w:szCs w:val="20"/>
        </w:rPr>
        <w:t>increase</w:t>
      </w:r>
      <w:r>
        <w:rPr>
          <w:rFonts w:ascii="Arial" w:hAnsi="Arial" w:cs="Arial"/>
          <w:sz w:val="20"/>
          <w:szCs w:val="20"/>
        </w:rPr>
        <w:t xml:space="preserve"> the</w:t>
      </w:r>
      <w:r w:rsidRPr="00456ED2">
        <w:rPr>
          <w:rFonts w:ascii="Arial" w:hAnsi="Arial" w:cs="Arial"/>
          <w:sz w:val="20"/>
          <w:szCs w:val="20"/>
        </w:rPr>
        <w:t xml:space="preserve"> risk f</w:t>
      </w:r>
      <w:r>
        <w:rPr>
          <w:rFonts w:ascii="Arial" w:hAnsi="Arial" w:cs="Arial"/>
          <w:sz w:val="20"/>
          <w:szCs w:val="20"/>
        </w:rPr>
        <w:t xml:space="preserve">or </w:t>
      </w:r>
      <w:r w:rsidRPr="00427533">
        <w:rPr>
          <w:rFonts w:ascii="Arial" w:hAnsi="Arial" w:cs="Arial"/>
          <w:sz w:val="20"/>
          <w:szCs w:val="20"/>
        </w:rPr>
        <w:t>biopsy-proven rejection</w:t>
      </w:r>
      <w:r w:rsidRPr="007C198D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kidney</w:t>
      </w:r>
      <w:r w:rsidRPr="00994A1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transplant </w:t>
      </w:r>
      <w:r w:rsidRPr="00994A14">
        <w:rPr>
          <w:rFonts w:ascii="Arial" w:hAnsi="Arial" w:cs="Arial"/>
          <w:sz w:val="20"/>
          <w:szCs w:val="20"/>
        </w:rPr>
        <w:t xml:space="preserve">pairs were divided into four groups according to the presence of the </w:t>
      </w:r>
      <w:r>
        <w:rPr>
          <w:rFonts w:ascii="Arial" w:hAnsi="Arial" w:cs="Arial"/>
          <w:sz w:val="20"/>
          <w:szCs w:val="20"/>
        </w:rPr>
        <w:t xml:space="preserve">minor </w:t>
      </w:r>
      <w:r w:rsidRPr="00994A14">
        <w:rPr>
          <w:rFonts w:ascii="Arial" w:hAnsi="Arial" w:cs="Arial"/>
          <w:sz w:val="20"/>
          <w:szCs w:val="20"/>
        </w:rPr>
        <w:t>allele in the donor and recipient.</w:t>
      </w:r>
      <w:r>
        <w:rPr>
          <w:rFonts w:ascii="Arial" w:hAnsi="Arial" w:cs="Arial"/>
          <w:sz w:val="20"/>
          <w:szCs w:val="20"/>
        </w:rPr>
        <w:t xml:space="preserve"> </w:t>
      </w:r>
      <w:r w:rsidRPr="008714DB">
        <w:rPr>
          <w:rFonts w:ascii="Arial" w:hAnsi="Arial" w:cs="Arial"/>
          <w:bCs/>
          <w:color w:val="404040" w:themeColor="text1" w:themeTint="BF"/>
          <w:sz w:val="20"/>
          <w:szCs w:val="20"/>
        </w:rPr>
        <w:t>Cumulative rejection-free survival of renal allografts according to the presence of (A</w:t>
      </w:r>
      <w:r>
        <w:rPr>
          <w:rFonts w:ascii="Arial" w:hAnsi="Arial" w:cs="Arial"/>
          <w:bCs/>
          <w:color w:val="404040" w:themeColor="text1" w:themeTint="BF"/>
          <w:sz w:val="20"/>
          <w:szCs w:val="20"/>
        </w:rPr>
        <w:t>)</w:t>
      </w:r>
      <w:r w:rsidRPr="002D736D">
        <w:rPr>
          <w:rFonts w:ascii="Arial" w:hAnsi="Arial" w:cs="Arial"/>
          <w:sz w:val="20"/>
          <w:szCs w:val="20"/>
        </w:rPr>
        <w:t xml:space="preserve"> </w:t>
      </w:r>
      <w:r w:rsidRPr="008714DB">
        <w:rPr>
          <w:rFonts w:ascii="Arial" w:hAnsi="Arial" w:cs="Arial"/>
          <w:bCs/>
          <w:color w:val="404040" w:themeColor="text1" w:themeTint="BF"/>
          <w:sz w:val="20"/>
          <w:szCs w:val="20"/>
        </w:rPr>
        <w:t xml:space="preserve">the </w:t>
      </w:r>
      <w:r w:rsidRPr="002D736D">
        <w:rPr>
          <w:rFonts w:ascii="Arial" w:hAnsi="Arial" w:cs="Arial"/>
          <w:bCs/>
          <w:color w:val="404040" w:themeColor="text1" w:themeTint="BF"/>
          <w:sz w:val="20"/>
          <w:szCs w:val="20"/>
        </w:rPr>
        <w:t>IL-6 receptor polymorphism</w:t>
      </w:r>
      <w:r w:rsidRPr="002D736D">
        <w:rPr>
          <w:rFonts w:ascii="Arial" w:hAnsi="Arial" w:cs="Arial"/>
          <w:bCs/>
          <w:i/>
          <w:iCs/>
          <w:color w:val="404040" w:themeColor="text1" w:themeTint="BF"/>
          <w:sz w:val="20"/>
          <w:szCs w:val="20"/>
        </w:rPr>
        <w:t xml:space="preserve"> </w:t>
      </w:r>
      <w:r w:rsidRPr="001D07CC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>(IL6R, rs2228145 A&gt;C, previously rs8192284</w:t>
      </w:r>
      <w:r w:rsidRPr="001D07CC">
        <w:rPr>
          <w:rFonts w:ascii="Arial" w:hAnsi="Arial" w:cs="Arial"/>
          <w:bCs/>
          <w:i/>
          <w:iCs/>
          <w:color w:val="404040" w:themeColor="text1" w:themeTint="BF"/>
          <w:sz w:val="20"/>
          <w:szCs w:val="20"/>
        </w:rPr>
        <w:t>)</w:t>
      </w:r>
      <w:r w:rsidRPr="004A3EA1">
        <w:rPr>
          <w:rFonts w:ascii="Arial" w:hAnsi="Arial" w:cs="Arial"/>
          <w:sz w:val="20"/>
          <w:szCs w:val="20"/>
        </w:rPr>
        <w:t xml:space="preserve"> and </w:t>
      </w:r>
      <w:r>
        <w:rPr>
          <w:rFonts w:ascii="Arial" w:hAnsi="Arial" w:cs="Arial"/>
          <w:sz w:val="20"/>
          <w:szCs w:val="20"/>
        </w:rPr>
        <w:t xml:space="preserve">(B) </w:t>
      </w:r>
      <w:r w:rsidRPr="002D736D">
        <w:rPr>
          <w:rFonts w:ascii="Arial" w:hAnsi="Arial" w:cs="Arial"/>
          <w:bCs/>
          <w:color w:val="404040" w:themeColor="text1" w:themeTint="BF"/>
          <w:sz w:val="20"/>
          <w:szCs w:val="20"/>
        </w:rPr>
        <w:t>the interleukin-6 polymorphism (</w:t>
      </w:r>
      <w:r w:rsidRPr="008714DB">
        <w:rPr>
          <w:rFonts w:ascii="Arial" w:hAnsi="Arial" w:cs="Arial"/>
          <w:bCs/>
          <w:i/>
          <w:iCs/>
          <w:color w:val="404040" w:themeColor="text1" w:themeTint="BF"/>
          <w:sz w:val="20"/>
          <w:szCs w:val="20"/>
        </w:rPr>
        <w:t>IL6</w:t>
      </w:r>
      <w:r>
        <w:rPr>
          <w:rFonts w:ascii="Arial" w:hAnsi="Arial" w:cs="Arial"/>
          <w:bCs/>
          <w:i/>
          <w:iCs/>
          <w:color w:val="404040" w:themeColor="text1" w:themeTint="BF"/>
          <w:sz w:val="20"/>
          <w:szCs w:val="20"/>
        </w:rPr>
        <w:t xml:space="preserve">, </w:t>
      </w:r>
      <w:r w:rsidRPr="001D07CC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>rs1800795 G&gt;C)</w:t>
      </w:r>
      <w:r>
        <w:rPr>
          <w:rFonts w:ascii="Arial" w:hAnsi="Arial" w:cs="Arial"/>
          <w:sz w:val="20"/>
          <w:szCs w:val="20"/>
        </w:rPr>
        <w:t xml:space="preserve"> </w:t>
      </w:r>
      <w:r w:rsidRPr="008714DB">
        <w:rPr>
          <w:rFonts w:ascii="Arial" w:hAnsi="Arial" w:cs="Arial"/>
          <w:bCs/>
          <w:color w:val="404040" w:themeColor="text1" w:themeTint="BF"/>
          <w:sz w:val="20"/>
          <w:szCs w:val="20"/>
        </w:rPr>
        <w:t>in donor</w:t>
      </w:r>
      <w:r>
        <w:rPr>
          <w:rFonts w:ascii="Arial" w:hAnsi="Arial" w:cs="Arial"/>
          <w:bCs/>
          <w:color w:val="404040" w:themeColor="text1" w:themeTint="BF"/>
          <w:sz w:val="20"/>
          <w:szCs w:val="20"/>
        </w:rPr>
        <w:t>-</w:t>
      </w:r>
      <w:r w:rsidRPr="008714DB">
        <w:rPr>
          <w:rFonts w:ascii="Arial" w:hAnsi="Arial" w:cs="Arial"/>
          <w:bCs/>
          <w:color w:val="404040" w:themeColor="text1" w:themeTint="BF"/>
          <w:sz w:val="20"/>
          <w:szCs w:val="20"/>
        </w:rPr>
        <w:t>recipient</w:t>
      </w:r>
      <w:r>
        <w:rPr>
          <w:rFonts w:ascii="Arial" w:hAnsi="Arial" w:cs="Arial"/>
          <w:bCs/>
          <w:color w:val="404040" w:themeColor="text1" w:themeTint="BF"/>
          <w:sz w:val="20"/>
          <w:szCs w:val="20"/>
        </w:rPr>
        <w:t xml:space="preserve"> pairs</w:t>
      </w:r>
      <w:r w:rsidRPr="008714DB">
        <w:rPr>
          <w:rFonts w:ascii="Arial" w:hAnsi="Arial" w:cs="Arial"/>
          <w:bCs/>
          <w:color w:val="404040" w:themeColor="text1" w:themeTint="BF"/>
          <w:sz w:val="20"/>
          <w:szCs w:val="20"/>
        </w:rPr>
        <w:t>. Log-rank test was used to compare the incidence of biopsy-proven rejection between the groups.</w:t>
      </w:r>
    </w:p>
    <w:sectPr w:rsidR="007F1021" w:rsidRPr="00830B8A" w:rsidSect="005E39CF">
      <w:footerReference w:type="default" r:id="rId8"/>
      <w:pgSz w:w="11901" w:h="16817"/>
      <w:pgMar w:top="872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C21D65" w14:textId="77777777" w:rsidR="00E317EA" w:rsidRDefault="00E317EA">
      <w:r>
        <w:separator/>
      </w:r>
    </w:p>
  </w:endnote>
  <w:endnote w:type="continuationSeparator" w:id="0">
    <w:p w14:paraId="20B0CDA7" w14:textId="77777777" w:rsidR="00E317EA" w:rsidRDefault="00E31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276BB3" w14:textId="77777777" w:rsidR="00423132" w:rsidRPr="00FA7DCC" w:rsidRDefault="0072039B" w:rsidP="00FA7DCC">
    <w:pPr>
      <w:pStyle w:val="Footer"/>
      <w:jc w:val="center"/>
      <w:rPr>
        <w:rFonts w:ascii="Arial" w:hAnsi="Arial" w:cs="Arial"/>
        <w:sz w:val="20"/>
        <w:szCs w:val="20"/>
      </w:rPr>
    </w:pPr>
    <w:r w:rsidRPr="00D15BCF">
      <w:rPr>
        <w:rFonts w:ascii="Arial" w:hAnsi="Arial" w:cs="Arial"/>
        <w:sz w:val="20"/>
        <w:szCs w:val="20"/>
      </w:rPr>
      <w:t xml:space="preserve">Page </w:t>
    </w:r>
    <w:r w:rsidRPr="00D15BCF">
      <w:rPr>
        <w:rFonts w:ascii="Arial" w:hAnsi="Arial" w:cs="Arial"/>
        <w:bCs/>
        <w:sz w:val="20"/>
        <w:szCs w:val="20"/>
      </w:rPr>
      <w:fldChar w:fldCharType="begin"/>
    </w:r>
    <w:r w:rsidRPr="00D15BCF">
      <w:rPr>
        <w:rFonts w:ascii="Arial" w:hAnsi="Arial" w:cs="Arial"/>
        <w:bCs/>
        <w:sz w:val="20"/>
        <w:szCs w:val="20"/>
      </w:rPr>
      <w:instrText xml:space="preserve"> PAGE </w:instrText>
    </w:r>
    <w:r w:rsidRPr="00D15BCF">
      <w:rPr>
        <w:rFonts w:ascii="Arial" w:hAnsi="Arial" w:cs="Arial"/>
        <w:bCs/>
        <w:sz w:val="20"/>
        <w:szCs w:val="20"/>
      </w:rPr>
      <w:fldChar w:fldCharType="separate"/>
    </w:r>
    <w:r w:rsidR="005E39CF">
      <w:rPr>
        <w:rFonts w:ascii="Arial" w:hAnsi="Arial" w:cs="Arial"/>
        <w:bCs/>
        <w:noProof/>
        <w:sz w:val="20"/>
        <w:szCs w:val="20"/>
      </w:rPr>
      <w:t>2</w:t>
    </w:r>
    <w:r w:rsidRPr="00D15BCF">
      <w:rPr>
        <w:rFonts w:ascii="Arial" w:hAnsi="Arial" w:cs="Arial"/>
        <w:bCs/>
        <w:sz w:val="20"/>
        <w:szCs w:val="20"/>
      </w:rPr>
      <w:fldChar w:fldCharType="end"/>
    </w:r>
    <w:r w:rsidRPr="00D15BCF">
      <w:rPr>
        <w:rFonts w:ascii="Arial" w:hAnsi="Arial" w:cs="Arial"/>
        <w:sz w:val="20"/>
        <w:szCs w:val="20"/>
      </w:rPr>
      <w:t xml:space="preserve"> of </w:t>
    </w:r>
    <w:r w:rsidRPr="00D15BCF">
      <w:rPr>
        <w:rFonts w:ascii="Arial" w:hAnsi="Arial" w:cs="Arial"/>
        <w:bCs/>
        <w:sz w:val="20"/>
        <w:szCs w:val="20"/>
      </w:rPr>
      <w:fldChar w:fldCharType="begin"/>
    </w:r>
    <w:r w:rsidRPr="00D15BCF">
      <w:rPr>
        <w:rFonts w:ascii="Arial" w:hAnsi="Arial" w:cs="Arial"/>
        <w:bCs/>
        <w:sz w:val="20"/>
        <w:szCs w:val="20"/>
      </w:rPr>
      <w:instrText xml:space="preserve"> NUMPAGES  </w:instrText>
    </w:r>
    <w:r w:rsidRPr="00D15BCF">
      <w:rPr>
        <w:rFonts w:ascii="Arial" w:hAnsi="Arial" w:cs="Arial"/>
        <w:bCs/>
        <w:sz w:val="20"/>
        <w:szCs w:val="20"/>
      </w:rPr>
      <w:fldChar w:fldCharType="separate"/>
    </w:r>
    <w:r w:rsidR="005E39CF">
      <w:rPr>
        <w:rFonts w:ascii="Arial" w:hAnsi="Arial" w:cs="Arial"/>
        <w:bCs/>
        <w:noProof/>
        <w:sz w:val="20"/>
        <w:szCs w:val="20"/>
      </w:rPr>
      <w:t>2</w:t>
    </w:r>
    <w:r w:rsidRPr="00D15BCF">
      <w:rPr>
        <w:rFonts w:ascii="Arial" w:hAnsi="Arial" w:cs="Arial"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391A2D" w14:textId="77777777" w:rsidR="00E317EA" w:rsidRDefault="00E317EA">
      <w:r>
        <w:separator/>
      </w:r>
    </w:p>
  </w:footnote>
  <w:footnote w:type="continuationSeparator" w:id="0">
    <w:p w14:paraId="1E85AD47" w14:textId="77777777" w:rsidR="00E317EA" w:rsidRDefault="00E317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39B"/>
    <w:rsid w:val="005E39CF"/>
    <w:rsid w:val="0072039B"/>
    <w:rsid w:val="007F1021"/>
    <w:rsid w:val="00830B8A"/>
    <w:rsid w:val="00B41BF3"/>
    <w:rsid w:val="00E3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4D942"/>
  <w15:chartTrackingRefBased/>
  <w15:docId w15:val="{A790BF91-9C84-1746-BBC4-744DC4545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IN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039B"/>
    <w:rPr>
      <w:rFonts w:ascii="Times New Roman" w:eastAsia="Times New Roman" w:hAnsi="Times New Roman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2039B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39B"/>
    <w:rPr>
      <w:rFonts w:ascii="Times New Roman" w:eastAsia="Times New Roman" w:hAnsi="Times New Roman" w:cs="Times New Roman"/>
      <w:lang w:val="en-GB"/>
    </w:rPr>
  </w:style>
  <w:style w:type="paragraph" w:styleId="NoSpacing">
    <w:name w:val="No Spacing"/>
    <w:link w:val="NoSpacingChar"/>
    <w:uiPriority w:val="1"/>
    <w:qFormat/>
    <w:rsid w:val="0072039B"/>
    <w:rPr>
      <w:rFonts w:ascii="Times New Roman" w:eastAsia="Times New Roman" w:hAnsi="Times New Roman" w:cs="Times New Roman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72039B"/>
    <w:rPr>
      <w:rFonts w:ascii="Times New Roman" w:eastAsia="Times New Roman" w:hAnsi="Times New Roman" w:cs="Times New Roman"/>
      <w:lang w:val="en-US" w:eastAsia="en-US"/>
    </w:rPr>
  </w:style>
  <w:style w:type="character" w:styleId="LineNumber">
    <w:name w:val="line number"/>
    <w:basedOn w:val="DefaultParagraphFont"/>
    <w:uiPriority w:val="99"/>
    <w:semiHidden/>
    <w:unhideWhenUsed/>
    <w:rsid w:val="007203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199</Words>
  <Characters>1137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 Poppelaars</dc:creator>
  <cp:keywords/>
  <dc:description/>
  <cp:lastModifiedBy>Suganya S.</cp:lastModifiedBy>
  <cp:revision>3</cp:revision>
  <dcterms:created xsi:type="dcterms:W3CDTF">2021-07-05T16:31:00Z</dcterms:created>
  <dcterms:modified xsi:type="dcterms:W3CDTF">2021-07-30T13:22:00Z</dcterms:modified>
</cp:coreProperties>
</file>