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5E8" w:rsidRPr="007575E8" w:rsidRDefault="007575E8" w:rsidP="007575E8">
      <w:pPr>
        <w:pStyle w:val="Heading2"/>
        <w:rPr>
          <w:rFonts w:asciiTheme="majorBidi" w:hAnsiTheme="majorBidi"/>
          <w:sz w:val="28"/>
          <w:szCs w:val="28"/>
        </w:rPr>
      </w:pPr>
      <w:r w:rsidRPr="00030EF7">
        <w:rPr>
          <w:rFonts w:asciiTheme="majorBidi" w:hAnsiTheme="majorBidi"/>
          <w:sz w:val="28"/>
          <w:szCs w:val="28"/>
        </w:rPr>
        <w:t>Comparison of seven single cell Whole Genome Amplification commercial kits using targeted sequencing</w:t>
      </w:r>
      <w:r>
        <w:rPr>
          <w:rFonts w:asciiTheme="majorBidi" w:hAnsiTheme="majorBidi"/>
          <w:sz w:val="28"/>
          <w:szCs w:val="28"/>
        </w:rPr>
        <w:t xml:space="preserve"> - </w:t>
      </w:r>
      <w:r w:rsidRPr="00813921">
        <w:rPr>
          <w:sz w:val="28"/>
          <w:szCs w:val="28"/>
        </w:rPr>
        <w:t>Supplementary Information</w:t>
      </w:r>
    </w:p>
    <w:p w:rsidR="007575E8" w:rsidRPr="00813921" w:rsidRDefault="007575E8" w:rsidP="00813921"/>
    <w:p w:rsidR="007575E8" w:rsidRPr="00030EF7" w:rsidRDefault="007575E8" w:rsidP="007575E8"/>
    <w:p w:rsidR="007575E8" w:rsidRPr="00030EF7" w:rsidRDefault="007575E8" w:rsidP="007575E8">
      <w:pPr>
        <w:spacing w:line="360" w:lineRule="auto"/>
        <w:rPr>
          <w:vertAlign w:val="superscript"/>
        </w:rPr>
      </w:pPr>
      <w:r w:rsidRPr="00030EF7">
        <w:t>Tamir Biezuner</w:t>
      </w:r>
      <w:r w:rsidRPr="00030EF7">
        <w:rPr>
          <w:vertAlign w:val="superscript"/>
        </w:rPr>
        <w:t>1</w:t>
      </w:r>
      <w:r>
        <w:rPr>
          <w:vertAlign w:val="superscript"/>
        </w:rPr>
        <w:t>,*</w:t>
      </w:r>
      <w:r w:rsidRPr="00030EF7">
        <w:t xml:space="preserve">, </w:t>
      </w:r>
      <w:proofErr w:type="spellStart"/>
      <w:r w:rsidRPr="00030EF7">
        <w:t>Ofir</w:t>
      </w:r>
      <w:proofErr w:type="spellEnd"/>
      <w:r w:rsidRPr="00030EF7">
        <w:t xml:space="preserve"> Raz</w:t>
      </w:r>
      <w:r w:rsidRPr="00030EF7">
        <w:rPr>
          <w:vertAlign w:val="superscript"/>
        </w:rPr>
        <w:t>1</w:t>
      </w:r>
      <w:r w:rsidRPr="00030EF7">
        <w:t xml:space="preserve">, </w:t>
      </w:r>
      <w:proofErr w:type="spellStart"/>
      <w:r w:rsidRPr="00030EF7">
        <w:t>Shiran</w:t>
      </w:r>
      <w:proofErr w:type="spellEnd"/>
      <w:r w:rsidRPr="00030EF7">
        <w:t xml:space="preserve"> Amir</w:t>
      </w:r>
      <w:r w:rsidRPr="00030EF7">
        <w:rPr>
          <w:vertAlign w:val="superscript"/>
        </w:rPr>
        <w:t>1</w:t>
      </w:r>
      <w:r w:rsidRPr="00030EF7">
        <w:t xml:space="preserve">, </w:t>
      </w:r>
      <w:proofErr w:type="spellStart"/>
      <w:r w:rsidRPr="00030EF7">
        <w:t>Lilach</w:t>
      </w:r>
      <w:proofErr w:type="spellEnd"/>
      <w:r w:rsidRPr="00030EF7">
        <w:t xml:space="preserve"> Milo</w:t>
      </w:r>
      <w:r w:rsidRPr="00030EF7">
        <w:rPr>
          <w:vertAlign w:val="superscript"/>
        </w:rPr>
        <w:t>1</w:t>
      </w:r>
      <w:r w:rsidRPr="00030EF7">
        <w:t xml:space="preserve">, </w:t>
      </w:r>
      <w:proofErr w:type="spellStart"/>
      <w:r w:rsidRPr="00030EF7">
        <w:t>Rivka</w:t>
      </w:r>
      <w:proofErr w:type="spellEnd"/>
      <w:r w:rsidRPr="00030EF7">
        <w:t xml:space="preserve"> Adar</w:t>
      </w:r>
      <w:r w:rsidRPr="00030EF7">
        <w:rPr>
          <w:vertAlign w:val="superscript"/>
        </w:rPr>
        <w:t>1</w:t>
      </w:r>
      <w:r w:rsidRPr="00030EF7">
        <w:t>, Yael Fried</w:t>
      </w:r>
      <w:r>
        <w:rPr>
          <w:rFonts w:hint="cs"/>
          <w:vertAlign w:val="superscript"/>
          <w:rtl/>
        </w:rPr>
        <w:t>2</w:t>
      </w:r>
      <w:r w:rsidRPr="00030EF7">
        <w:t xml:space="preserve">, Elena </w:t>
      </w:r>
      <w:proofErr w:type="spellStart"/>
      <w:r w:rsidRPr="00030EF7">
        <w:t>Ainbinder</w:t>
      </w:r>
      <w:proofErr w:type="spellEnd"/>
      <w:r>
        <w:rPr>
          <w:rFonts w:hint="cs"/>
          <w:vertAlign w:val="superscript"/>
          <w:rtl/>
        </w:rPr>
        <w:t>2</w:t>
      </w:r>
      <w:r w:rsidRPr="00030EF7">
        <w:t xml:space="preserve"> &amp; Ehud Shapiro</w:t>
      </w:r>
      <w:r>
        <w:rPr>
          <w:vertAlign w:val="superscript"/>
        </w:rPr>
        <w:t>1</w:t>
      </w:r>
    </w:p>
    <w:p w:rsidR="007575E8" w:rsidRPr="004F6492" w:rsidRDefault="007575E8" w:rsidP="007575E8">
      <w:pPr>
        <w:spacing w:line="360" w:lineRule="auto"/>
        <w:rPr>
          <w:sz w:val="16"/>
          <w:szCs w:val="16"/>
          <w:shd w:val="clear" w:color="auto" w:fill="FFFFFF"/>
        </w:rPr>
      </w:pPr>
      <w:r w:rsidRPr="00112F8A">
        <w:rPr>
          <w:rFonts w:asciiTheme="minorBidi" w:hAnsiTheme="minorBidi"/>
          <w:sz w:val="16"/>
          <w:szCs w:val="14"/>
          <w:vertAlign w:val="superscript"/>
        </w:rPr>
        <w:t>1</w:t>
      </w:r>
      <w:r w:rsidRPr="00112F8A">
        <w:rPr>
          <w:sz w:val="16"/>
          <w:szCs w:val="16"/>
          <w:shd w:val="clear" w:color="auto" w:fill="FFFFFF"/>
        </w:rPr>
        <w:t xml:space="preserve">Department of Computer Science and Applied Mathematics, </w:t>
      </w:r>
      <w:r w:rsidRPr="004F6492">
        <w:rPr>
          <w:sz w:val="16"/>
          <w:szCs w:val="16"/>
          <w:shd w:val="clear" w:color="auto" w:fill="FFFFFF"/>
        </w:rPr>
        <w:t xml:space="preserve">Weizmann Institute of Science, </w:t>
      </w:r>
      <w:proofErr w:type="spellStart"/>
      <w:r w:rsidRPr="004F6492">
        <w:rPr>
          <w:sz w:val="16"/>
          <w:szCs w:val="16"/>
          <w:shd w:val="clear" w:color="auto" w:fill="FFFFFF"/>
        </w:rPr>
        <w:t>Rehovot</w:t>
      </w:r>
      <w:proofErr w:type="spellEnd"/>
      <w:r w:rsidRPr="004F6492">
        <w:rPr>
          <w:sz w:val="16"/>
          <w:szCs w:val="16"/>
          <w:shd w:val="clear" w:color="auto" w:fill="FFFFFF"/>
        </w:rPr>
        <w:t xml:space="preserve"> 761001, Israel</w:t>
      </w:r>
    </w:p>
    <w:p w:rsidR="007575E8" w:rsidRPr="004F6492" w:rsidRDefault="007575E8" w:rsidP="007575E8">
      <w:pPr>
        <w:shd w:val="clear" w:color="auto" w:fill="FFFFFF"/>
        <w:spacing w:before="30" w:after="30" w:line="360" w:lineRule="auto"/>
        <w:rPr>
          <w:sz w:val="16"/>
          <w:szCs w:val="16"/>
          <w:shd w:val="clear" w:color="auto" w:fill="FFFFFF"/>
        </w:rPr>
      </w:pPr>
      <w:r>
        <w:rPr>
          <w:sz w:val="16"/>
          <w:szCs w:val="16"/>
          <w:shd w:val="clear" w:color="auto" w:fill="FFFFFF"/>
          <w:vertAlign w:val="superscript"/>
        </w:rPr>
        <w:t>2</w:t>
      </w:r>
      <w:r w:rsidRPr="003A2F38">
        <w:rPr>
          <w:sz w:val="16"/>
          <w:szCs w:val="16"/>
          <w:shd w:val="clear" w:color="auto" w:fill="FFFFFF"/>
        </w:rPr>
        <w:t>Stem Cell Core and Advanced Cell Technologies</w:t>
      </w:r>
      <w:r>
        <w:rPr>
          <w:sz w:val="16"/>
          <w:szCs w:val="16"/>
          <w:shd w:val="clear" w:color="auto" w:fill="FFFFFF"/>
        </w:rPr>
        <w:t xml:space="preserve">, </w:t>
      </w:r>
      <w:r w:rsidRPr="003A2F38">
        <w:rPr>
          <w:sz w:val="16"/>
          <w:szCs w:val="16"/>
          <w:shd w:val="clear" w:color="auto" w:fill="FFFFFF"/>
        </w:rPr>
        <w:t>Life Sciences Core Facilities</w:t>
      </w:r>
      <w:r>
        <w:rPr>
          <w:sz w:val="16"/>
          <w:szCs w:val="16"/>
          <w:shd w:val="clear" w:color="auto" w:fill="FFFFFF"/>
        </w:rPr>
        <w:t>,</w:t>
      </w:r>
      <w:r w:rsidRPr="00112F8A">
        <w:rPr>
          <w:sz w:val="16"/>
          <w:szCs w:val="16"/>
          <w:shd w:val="clear" w:color="auto" w:fill="FFFFFF"/>
        </w:rPr>
        <w:t xml:space="preserve"> Weizmann Institute of Science</w:t>
      </w:r>
      <w:r w:rsidRPr="004F6492">
        <w:rPr>
          <w:sz w:val="16"/>
          <w:szCs w:val="16"/>
          <w:shd w:val="clear" w:color="auto" w:fill="FFFFFF"/>
        </w:rPr>
        <w:t xml:space="preserve">, </w:t>
      </w:r>
      <w:proofErr w:type="spellStart"/>
      <w:r w:rsidRPr="004F6492">
        <w:rPr>
          <w:sz w:val="16"/>
          <w:szCs w:val="16"/>
          <w:shd w:val="clear" w:color="auto" w:fill="FFFFFF"/>
        </w:rPr>
        <w:t>Rehovot</w:t>
      </w:r>
      <w:proofErr w:type="spellEnd"/>
      <w:r w:rsidRPr="004F6492">
        <w:rPr>
          <w:sz w:val="16"/>
          <w:szCs w:val="16"/>
          <w:shd w:val="clear" w:color="auto" w:fill="FFFFFF"/>
        </w:rPr>
        <w:t xml:space="preserve"> 761001, Israel </w:t>
      </w:r>
    </w:p>
    <w:p w:rsidR="007575E8" w:rsidRDefault="007575E8" w:rsidP="007575E8">
      <w:pPr>
        <w:shd w:val="clear" w:color="auto" w:fill="FFFFFF"/>
        <w:spacing w:before="30" w:after="30" w:line="360" w:lineRule="auto"/>
        <w:rPr>
          <w:sz w:val="16"/>
          <w:szCs w:val="16"/>
          <w:shd w:val="clear" w:color="auto" w:fill="FFFFFF"/>
          <w:vertAlign w:val="superscript"/>
        </w:rPr>
      </w:pPr>
    </w:p>
    <w:p w:rsidR="007575E8" w:rsidRDefault="007575E8" w:rsidP="007575E8">
      <w:pPr>
        <w:shd w:val="clear" w:color="auto" w:fill="FFFFFF"/>
        <w:spacing w:before="30" w:after="30" w:line="360" w:lineRule="auto"/>
        <w:rPr>
          <w:sz w:val="16"/>
          <w:szCs w:val="16"/>
          <w:shd w:val="clear" w:color="auto" w:fill="FFFFFF"/>
          <w:vertAlign w:val="superscript"/>
        </w:rPr>
      </w:pPr>
    </w:p>
    <w:p w:rsidR="007575E8" w:rsidRPr="00112F8A" w:rsidRDefault="007575E8" w:rsidP="007575E8">
      <w:pPr>
        <w:shd w:val="clear" w:color="auto" w:fill="FFFFFF"/>
        <w:spacing w:before="30" w:after="30" w:line="360" w:lineRule="auto"/>
        <w:rPr>
          <w:b/>
          <w:bCs/>
          <w:sz w:val="16"/>
          <w:szCs w:val="16"/>
          <w:shd w:val="clear" w:color="auto" w:fill="FFFFFF"/>
        </w:rPr>
      </w:pPr>
      <w:r w:rsidRPr="00112F8A">
        <w:rPr>
          <w:b/>
          <w:bCs/>
          <w:sz w:val="16"/>
          <w:szCs w:val="16"/>
          <w:shd w:val="clear" w:color="auto" w:fill="FFFFFF"/>
        </w:rPr>
        <w:t xml:space="preserve">* </w:t>
      </w:r>
      <w:r w:rsidRPr="00112F8A">
        <w:rPr>
          <w:rFonts w:hint="cs"/>
          <w:b/>
          <w:bCs/>
          <w:sz w:val="16"/>
          <w:szCs w:val="16"/>
          <w:shd w:val="clear" w:color="auto" w:fill="FFFFFF"/>
        </w:rPr>
        <w:t>Corresponding author</w:t>
      </w:r>
    </w:p>
    <w:p w:rsidR="007575E8" w:rsidRPr="00112F8A" w:rsidRDefault="007575E8" w:rsidP="007575E8">
      <w:pPr>
        <w:shd w:val="clear" w:color="auto" w:fill="FFFFFF"/>
        <w:spacing w:before="30" w:after="30" w:line="360" w:lineRule="auto"/>
        <w:rPr>
          <w:sz w:val="16"/>
          <w:szCs w:val="16"/>
          <w:shd w:val="clear" w:color="auto" w:fill="FFFFFF"/>
        </w:rPr>
      </w:pPr>
      <w:r>
        <w:rPr>
          <w:sz w:val="16"/>
          <w:szCs w:val="16"/>
          <w:shd w:val="clear" w:color="auto" w:fill="FFFFFF"/>
        </w:rPr>
        <w:t>Tamir Biezuner</w:t>
      </w:r>
    </w:p>
    <w:p w:rsidR="007575E8" w:rsidRPr="00112F8A" w:rsidRDefault="007575E8" w:rsidP="007575E8">
      <w:pPr>
        <w:shd w:val="clear" w:color="auto" w:fill="FFFFFF"/>
        <w:spacing w:before="30" w:after="30" w:line="360" w:lineRule="auto"/>
        <w:rPr>
          <w:sz w:val="16"/>
          <w:szCs w:val="16"/>
          <w:shd w:val="clear" w:color="auto" w:fill="FFFFFF"/>
        </w:rPr>
      </w:pPr>
      <w:r w:rsidRPr="00112F8A">
        <w:rPr>
          <w:sz w:val="16"/>
          <w:szCs w:val="16"/>
          <w:shd w:val="clear" w:color="auto" w:fill="FFFFFF"/>
        </w:rPr>
        <w:t>Address: Department of Computer Science and Applied Mathematics</w:t>
      </w:r>
    </w:p>
    <w:p w:rsidR="007575E8" w:rsidRPr="00112F8A" w:rsidRDefault="007575E8" w:rsidP="007575E8">
      <w:pPr>
        <w:shd w:val="clear" w:color="auto" w:fill="FFFFFF"/>
        <w:spacing w:before="30" w:after="30" w:line="360" w:lineRule="auto"/>
        <w:rPr>
          <w:sz w:val="16"/>
          <w:szCs w:val="16"/>
          <w:shd w:val="clear" w:color="auto" w:fill="FFFFFF"/>
        </w:rPr>
      </w:pPr>
      <w:r w:rsidRPr="00112F8A">
        <w:rPr>
          <w:sz w:val="16"/>
          <w:szCs w:val="16"/>
          <w:shd w:val="clear" w:color="auto" w:fill="FFFFFF"/>
        </w:rPr>
        <w:t xml:space="preserve">234 Herzl Street, </w:t>
      </w:r>
      <w:proofErr w:type="spellStart"/>
      <w:r w:rsidRPr="00112F8A">
        <w:rPr>
          <w:sz w:val="16"/>
          <w:szCs w:val="16"/>
          <w:shd w:val="clear" w:color="auto" w:fill="FFFFFF"/>
        </w:rPr>
        <w:t>Rehovot</w:t>
      </w:r>
      <w:proofErr w:type="spellEnd"/>
      <w:r w:rsidRPr="00112F8A">
        <w:rPr>
          <w:sz w:val="16"/>
          <w:szCs w:val="16"/>
          <w:shd w:val="clear" w:color="auto" w:fill="FFFFFF"/>
        </w:rPr>
        <w:t xml:space="preserve"> 7610001 Israel</w:t>
      </w:r>
    </w:p>
    <w:p w:rsidR="007575E8" w:rsidRPr="00112F8A" w:rsidRDefault="007575E8" w:rsidP="007575E8">
      <w:pPr>
        <w:shd w:val="clear" w:color="auto" w:fill="FFFFFF"/>
        <w:spacing w:before="30" w:after="30" w:line="360" w:lineRule="auto"/>
        <w:rPr>
          <w:sz w:val="16"/>
          <w:szCs w:val="16"/>
          <w:shd w:val="clear" w:color="auto" w:fill="FFFFFF"/>
        </w:rPr>
      </w:pPr>
      <w:r w:rsidRPr="00112F8A">
        <w:rPr>
          <w:sz w:val="16"/>
          <w:szCs w:val="16"/>
          <w:shd w:val="clear" w:color="auto" w:fill="FFFFFF"/>
        </w:rPr>
        <w:t>Phone: +972-8-934-4</w:t>
      </w:r>
      <w:r>
        <w:rPr>
          <w:sz w:val="16"/>
          <w:szCs w:val="16"/>
          <w:shd w:val="clear" w:color="auto" w:fill="FFFFFF"/>
        </w:rPr>
        <w:t>494</w:t>
      </w:r>
    </w:p>
    <w:p w:rsidR="007575E8" w:rsidRPr="00112F8A" w:rsidRDefault="007575E8" w:rsidP="007575E8">
      <w:pPr>
        <w:shd w:val="clear" w:color="auto" w:fill="FFFFFF"/>
        <w:spacing w:before="30" w:after="30" w:line="360" w:lineRule="auto"/>
        <w:rPr>
          <w:sz w:val="16"/>
          <w:szCs w:val="16"/>
          <w:shd w:val="clear" w:color="auto" w:fill="FFFFFF"/>
        </w:rPr>
      </w:pPr>
      <w:r w:rsidRPr="00112F8A">
        <w:rPr>
          <w:sz w:val="16"/>
          <w:szCs w:val="16"/>
          <w:shd w:val="clear" w:color="auto" w:fill="FFFFFF"/>
        </w:rPr>
        <w:t xml:space="preserve">E-mail: </w:t>
      </w:r>
      <w:r>
        <w:rPr>
          <w:sz w:val="16"/>
          <w:szCs w:val="16"/>
          <w:shd w:val="clear" w:color="auto" w:fill="FFFFFF"/>
        </w:rPr>
        <w:t>Tamir.Biezuner</w:t>
      </w:r>
      <w:r w:rsidRPr="00112F8A">
        <w:rPr>
          <w:sz w:val="16"/>
          <w:szCs w:val="16"/>
          <w:shd w:val="clear" w:color="auto" w:fill="FFFFFF"/>
        </w:rPr>
        <w:t>@weizmann.ac.il</w:t>
      </w:r>
    </w:p>
    <w:p w:rsidR="007575E8" w:rsidRDefault="007575E8">
      <w:r>
        <w:br w:type="page"/>
      </w:r>
    </w:p>
    <w:p w:rsidR="00B51D29" w:rsidRDefault="00CB5B02" w:rsidP="00B63B39">
      <w:pPr>
        <w:pStyle w:val="Caption"/>
        <w:rPr>
          <w:noProof/>
          <w:rtl/>
        </w:rPr>
      </w:pPr>
      <w:r w:rsidRPr="00CB5B02">
        <w:rPr>
          <w:rFonts w:cs="Times New Roman"/>
          <w:noProof/>
          <w:rtl/>
        </w:rPr>
        <w:lastRenderedPageBreak/>
        <w:drawing>
          <wp:inline distT="0" distB="0" distL="0" distR="0">
            <wp:extent cx="5274310" cy="3581150"/>
            <wp:effectExtent l="0" t="0" r="2540" b="635"/>
            <wp:docPr id="4" name="Picture 4" descr="S:\pie\Tamir\pHD\WGA comparison paper\Submissions\Nature methods\related files\Supplementary 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ie\Tamir\pHD\WGA comparison paper\Submissions\Nature methods\related files\Supplementary Figure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581150"/>
                    </a:xfrm>
                    <a:prstGeom prst="rect">
                      <a:avLst/>
                    </a:prstGeom>
                    <a:noFill/>
                    <a:ln>
                      <a:noFill/>
                    </a:ln>
                  </pic:spPr>
                </pic:pic>
              </a:graphicData>
            </a:graphic>
          </wp:inline>
        </w:drawing>
      </w:r>
    </w:p>
    <w:p w:rsidR="004C685F" w:rsidRDefault="000E09B8" w:rsidP="00A51F14">
      <w:pPr>
        <w:pStyle w:val="Caption"/>
      </w:pPr>
      <w:r w:rsidRPr="00813921">
        <w:rPr>
          <w:b/>
        </w:rPr>
        <w:t xml:space="preserve">Supplementary </w:t>
      </w:r>
      <w:r w:rsidR="0032460D" w:rsidRPr="00813921">
        <w:rPr>
          <w:b/>
        </w:rPr>
        <w:t xml:space="preserve">Figure </w:t>
      </w:r>
      <w:r w:rsidR="001B7F9F" w:rsidRPr="00813921">
        <w:rPr>
          <w:b/>
        </w:rPr>
        <w:fldChar w:fldCharType="begin"/>
      </w:r>
      <w:r w:rsidR="001B7F9F" w:rsidRPr="00813921">
        <w:rPr>
          <w:b/>
        </w:rPr>
        <w:instrText xml:space="preserve"> SEQ Figure \* ARABIC </w:instrText>
      </w:r>
      <w:r w:rsidR="001B7F9F" w:rsidRPr="00813921">
        <w:rPr>
          <w:b/>
        </w:rPr>
        <w:fldChar w:fldCharType="separate"/>
      </w:r>
      <w:r w:rsidR="006371CE" w:rsidRPr="00813921">
        <w:rPr>
          <w:b/>
        </w:rPr>
        <w:t>1</w:t>
      </w:r>
      <w:r w:rsidR="001B7F9F" w:rsidRPr="00813921">
        <w:rPr>
          <w:b/>
        </w:rPr>
        <w:fldChar w:fldCharType="end"/>
      </w:r>
      <w:r w:rsidR="00FA772D" w:rsidRPr="00813921">
        <w:rPr>
          <w:b/>
        </w:rPr>
        <w:t xml:space="preserve">. </w:t>
      </w:r>
      <w:r w:rsidR="00FE60E2" w:rsidRPr="00813921">
        <w:rPr>
          <w:b/>
        </w:rPr>
        <w:t>Experimental validation experiments.</w:t>
      </w:r>
      <w:r w:rsidR="00621FC2">
        <w:t xml:space="preserve"> (</w:t>
      </w:r>
      <w:proofErr w:type="gramStart"/>
      <w:r w:rsidR="0050460A">
        <w:t>a</w:t>
      </w:r>
      <w:proofErr w:type="gramEnd"/>
      <w:r w:rsidR="00621FC2">
        <w:t>,</w:t>
      </w:r>
      <w:r w:rsidR="00C3559E">
        <w:t xml:space="preserve"> </w:t>
      </w:r>
      <w:r w:rsidR="0050460A">
        <w:t>b</w:t>
      </w:r>
      <w:r w:rsidR="00621FC2">
        <w:t xml:space="preserve">) </w:t>
      </w:r>
      <w:r w:rsidR="00A51F14">
        <w:t>R</w:t>
      </w:r>
      <w:r w:rsidR="00FE60E2">
        <w:t>eproducibility</w:t>
      </w:r>
      <w:r w:rsidR="00A51F14">
        <w:t xml:space="preserve"> analysis</w:t>
      </w:r>
      <w:r w:rsidR="004C685F">
        <w:t xml:space="preserve"> by comparing negative </w:t>
      </w:r>
      <w:r w:rsidR="00A51F14">
        <w:t xml:space="preserve">(NC) </w:t>
      </w:r>
      <w:r w:rsidR="004C685F">
        <w:t>and positive</w:t>
      </w:r>
      <w:r w:rsidR="00A51F14">
        <w:t xml:space="preserve"> (PC) controls. Each was repeated</w:t>
      </w:r>
      <w:r w:rsidR="004C685F">
        <w:t xml:space="preserve"> 5</w:t>
      </w:r>
      <w:r w:rsidR="00A51F14">
        <w:t xml:space="preserve"> times, </w:t>
      </w:r>
      <w:r w:rsidR="004C685F">
        <w:t xml:space="preserve">distributed between the </w:t>
      </w:r>
      <w:r w:rsidR="00A51F14">
        <w:t xml:space="preserve">5 </w:t>
      </w:r>
      <w:r w:rsidR="004C685F">
        <w:t xml:space="preserve">participating </w:t>
      </w:r>
      <w:r w:rsidR="00FE60E2">
        <w:t>Access Array (AA) chips</w:t>
      </w:r>
      <w:r w:rsidR="004C685F">
        <w:t>.</w:t>
      </w:r>
      <w:r w:rsidR="00022080">
        <w:t xml:space="preserve"> (</w:t>
      </w:r>
      <w:r w:rsidR="0050460A">
        <w:t>a</w:t>
      </w:r>
      <w:r w:rsidR="00022080">
        <w:t>)</w:t>
      </w:r>
      <w:r w:rsidR="00621FC2">
        <w:t xml:space="preserve"> </w:t>
      </w:r>
      <w:r w:rsidR="003B1248">
        <w:t>Success</w:t>
      </w:r>
      <w:r w:rsidR="00621FC2">
        <w:t xml:space="preserve"> rate (map</w:t>
      </w:r>
      <w:r w:rsidR="004C685F">
        <w:t>ped reads</w:t>
      </w:r>
      <w:r w:rsidR="00A51F14">
        <w:t>/</w:t>
      </w:r>
      <w:r w:rsidR="004C685F">
        <w:t xml:space="preserve"> </w:t>
      </w:r>
      <w:r w:rsidR="00022080">
        <w:t>total reads</w:t>
      </w:r>
      <w:r w:rsidR="004C685F">
        <w:t xml:space="preserve"> per sample</w:t>
      </w:r>
      <w:r w:rsidR="00022080">
        <w:t>),</w:t>
      </w:r>
      <w:r w:rsidR="00621FC2">
        <w:t xml:space="preserve"> and</w:t>
      </w:r>
      <w:r w:rsidR="00022080">
        <w:t xml:space="preserve"> (b)</w:t>
      </w:r>
      <w:r w:rsidR="00621FC2">
        <w:t xml:space="preserve"> count of amplicons with </w:t>
      </w:r>
      <w:r w:rsidR="004C685F">
        <w:t xml:space="preserve">at least 0 mapped reads (left) and </w:t>
      </w:r>
      <w:r w:rsidR="00621FC2">
        <w:t>10 reads</w:t>
      </w:r>
      <w:r w:rsidR="004C685F">
        <w:t xml:space="preserve"> (right)</w:t>
      </w:r>
      <w:r w:rsidR="00621FC2">
        <w:t xml:space="preserve">. </w:t>
      </w:r>
      <w:r w:rsidR="0089303F">
        <w:t>(</w:t>
      </w:r>
      <w:proofErr w:type="gramStart"/>
      <w:r w:rsidR="0050460A">
        <w:t>c</w:t>
      </w:r>
      <w:proofErr w:type="gramEnd"/>
      <w:r w:rsidR="00A51F14">
        <w:t xml:space="preserve">, </w:t>
      </w:r>
      <w:r w:rsidR="0050460A">
        <w:t>d</w:t>
      </w:r>
      <w:r w:rsidR="0089303F">
        <w:t xml:space="preserve">) </w:t>
      </w:r>
      <w:r w:rsidR="00FA772D">
        <w:rPr>
          <w:rFonts w:hint="cs"/>
        </w:rPr>
        <w:t>C</w:t>
      </w:r>
      <w:r w:rsidR="00FA772D" w:rsidRPr="00FA772D">
        <w:t>omparison between</w:t>
      </w:r>
      <w:r w:rsidR="0089303F">
        <w:t xml:space="preserve"> </w:t>
      </w:r>
      <w:r w:rsidR="00FE60E2">
        <w:t xml:space="preserve">DNA </w:t>
      </w:r>
      <w:r w:rsidR="00FA772D">
        <w:t>duplicate</w:t>
      </w:r>
      <w:r w:rsidR="00097768">
        <w:t>s</w:t>
      </w:r>
      <w:r w:rsidR="004C685F">
        <w:t xml:space="preserve">. </w:t>
      </w:r>
      <w:r w:rsidR="00A51F14">
        <w:t>39 S</w:t>
      </w:r>
      <w:r w:rsidR="004C685F">
        <w:t>ingle cell duplicates and one</w:t>
      </w:r>
      <w:r w:rsidR="00A51F14">
        <w:t xml:space="preserve"> cell</w:t>
      </w:r>
      <w:r w:rsidR="004C685F">
        <w:t xml:space="preserve"> bulk DNA</w:t>
      </w:r>
      <w:r w:rsidR="00A51F14">
        <w:t xml:space="preserve"> duplicate were analyzed. Each DNA template was </w:t>
      </w:r>
      <w:r w:rsidR="004C685F">
        <w:t xml:space="preserve">randomly </w:t>
      </w:r>
      <w:r w:rsidR="00A51F14">
        <w:t xml:space="preserve">distributed </w:t>
      </w:r>
      <w:r w:rsidR="004C685F">
        <w:t xml:space="preserve">between the </w:t>
      </w:r>
      <w:r w:rsidR="00A51F14">
        <w:t xml:space="preserve">5 </w:t>
      </w:r>
      <w:r w:rsidR="004C685F">
        <w:t>AA chips. Duplicates were compared</w:t>
      </w:r>
      <w:r w:rsidR="00A51F14">
        <w:t xml:space="preserve"> </w:t>
      </w:r>
      <w:r w:rsidR="00D54C9D">
        <w:t>by the same analysis factors as in</w:t>
      </w:r>
      <w:r w:rsidR="004C685F">
        <w:t xml:space="preserve"> (</w:t>
      </w:r>
      <w:r w:rsidR="0050460A">
        <w:t>a</w:t>
      </w:r>
      <w:r w:rsidR="004C685F">
        <w:t>) and (</w:t>
      </w:r>
      <w:r w:rsidR="0050460A">
        <w:t>b</w:t>
      </w:r>
      <w:r w:rsidR="004C685F">
        <w:t>)</w:t>
      </w:r>
      <w:r w:rsidR="00D54C9D">
        <w:t>, respectively</w:t>
      </w:r>
      <w:r w:rsidR="004C685F">
        <w:t>.</w:t>
      </w:r>
      <w:r w:rsidR="00D54C9D">
        <w:t xml:space="preserve"> The calculated </w:t>
      </w:r>
      <w:r w:rsidR="00D54C9D" w:rsidRPr="00D54C9D">
        <w:t>coefficient</w:t>
      </w:r>
      <w:r w:rsidR="00D54C9D">
        <w:t>s</w:t>
      </w:r>
      <w:r w:rsidR="00D54C9D" w:rsidRPr="00D54C9D">
        <w:t xml:space="preserve"> of determination</w:t>
      </w:r>
      <w:r w:rsidR="00D54C9D">
        <w:t xml:space="preserve"> </w:t>
      </w:r>
      <w:r w:rsidR="0050460A">
        <w:t>are for</w:t>
      </w:r>
      <w:r w:rsidR="004C685F">
        <w:t xml:space="preserve"> (</w:t>
      </w:r>
      <w:r w:rsidR="0050460A">
        <w:t>c</w:t>
      </w:r>
      <w:r w:rsidR="004C685F">
        <w:t>)</w:t>
      </w:r>
      <w:r w:rsidR="0050460A">
        <w:t>:</w:t>
      </w:r>
      <w:r w:rsidR="004C685F">
        <w:t xml:space="preserve"> </w:t>
      </w:r>
      <w:r w:rsidR="00DD6D2B">
        <w:t>R</w:t>
      </w:r>
      <w:r w:rsidR="00DD6D2B" w:rsidRPr="00DD6D2B">
        <w:rPr>
          <w:vertAlign w:val="superscript"/>
        </w:rPr>
        <w:t>2</w:t>
      </w:r>
      <w:r w:rsidR="00DD6D2B">
        <w:t xml:space="preserve"> = </w:t>
      </w:r>
      <w:r w:rsidR="0050460A">
        <w:t>0.918 and for</w:t>
      </w:r>
      <w:r w:rsidR="004C685F">
        <w:t xml:space="preserve"> (</w:t>
      </w:r>
      <w:r w:rsidR="0050460A">
        <w:t>d</w:t>
      </w:r>
      <w:r w:rsidR="004C685F">
        <w:t>)</w:t>
      </w:r>
      <w:r w:rsidR="0050460A">
        <w:t>:</w:t>
      </w:r>
      <w:r w:rsidR="004C685F">
        <w:t xml:space="preserve"> 0 reads threshold </w:t>
      </w:r>
      <w:r w:rsidR="00DD6D2B">
        <w:t>R</w:t>
      </w:r>
      <w:r w:rsidR="00DD6D2B" w:rsidRPr="00DD6D2B">
        <w:rPr>
          <w:vertAlign w:val="superscript"/>
        </w:rPr>
        <w:t>2</w:t>
      </w:r>
      <w:r w:rsidR="0050460A">
        <w:t xml:space="preserve"> = 0.8 and</w:t>
      </w:r>
      <w:r w:rsidR="004C685F">
        <w:t xml:space="preserve"> 10 reads threshold </w:t>
      </w:r>
      <w:r w:rsidR="00DD6D2B">
        <w:t>R</w:t>
      </w:r>
      <w:r w:rsidR="00DD6D2B" w:rsidRPr="00DD6D2B">
        <w:rPr>
          <w:vertAlign w:val="superscript"/>
        </w:rPr>
        <w:t>2</w:t>
      </w:r>
      <w:r w:rsidR="004C685F">
        <w:t xml:space="preserve"> = 0.8</w:t>
      </w:r>
      <w:r w:rsidR="00DD6D2B">
        <w:t>5.</w:t>
      </w:r>
    </w:p>
    <w:p w:rsidR="002D2851" w:rsidRDefault="00403575" w:rsidP="00BF62A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207.75pt">
            <v:imagedata r:id="rId8" o:title="TTAA_all_1_TTAA containing amplicons"/>
          </v:shape>
        </w:pict>
      </w:r>
    </w:p>
    <w:p w:rsidR="0032460D" w:rsidRDefault="002D2851" w:rsidP="00D315F3">
      <w:pPr>
        <w:pStyle w:val="Caption"/>
        <w:rPr>
          <w:rtl/>
        </w:rPr>
      </w:pPr>
      <w:r w:rsidRPr="00BF62AD">
        <w:rPr>
          <w:b/>
          <w:bCs/>
        </w:rPr>
        <w:t xml:space="preserve">Supplementary Figure </w:t>
      </w:r>
      <w:r w:rsidRPr="00BF62AD">
        <w:rPr>
          <w:b/>
          <w:bCs/>
        </w:rPr>
        <w:fldChar w:fldCharType="begin"/>
      </w:r>
      <w:r w:rsidRPr="00BF62AD">
        <w:rPr>
          <w:b/>
          <w:bCs/>
        </w:rPr>
        <w:instrText xml:space="preserve"> SEQ Figure \* ARABIC </w:instrText>
      </w:r>
      <w:r w:rsidRPr="00BF62AD">
        <w:rPr>
          <w:b/>
          <w:bCs/>
        </w:rPr>
        <w:fldChar w:fldCharType="separate"/>
      </w:r>
      <w:r w:rsidR="006371CE">
        <w:rPr>
          <w:b/>
          <w:bCs/>
          <w:noProof/>
        </w:rPr>
        <w:t>2</w:t>
      </w:r>
      <w:r w:rsidRPr="00BF62AD">
        <w:rPr>
          <w:b/>
          <w:bCs/>
        </w:rPr>
        <w:fldChar w:fldCharType="end"/>
      </w:r>
      <w:r w:rsidRPr="00BF62AD">
        <w:rPr>
          <w:b/>
          <w:bCs/>
        </w:rPr>
        <w:t>.</w:t>
      </w:r>
      <w:r>
        <w:t xml:space="preserve"> </w:t>
      </w:r>
      <w:r w:rsidRPr="00BA7439">
        <w:rPr>
          <w:b/>
          <w:bCs/>
        </w:rPr>
        <w:t>Amplicon coverage per single cell kit</w:t>
      </w:r>
      <w:r>
        <w:rPr>
          <w:b/>
          <w:bCs/>
        </w:rPr>
        <w:t xml:space="preserve"> of only amplicons containing </w:t>
      </w:r>
      <w:proofErr w:type="spellStart"/>
      <w:r>
        <w:rPr>
          <w:b/>
          <w:bCs/>
        </w:rPr>
        <w:t>MseI</w:t>
      </w:r>
      <w:proofErr w:type="spellEnd"/>
      <w:r>
        <w:rPr>
          <w:b/>
          <w:bCs/>
        </w:rPr>
        <w:t xml:space="preserve"> restriction </w:t>
      </w:r>
      <w:r w:rsidRPr="002D2851">
        <w:rPr>
          <w:b/>
          <w:bCs/>
        </w:rPr>
        <w:t>site</w:t>
      </w:r>
      <w:r>
        <w:rPr>
          <w:b/>
          <w:bCs/>
        </w:rPr>
        <w:t xml:space="preserve"> </w:t>
      </w:r>
      <w:r w:rsidRPr="002D2851">
        <w:rPr>
          <w:b/>
          <w:bCs/>
        </w:rPr>
        <w:t>(“TTAA”).</w:t>
      </w:r>
      <w:r>
        <w:t xml:space="preserve"> </w:t>
      </w:r>
      <w:r w:rsidR="004033C5">
        <w:rPr>
          <w:b/>
          <w:bCs/>
        </w:rPr>
        <w:t xml:space="preserve"> </w:t>
      </w:r>
      <w:r w:rsidR="004033C5" w:rsidRPr="00C655D3">
        <w:t>Mapped amplicons were counted per each single cell. Ea</w:t>
      </w:r>
      <w:r w:rsidR="004033C5">
        <w:t>ch dot represents a single cell, except for the right column, where each dot represents a cell bulk duplicate, originated from the same cell line (H1).</w:t>
      </w:r>
      <w:r w:rsidR="004033C5" w:rsidRPr="00C655D3">
        <w:t xml:space="preserve"> Each column is the collection of</w:t>
      </w:r>
      <w:r w:rsidR="004033C5">
        <w:t xml:space="preserve"> all single cells per </w:t>
      </w:r>
      <w:proofErr w:type="spellStart"/>
      <w:r w:rsidR="004033C5">
        <w:t>scWGA</w:t>
      </w:r>
      <w:proofErr w:type="spellEnd"/>
      <w:r w:rsidR="004033C5">
        <w:t xml:space="preserve"> kit (except for the H1 bulk column).</w:t>
      </w:r>
      <w:r w:rsidR="00D315F3" w:rsidRPr="00D315F3">
        <w:t xml:space="preserve"> </w:t>
      </w:r>
      <w:r w:rsidR="00D315F3">
        <w:t>The theoretical maximum is 583 amplicons that follow the X chromosome, “TTAA” containing criteria.</w:t>
      </w:r>
    </w:p>
    <w:p w:rsidR="006371CE" w:rsidRDefault="006371CE" w:rsidP="006371CE">
      <w:pPr>
        <w:keepNext/>
      </w:pPr>
      <w:r>
        <w:rPr>
          <w:noProof/>
        </w:rPr>
        <w:lastRenderedPageBreak/>
        <w:drawing>
          <wp:inline distT="0" distB="0" distL="0" distR="0">
            <wp:extent cx="5270500" cy="2825750"/>
            <wp:effectExtent l="0" t="0" r="6350" b="0"/>
            <wp:docPr id="1" name="Picture 1" descr="C:\Users\tamir\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mir\Downloads\downloa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2825750"/>
                    </a:xfrm>
                    <a:prstGeom prst="rect">
                      <a:avLst/>
                    </a:prstGeom>
                    <a:noFill/>
                    <a:ln>
                      <a:noFill/>
                    </a:ln>
                  </pic:spPr>
                </pic:pic>
              </a:graphicData>
            </a:graphic>
          </wp:inline>
        </w:drawing>
      </w:r>
    </w:p>
    <w:p w:rsidR="006371CE" w:rsidRDefault="006371CE" w:rsidP="00651DDE">
      <w:pPr>
        <w:pStyle w:val="Caption"/>
      </w:pPr>
      <w:r w:rsidRPr="006371CE">
        <w:rPr>
          <w:b/>
          <w:bCs/>
        </w:rPr>
        <w:t xml:space="preserve">Supplementary Figure </w:t>
      </w:r>
      <w:r w:rsidRPr="006371CE">
        <w:rPr>
          <w:b/>
          <w:bCs/>
        </w:rPr>
        <w:fldChar w:fldCharType="begin"/>
      </w:r>
      <w:r w:rsidRPr="006371CE">
        <w:rPr>
          <w:b/>
          <w:bCs/>
        </w:rPr>
        <w:instrText xml:space="preserve"> SEQ Figure \* ARABIC </w:instrText>
      </w:r>
      <w:r w:rsidRPr="006371CE">
        <w:rPr>
          <w:b/>
          <w:bCs/>
        </w:rPr>
        <w:fldChar w:fldCharType="separate"/>
      </w:r>
      <w:r w:rsidRPr="006371CE">
        <w:rPr>
          <w:b/>
          <w:bCs/>
          <w:noProof/>
        </w:rPr>
        <w:t>3</w:t>
      </w:r>
      <w:r w:rsidRPr="006371CE">
        <w:rPr>
          <w:b/>
          <w:bCs/>
        </w:rPr>
        <w:fldChar w:fldCharType="end"/>
      </w:r>
      <w:r w:rsidRPr="006371CE">
        <w:rPr>
          <w:b/>
          <w:bCs/>
        </w:rPr>
        <w:t xml:space="preserve">. Confidence score of different </w:t>
      </w:r>
      <w:proofErr w:type="spellStart"/>
      <w:r w:rsidRPr="006371CE">
        <w:rPr>
          <w:b/>
          <w:bCs/>
        </w:rPr>
        <w:t>scWGA</w:t>
      </w:r>
      <w:proofErr w:type="spellEnd"/>
      <w:r w:rsidRPr="006371CE">
        <w:rPr>
          <w:b/>
          <w:bCs/>
        </w:rPr>
        <w:t xml:space="preserve"> kits.</w:t>
      </w:r>
      <w:r>
        <w:t xml:space="preserve"> </w:t>
      </w:r>
      <w:r w:rsidRPr="00360F58">
        <w:t>AC type MS loci targets from the X chromosome (&gt;30 reads) were analyzed using our MS genotyping tool</w:t>
      </w:r>
      <w:r w:rsidRPr="00360F58">
        <w:fldChar w:fldCharType="begin"/>
      </w:r>
      <w:r w:rsidRPr="00360F58">
        <w:instrText xml:space="preserve"> ADDIN EN.CITE &lt;EndNote&gt;&lt;Cite&gt;&lt;Author&gt;Ofir&lt;/Author&gt;&lt;Year&gt;2016&lt;/Year&gt;&lt;IDText&gt;Short Tandem Repeat stutter model inferred from direct measurement of in vitro stutter noise&lt;/IDText&gt;&lt;DisplayText&gt;&lt;style face="superscript"&gt;15&lt;/style&gt;&lt;/DisplayText&gt;&lt;record&gt;&lt;dates&gt;&lt;pub-dates&gt;&lt;date&gt;2016-07-21&lt;/date&gt;&lt;/pub-dates&gt;&lt;year&gt;2016&lt;/year&gt;&lt;/dates&gt;&lt;urls&gt;&lt;related-urls&gt;&lt;url&gt;http://biorxiv.org/content/early/2016/07/21/065110&lt;/url&gt;&lt;/related-urls&gt;&lt;/urls&gt;&lt;titles&gt;&lt;title&gt;Short Tandem Repeat stutter model inferred from direct measurement of in vitro stutter noise&lt;/title&gt;&lt;/titles&gt;&lt;contributors&gt;&lt;authors&gt;&lt;author&gt;Ofir Raz&lt;/author&gt;&lt;author&gt;Tamir Biezuner&lt;/author&gt;&lt;author&gt;Adam Spiro&lt;/author&gt;&lt;author&gt;Shiran Amir&lt;/author&gt;&lt;author&gt;Lilach Milo&lt;/author&gt;&lt;author&gt;Alon Titelman&lt;/author&gt;&lt;author&gt;Amos Onn&lt;/author&gt;&lt;author&gt;Uriel Feige&lt;/author&gt;&lt;author&gt;Ehud Shapiro&lt;/author&gt;&lt;/authors&gt;&lt;/contributors&gt;&lt;language&gt;en&lt;/language&gt;&lt;added-date format="utc"&gt;1484487434&lt;/added-date&gt;&lt;ref-type name="Journal Article"&gt;17&lt;/ref-type&gt;&lt;rec-number&gt;615&lt;/rec-number&gt;&lt;publisher&gt;Cold Spring Harbor Labs Journals&lt;/publisher&gt;&lt;last-updated-date format="utc"&gt;1484487434&lt;/last-updated-date&gt;&lt;electronic-resource-num&gt;10.1101/065110&lt;/electronic-resource-num&gt;&lt;/record&gt;&lt;/Cite&gt;&lt;/EndNote&gt;</w:instrText>
      </w:r>
      <w:r w:rsidRPr="00360F58">
        <w:fldChar w:fldCharType="separate"/>
      </w:r>
      <w:r w:rsidRPr="00360F58">
        <w:rPr>
          <w:noProof/>
          <w:vertAlign w:val="superscript"/>
        </w:rPr>
        <w:t>15</w:t>
      </w:r>
      <w:r w:rsidRPr="00360F58">
        <w:fldChar w:fldCharType="end"/>
      </w:r>
      <w:r w:rsidR="00651DDE">
        <w:t xml:space="preserve">. This tool compares the stutter pattern observed in the NGS reads to </w:t>
      </w:r>
      <w:r w:rsidR="00651DDE" w:rsidRPr="00360F58">
        <w:t>simulat</w:t>
      </w:r>
      <w:r w:rsidR="00651DDE">
        <w:t xml:space="preserve">ed stutter patterns and </w:t>
      </w:r>
      <w:r w:rsidRPr="00360F58">
        <w:t>estimate</w:t>
      </w:r>
      <w:r w:rsidR="00651DDE">
        <w:t xml:space="preserve">s the </w:t>
      </w:r>
      <w:r w:rsidRPr="00360F58">
        <w:t>amount of amplification</w:t>
      </w:r>
      <w:r w:rsidRPr="00360F58" w:rsidDel="00F450F1">
        <w:t xml:space="preserve"> </w:t>
      </w:r>
      <w:r>
        <w:t xml:space="preserve">(Figure </w:t>
      </w:r>
      <w:r w:rsidR="0070361F">
        <w:t>3</w:t>
      </w:r>
      <w:r>
        <w:t>). Genotyping confidence score was given to each analyzed locus and a</w:t>
      </w:r>
      <w:r w:rsidRPr="00360F58">
        <w:t xml:space="preserve">ll analyzed </w:t>
      </w:r>
      <w:r>
        <w:t>scores p</w:t>
      </w:r>
      <w:r w:rsidRPr="00360F58">
        <w:t xml:space="preserve">er each kit </w:t>
      </w:r>
      <w:r>
        <w:t>were plotted, demonstrating that all kits presented the same quality of genotyping confidence.</w:t>
      </w:r>
      <w:r w:rsidRPr="006371CE">
        <w:t xml:space="preserve"> </w:t>
      </w:r>
    </w:p>
    <w:p w:rsidR="00BF1BB4" w:rsidRDefault="00BF1BB4" w:rsidP="00BF1BB4"/>
    <w:p w:rsidR="00BF1BB4" w:rsidRDefault="00BF1BB4" w:rsidP="00BF1BB4"/>
    <w:p w:rsidR="00BF1BB4" w:rsidRDefault="00BF1BB4" w:rsidP="00BF1BB4"/>
    <w:p w:rsidR="00BF1BB4" w:rsidRPr="00E416C8" w:rsidRDefault="00BF1BB4" w:rsidP="00BF1BB4">
      <w:pPr>
        <w:rPr>
          <w:b/>
          <w:bCs/>
        </w:rPr>
      </w:pPr>
      <w:r w:rsidRPr="00E416C8">
        <w:rPr>
          <w:b/>
          <w:bCs/>
        </w:rPr>
        <w:t>External files:</w:t>
      </w:r>
    </w:p>
    <w:p w:rsidR="00BF1BB4" w:rsidRDefault="00BF1BB4" w:rsidP="002B1312">
      <w:pPr>
        <w:rPr>
          <w:color w:val="1F497D" w:themeColor="text2"/>
          <w:sz w:val="18"/>
          <w:szCs w:val="18"/>
        </w:rPr>
      </w:pPr>
      <w:r w:rsidRPr="00BF1BB4">
        <w:rPr>
          <w:b/>
          <w:bCs/>
          <w:color w:val="1F497D" w:themeColor="text2"/>
          <w:sz w:val="18"/>
          <w:szCs w:val="18"/>
        </w:rPr>
        <w:t xml:space="preserve">Supplementary </w:t>
      </w:r>
      <w:r w:rsidR="002B1312">
        <w:rPr>
          <w:b/>
          <w:bCs/>
          <w:color w:val="1F497D" w:themeColor="text2"/>
          <w:sz w:val="18"/>
          <w:szCs w:val="18"/>
        </w:rPr>
        <w:t>Dataset</w:t>
      </w:r>
      <w:r w:rsidR="002B1312" w:rsidRPr="00BF1BB4">
        <w:rPr>
          <w:b/>
          <w:bCs/>
          <w:color w:val="1F497D" w:themeColor="text2"/>
          <w:sz w:val="18"/>
          <w:szCs w:val="18"/>
        </w:rPr>
        <w:t xml:space="preserve"> </w:t>
      </w:r>
      <w:r w:rsidRPr="00BF1BB4">
        <w:rPr>
          <w:b/>
          <w:bCs/>
          <w:color w:val="1F497D" w:themeColor="text2"/>
          <w:sz w:val="18"/>
          <w:szCs w:val="18"/>
        </w:rPr>
        <w:t>1.</w:t>
      </w:r>
      <w:r>
        <w:rPr>
          <w:b/>
          <w:bCs/>
          <w:color w:val="1F497D" w:themeColor="text2"/>
          <w:sz w:val="18"/>
          <w:szCs w:val="18"/>
        </w:rPr>
        <w:t xml:space="preserve"> A detailed list of all 3401 amplicons. </w:t>
      </w:r>
      <w:r>
        <w:rPr>
          <w:color w:val="1F497D" w:themeColor="text2"/>
          <w:sz w:val="18"/>
          <w:szCs w:val="18"/>
        </w:rPr>
        <w:t>Data includes amplicon ID, coordinates, corresponding PCR primers, the multiplex group each amplicon was part of (in the AA chip) and information regarding the existence of MS within the amplicons</w:t>
      </w:r>
      <w:r w:rsidR="00403575">
        <w:rPr>
          <w:color w:val="1F497D" w:themeColor="text2"/>
          <w:sz w:val="18"/>
          <w:szCs w:val="18"/>
        </w:rPr>
        <w:t>.</w:t>
      </w:r>
    </w:p>
    <w:p w:rsidR="00BF1BB4" w:rsidRDefault="00BF1BB4" w:rsidP="00403575">
      <w:pPr>
        <w:rPr>
          <w:color w:val="1F497D" w:themeColor="text2"/>
          <w:sz w:val="18"/>
          <w:szCs w:val="18"/>
        </w:rPr>
      </w:pPr>
      <w:r w:rsidRPr="00BF1BB4">
        <w:rPr>
          <w:b/>
          <w:bCs/>
          <w:color w:val="1F497D" w:themeColor="text2"/>
          <w:sz w:val="18"/>
          <w:szCs w:val="18"/>
        </w:rPr>
        <w:t>Supplementary</w:t>
      </w:r>
      <w:r w:rsidR="002B1312" w:rsidRPr="002B1312">
        <w:rPr>
          <w:b/>
          <w:bCs/>
          <w:color w:val="1F497D" w:themeColor="text2"/>
          <w:sz w:val="18"/>
          <w:szCs w:val="18"/>
        </w:rPr>
        <w:t xml:space="preserve"> </w:t>
      </w:r>
      <w:r w:rsidR="002B1312">
        <w:rPr>
          <w:b/>
          <w:bCs/>
          <w:color w:val="1F497D" w:themeColor="text2"/>
          <w:sz w:val="18"/>
          <w:szCs w:val="18"/>
        </w:rPr>
        <w:t>Dataset</w:t>
      </w:r>
      <w:r w:rsidRPr="00BF1BB4">
        <w:rPr>
          <w:b/>
          <w:bCs/>
          <w:color w:val="1F497D" w:themeColor="text2"/>
          <w:sz w:val="18"/>
          <w:szCs w:val="18"/>
        </w:rPr>
        <w:t xml:space="preserve"> </w:t>
      </w:r>
      <w:r>
        <w:rPr>
          <w:b/>
          <w:bCs/>
          <w:color w:val="1F497D" w:themeColor="text2"/>
          <w:sz w:val="18"/>
          <w:szCs w:val="18"/>
        </w:rPr>
        <w:t>2</w:t>
      </w:r>
      <w:r w:rsidRPr="00BF1BB4">
        <w:rPr>
          <w:b/>
          <w:bCs/>
          <w:color w:val="1F497D" w:themeColor="text2"/>
          <w:sz w:val="18"/>
          <w:szCs w:val="18"/>
        </w:rPr>
        <w:t>.</w:t>
      </w:r>
      <w:r>
        <w:rPr>
          <w:b/>
          <w:bCs/>
          <w:color w:val="1F497D" w:themeColor="text2"/>
          <w:sz w:val="18"/>
          <w:szCs w:val="18"/>
        </w:rPr>
        <w:t xml:space="preserve"> A list of </w:t>
      </w:r>
      <w:r w:rsidR="00720625">
        <w:rPr>
          <w:b/>
          <w:bCs/>
          <w:color w:val="1F497D" w:themeColor="text2"/>
          <w:sz w:val="18"/>
          <w:szCs w:val="18"/>
        </w:rPr>
        <w:t xml:space="preserve">all MS targets and their coordinates. </w:t>
      </w:r>
      <w:r w:rsidR="00720625" w:rsidRPr="00720625">
        <w:rPr>
          <w:color w:val="1F497D" w:themeColor="text2"/>
          <w:sz w:val="18"/>
          <w:szCs w:val="18"/>
        </w:rPr>
        <w:t xml:space="preserve">Corresponding amplicons are details per target (some targets can be part of the same amplicon). Amplicons and multiplex </w:t>
      </w:r>
      <w:r w:rsidR="00720625">
        <w:rPr>
          <w:color w:val="1F497D" w:themeColor="text2"/>
          <w:sz w:val="18"/>
          <w:szCs w:val="18"/>
        </w:rPr>
        <w:t>groups are tagged by the same ID</w:t>
      </w:r>
      <w:r w:rsidR="00720625" w:rsidRPr="00720625">
        <w:rPr>
          <w:color w:val="1F497D" w:themeColor="text2"/>
          <w:sz w:val="18"/>
          <w:szCs w:val="18"/>
        </w:rPr>
        <w:t xml:space="preserve">s as in Supplementary </w:t>
      </w:r>
      <w:r w:rsidR="00403575">
        <w:rPr>
          <w:color w:val="1F497D" w:themeColor="text2"/>
          <w:sz w:val="18"/>
          <w:szCs w:val="18"/>
        </w:rPr>
        <w:t>Dataset</w:t>
      </w:r>
      <w:r w:rsidR="00403575" w:rsidRPr="00720625">
        <w:rPr>
          <w:color w:val="1F497D" w:themeColor="text2"/>
          <w:sz w:val="18"/>
          <w:szCs w:val="18"/>
        </w:rPr>
        <w:t xml:space="preserve"> </w:t>
      </w:r>
      <w:r w:rsidR="00720625" w:rsidRPr="00720625">
        <w:rPr>
          <w:color w:val="1F497D" w:themeColor="text2"/>
          <w:sz w:val="18"/>
          <w:szCs w:val="18"/>
        </w:rPr>
        <w:t>1.</w:t>
      </w:r>
    </w:p>
    <w:p w:rsidR="00E416C8" w:rsidRPr="00E416C8" w:rsidRDefault="00E416C8" w:rsidP="002B1312">
      <w:pPr>
        <w:rPr>
          <w:b/>
          <w:bCs/>
          <w:color w:val="1F497D" w:themeColor="text2"/>
          <w:sz w:val="18"/>
          <w:szCs w:val="18"/>
        </w:rPr>
      </w:pPr>
      <w:r w:rsidRPr="00E416C8">
        <w:rPr>
          <w:b/>
          <w:bCs/>
          <w:color w:val="1F497D" w:themeColor="text2"/>
          <w:sz w:val="18"/>
          <w:szCs w:val="18"/>
        </w:rPr>
        <w:t>Supplementary</w:t>
      </w:r>
      <w:r w:rsidR="002B1312" w:rsidRPr="002B1312">
        <w:rPr>
          <w:b/>
          <w:bCs/>
          <w:color w:val="1F497D" w:themeColor="text2"/>
          <w:sz w:val="18"/>
          <w:szCs w:val="18"/>
        </w:rPr>
        <w:t xml:space="preserve"> </w:t>
      </w:r>
      <w:r w:rsidR="002B1312">
        <w:rPr>
          <w:b/>
          <w:bCs/>
          <w:color w:val="1F497D" w:themeColor="text2"/>
          <w:sz w:val="18"/>
          <w:szCs w:val="18"/>
        </w:rPr>
        <w:t>Dataset</w:t>
      </w:r>
      <w:r w:rsidRPr="00E416C8">
        <w:rPr>
          <w:b/>
          <w:bCs/>
          <w:color w:val="1F497D" w:themeColor="text2"/>
          <w:sz w:val="18"/>
          <w:szCs w:val="18"/>
        </w:rPr>
        <w:t xml:space="preserve"> 3</w:t>
      </w:r>
      <w:r>
        <w:rPr>
          <w:b/>
          <w:bCs/>
          <w:color w:val="1F497D" w:themeColor="text2"/>
          <w:sz w:val="18"/>
          <w:szCs w:val="18"/>
        </w:rPr>
        <w:t xml:space="preserve">. </w:t>
      </w:r>
      <w:bookmarkStart w:id="0" w:name="_GoBack"/>
      <w:r>
        <w:rPr>
          <w:b/>
          <w:bCs/>
          <w:color w:val="1F497D" w:themeColor="text2"/>
          <w:sz w:val="18"/>
          <w:szCs w:val="18"/>
        </w:rPr>
        <w:t>A summary of mapped reads per sample per amplicon.</w:t>
      </w:r>
      <w:r w:rsidRPr="00E416C8">
        <w:rPr>
          <w:color w:val="1F497D" w:themeColor="text2"/>
          <w:sz w:val="18"/>
          <w:szCs w:val="18"/>
        </w:rPr>
        <w:t xml:space="preserve"> Each </w:t>
      </w:r>
      <w:r>
        <w:rPr>
          <w:color w:val="1F497D" w:themeColor="text2"/>
          <w:sz w:val="18"/>
          <w:szCs w:val="18"/>
        </w:rPr>
        <w:t xml:space="preserve">sample (rows) was mapped to the panel (columns). Numbers represent the count of mapped reads per amplicon per sample. Right side of table shows summary information regarding the mapping analysis (e.g. Total reads, success rate (mapped reads/total reads ratio), </w:t>
      </w:r>
      <w:proofErr w:type="spellStart"/>
      <w:proofErr w:type="gramStart"/>
      <w:r>
        <w:rPr>
          <w:color w:val="1F497D" w:themeColor="text2"/>
          <w:sz w:val="18"/>
          <w:szCs w:val="18"/>
        </w:rPr>
        <w:t>scWGA</w:t>
      </w:r>
      <w:proofErr w:type="spellEnd"/>
      <w:proofErr w:type="gramEnd"/>
      <w:r>
        <w:rPr>
          <w:color w:val="1F497D" w:themeColor="text2"/>
          <w:sz w:val="18"/>
          <w:szCs w:val="18"/>
        </w:rPr>
        <w:t xml:space="preserve"> kit type).</w:t>
      </w:r>
      <w:bookmarkEnd w:id="0"/>
    </w:p>
    <w:sectPr w:rsidR="00E416C8" w:rsidRPr="00E416C8" w:rsidSect="00280A18">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81A" w:rsidRDefault="000B081A" w:rsidP="002C6FBC">
      <w:r>
        <w:separator/>
      </w:r>
    </w:p>
  </w:endnote>
  <w:endnote w:type="continuationSeparator" w:id="0">
    <w:p w:rsidR="000B081A" w:rsidRDefault="000B081A" w:rsidP="002C6FBC">
      <w:r>
        <w:continuationSeparator/>
      </w:r>
    </w:p>
  </w:endnote>
  <w:endnote w:type="continuationNotice" w:id="1">
    <w:p w:rsidR="000B081A" w:rsidRDefault="000B08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7EE" w:rsidRDefault="00565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81A" w:rsidRDefault="000B081A" w:rsidP="002C6FBC">
      <w:r>
        <w:separator/>
      </w:r>
    </w:p>
  </w:footnote>
  <w:footnote w:type="continuationSeparator" w:id="0">
    <w:p w:rsidR="000B081A" w:rsidRDefault="000B081A" w:rsidP="002C6FBC">
      <w:r>
        <w:continuationSeparator/>
      </w:r>
    </w:p>
  </w:footnote>
  <w:footnote w:type="continuationNotice" w:id="1">
    <w:p w:rsidR="000B081A" w:rsidRDefault="000B08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7EE" w:rsidRDefault="00565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92E5E"/>
    <w:rsid w:val="00022080"/>
    <w:rsid w:val="000373C2"/>
    <w:rsid w:val="00097768"/>
    <w:rsid w:val="000B081A"/>
    <w:rsid w:val="000E09B8"/>
    <w:rsid w:val="000F7787"/>
    <w:rsid w:val="001077DA"/>
    <w:rsid w:val="001175AF"/>
    <w:rsid w:val="0016307C"/>
    <w:rsid w:val="001A1C86"/>
    <w:rsid w:val="001B7F9F"/>
    <w:rsid w:val="00201E3B"/>
    <w:rsid w:val="002239BC"/>
    <w:rsid w:val="00280A18"/>
    <w:rsid w:val="002A155C"/>
    <w:rsid w:val="002B1312"/>
    <w:rsid w:val="002C6FBC"/>
    <w:rsid w:val="002D2851"/>
    <w:rsid w:val="002E685D"/>
    <w:rsid w:val="0032460D"/>
    <w:rsid w:val="00376572"/>
    <w:rsid w:val="003B1248"/>
    <w:rsid w:val="003B3AF3"/>
    <w:rsid w:val="004033C5"/>
    <w:rsid w:val="00403575"/>
    <w:rsid w:val="004220D3"/>
    <w:rsid w:val="004A764F"/>
    <w:rsid w:val="004C685F"/>
    <w:rsid w:val="004D78BB"/>
    <w:rsid w:val="004F685C"/>
    <w:rsid w:val="0050460A"/>
    <w:rsid w:val="00516A43"/>
    <w:rsid w:val="0054460E"/>
    <w:rsid w:val="005657EE"/>
    <w:rsid w:val="00577DCF"/>
    <w:rsid w:val="005B0651"/>
    <w:rsid w:val="005B413E"/>
    <w:rsid w:val="005D3EA7"/>
    <w:rsid w:val="00600BED"/>
    <w:rsid w:val="00601CA9"/>
    <w:rsid w:val="00615BA8"/>
    <w:rsid w:val="00621FC2"/>
    <w:rsid w:val="006371CE"/>
    <w:rsid w:val="00640CB4"/>
    <w:rsid w:val="006474C2"/>
    <w:rsid w:val="00651DDE"/>
    <w:rsid w:val="0067382B"/>
    <w:rsid w:val="006A16C0"/>
    <w:rsid w:val="006E3774"/>
    <w:rsid w:val="0070361F"/>
    <w:rsid w:val="00707585"/>
    <w:rsid w:val="00720625"/>
    <w:rsid w:val="007575E8"/>
    <w:rsid w:val="00786455"/>
    <w:rsid w:val="00792E5E"/>
    <w:rsid w:val="007953A3"/>
    <w:rsid w:val="007A5BEE"/>
    <w:rsid w:val="007B256A"/>
    <w:rsid w:val="007B6B71"/>
    <w:rsid w:val="007C63F7"/>
    <w:rsid w:val="007F1D5A"/>
    <w:rsid w:val="00804962"/>
    <w:rsid w:val="00813921"/>
    <w:rsid w:val="00824099"/>
    <w:rsid w:val="00833F90"/>
    <w:rsid w:val="0083624A"/>
    <w:rsid w:val="0089303F"/>
    <w:rsid w:val="008B4395"/>
    <w:rsid w:val="008D7AF2"/>
    <w:rsid w:val="008E3D0E"/>
    <w:rsid w:val="008F4177"/>
    <w:rsid w:val="008F5AFA"/>
    <w:rsid w:val="008F64E2"/>
    <w:rsid w:val="009405FB"/>
    <w:rsid w:val="009728E8"/>
    <w:rsid w:val="009C6969"/>
    <w:rsid w:val="00A00D8E"/>
    <w:rsid w:val="00A457EA"/>
    <w:rsid w:val="00A45987"/>
    <w:rsid w:val="00A51F14"/>
    <w:rsid w:val="00A74B9A"/>
    <w:rsid w:val="00A81751"/>
    <w:rsid w:val="00A82DBA"/>
    <w:rsid w:val="00A84F33"/>
    <w:rsid w:val="00A87698"/>
    <w:rsid w:val="00AC4BBA"/>
    <w:rsid w:val="00AE1CE7"/>
    <w:rsid w:val="00B22977"/>
    <w:rsid w:val="00B4012B"/>
    <w:rsid w:val="00B45B06"/>
    <w:rsid w:val="00B51D29"/>
    <w:rsid w:val="00B63B39"/>
    <w:rsid w:val="00B85E01"/>
    <w:rsid w:val="00B95A9E"/>
    <w:rsid w:val="00BC6C30"/>
    <w:rsid w:val="00BE61E2"/>
    <w:rsid w:val="00BF1BB4"/>
    <w:rsid w:val="00BF62AD"/>
    <w:rsid w:val="00C3559E"/>
    <w:rsid w:val="00C41FBD"/>
    <w:rsid w:val="00C9239F"/>
    <w:rsid w:val="00CA2D62"/>
    <w:rsid w:val="00CB176A"/>
    <w:rsid w:val="00CB5B02"/>
    <w:rsid w:val="00CC4294"/>
    <w:rsid w:val="00D04765"/>
    <w:rsid w:val="00D315F3"/>
    <w:rsid w:val="00D352FA"/>
    <w:rsid w:val="00D54C9D"/>
    <w:rsid w:val="00D57E1D"/>
    <w:rsid w:val="00D92699"/>
    <w:rsid w:val="00DC668D"/>
    <w:rsid w:val="00DD6D2B"/>
    <w:rsid w:val="00DE4E0F"/>
    <w:rsid w:val="00DF625A"/>
    <w:rsid w:val="00E202F0"/>
    <w:rsid w:val="00E358CA"/>
    <w:rsid w:val="00E416C8"/>
    <w:rsid w:val="00E54958"/>
    <w:rsid w:val="00E61CA5"/>
    <w:rsid w:val="00E634EB"/>
    <w:rsid w:val="00EB5A27"/>
    <w:rsid w:val="00EC066A"/>
    <w:rsid w:val="00EE6437"/>
    <w:rsid w:val="00FA772D"/>
    <w:rsid w:val="00FD75D7"/>
    <w:rsid w:val="00FE60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E97F"/>
  <w15:docId w15:val="{71B6CD42-82B6-4B47-B5D2-4621FB18B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FBC"/>
    <w:rPr>
      <w:rFonts w:asciiTheme="majorBidi" w:hAnsiTheme="majorBidi" w:cstheme="majorBidi"/>
    </w:rPr>
  </w:style>
  <w:style w:type="paragraph" w:styleId="Heading1">
    <w:name w:val="heading 1"/>
    <w:basedOn w:val="Normal"/>
    <w:next w:val="Normal"/>
    <w:link w:val="Heading1Char"/>
    <w:uiPriority w:val="9"/>
    <w:qFormat/>
    <w:rsid w:val="002C6FBC"/>
    <w:pPr>
      <w:keepNext/>
      <w:keepLines/>
      <w:spacing w:before="240" w:after="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2C6FBC"/>
    <w:pPr>
      <w:keepNext/>
      <w:keepLines/>
      <w:spacing w:before="40" w:after="0"/>
      <w:outlineLvl w:val="1"/>
    </w:pPr>
    <w:rPr>
      <w:rFonts w:asciiTheme="majorHAnsi" w:eastAsiaTheme="majorEastAsia" w:hAnsiTheme="majorHAns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B0651"/>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B0651"/>
    <w:rPr>
      <w:rFonts w:ascii="Calibri" w:hAnsi="Calibri" w:cstheme="majorBidi"/>
      <w:noProof/>
    </w:rPr>
  </w:style>
  <w:style w:type="paragraph" w:customStyle="1" w:styleId="EndNoteBibliography">
    <w:name w:val="EndNote Bibliography"/>
    <w:basedOn w:val="Normal"/>
    <w:link w:val="EndNoteBibliographyChar"/>
    <w:rsid w:val="005B0651"/>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B0651"/>
    <w:rPr>
      <w:rFonts w:ascii="Calibri" w:hAnsi="Calibri" w:cstheme="majorBidi"/>
      <w:noProof/>
    </w:rPr>
  </w:style>
  <w:style w:type="character" w:customStyle="1" w:styleId="Heading1Char">
    <w:name w:val="Heading 1 Char"/>
    <w:basedOn w:val="DefaultParagraphFont"/>
    <w:link w:val="Heading1"/>
    <w:uiPriority w:val="9"/>
    <w:rsid w:val="002C6FBC"/>
    <w:rPr>
      <w:rFonts w:asciiTheme="majorBidi" w:eastAsiaTheme="majorEastAsia" w:hAnsiTheme="majorBidi" w:cstheme="majorBidi"/>
      <w:b/>
      <w:bCs/>
      <w:sz w:val="28"/>
      <w:szCs w:val="28"/>
    </w:rPr>
  </w:style>
  <w:style w:type="character" w:customStyle="1" w:styleId="Heading2Char">
    <w:name w:val="Heading 2 Char"/>
    <w:basedOn w:val="DefaultParagraphFont"/>
    <w:link w:val="Heading2"/>
    <w:uiPriority w:val="9"/>
    <w:rsid w:val="002C6FBC"/>
    <w:rPr>
      <w:rFonts w:asciiTheme="majorHAnsi" w:eastAsiaTheme="majorEastAsia" w:hAnsiTheme="majorHAnsi" w:cstheme="majorBidi"/>
      <w:b/>
      <w:bCs/>
      <w:sz w:val="24"/>
      <w:szCs w:val="24"/>
    </w:rPr>
  </w:style>
  <w:style w:type="paragraph" w:styleId="Header">
    <w:name w:val="header"/>
    <w:basedOn w:val="Normal"/>
    <w:link w:val="HeaderChar"/>
    <w:uiPriority w:val="99"/>
    <w:unhideWhenUsed/>
    <w:rsid w:val="002C6FBC"/>
    <w:pPr>
      <w:tabs>
        <w:tab w:val="center" w:pos="4320"/>
        <w:tab w:val="right" w:pos="8640"/>
      </w:tabs>
      <w:spacing w:after="0" w:line="240" w:lineRule="auto"/>
    </w:pPr>
  </w:style>
  <w:style w:type="character" w:customStyle="1" w:styleId="HeaderChar">
    <w:name w:val="Header Char"/>
    <w:basedOn w:val="DefaultParagraphFont"/>
    <w:link w:val="Header"/>
    <w:uiPriority w:val="99"/>
    <w:rsid w:val="002C6FBC"/>
  </w:style>
  <w:style w:type="paragraph" w:styleId="Footer">
    <w:name w:val="footer"/>
    <w:basedOn w:val="Normal"/>
    <w:link w:val="FooterChar"/>
    <w:uiPriority w:val="99"/>
    <w:unhideWhenUsed/>
    <w:rsid w:val="002C6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2C6FBC"/>
  </w:style>
  <w:style w:type="paragraph" w:styleId="Caption">
    <w:name w:val="caption"/>
    <w:basedOn w:val="Normal"/>
    <w:next w:val="Normal"/>
    <w:uiPriority w:val="35"/>
    <w:unhideWhenUsed/>
    <w:qFormat/>
    <w:rsid w:val="00FA772D"/>
    <w:pPr>
      <w:spacing w:line="240" w:lineRule="auto"/>
    </w:pPr>
    <w:rPr>
      <w:color w:val="1F497D" w:themeColor="text2"/>
      <w:sz w:val="18"/>
      <w:szCs w:val="18"/>
    </w:rPr>
  </w:style>
  <w:style w:type="paragraph" w:styleId="BalloonText">
    <w:name w:val="Balloon Text"/>
    <w:basedOn w:val="Normal"/>
    <w:link w:val="BalloonTextChar"/>
    <w:uiPriority w:val="99"/>
    <w:semiHidden/>
    <w:unhideWhenUsed/>
    <w:rsid w:val="005046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60A"/>
    <w:rPr>
      <w:rFonts w:ascii="Segoe UI" w:hAnsi="Segoe UI" w:cs="Segoe UI"/>
      <w:sz w:val="18"/>
      <w:szCs w:val="18"/>
    </w:rPr>
  </w:style>
  <w:style w:type="table" w:styleId="TableGrid">
    <w:name w:val="Table Grid"/>
    <w:basedOn w:val="TableNormal"/>
    <w:uiPriority w:val="59"/>
    <w:rsid w:val="00403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57EE"/>
    <w:pPr>
      <w:spacing w:after="0" w:line="240" w:lineRule="auto"/>
    </w:pPr>
    <w:rPr>
      <w:rFonts w:asciiTheme="majorBidi" w:hAnsiTheme="majorBid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04356">
      <w:bodyDiv w:val="1"/>
      <w:marLeft w:val="0"/>
      <w:marRight w:val="0"/>
      <w:marTop w:val="0"/>
      <w:marBottom w:val="0"/>
      <w:divBdr>
        <w:top w:val="none" w:sz="0" w:space="0" w:color="auto"/>
        <w:left w:val="none" w:sz="0" w:space="0" w:color="auto"/>
        <w:bottom w:val="none" w:sz="0" w:space="0" w:color="auto"/>
        <w:right w:val="none" w:sz="0" w:space="0" w:color="auto"/>
      </w:divBdr>
    </w:div>
    <w:div w:id="152263590">
      <w:bodyDiv w:val="1"/>
      <w:marLeft w:val="0"/>
      <w:marRight w:val="0"/>
      <w:marTop w:val="0"/>
      <w:marBottom w:val="0"/>
      <w:divBdr>
        <w:top w:val="none" w:sz="0" w:space="0" w:color="auto"/>
        <w:left w:val="none" w:sz="0" w:space="0" w:color="auto"/>
        <w:bottom w:val="none" w:sz="0" w:space="0" w:color="auto"/>
        <w:right w:val="none" w:sz="0" w:space="0" w:color="auto"/>
      </w:divBdr>
    </w:div>
    <w:div w:id="453443819">
      <w:bodyDiv w:val="1"/>
      <w:marLeft w:val="0"/>
      <w:marRight w:val="0"/>
      <w:marTop w:val="0"/>
      <w:marBottom w:val="0"/>
      <w:divBdr>
        <w:top w:val="none" w:sz="0" w:space="0" w:color="auto"/>
        <w:left w:val="none" w:sz="0" w:space="0" w:color="auto"/>
        <w:bottom w:val="none" w:sz="0" w:space="0" w:color="auto"/>
        <w:right w:val="none" w:sz="0" w:space="0" w:color="auto"/>
      </w:divBdr>
    </w:div>
    <w:div w:id="1189566072">
      <w:bodyDiv w:val="1"/>
      <w:marLeft w:val="0"/>
      <w:marRight w:val="0"/>
      <w:marTop w:val="0"/>
      <w:marBottom w:val="0"/>
      <w:divBdr>
        <w:top w:val="none" w:sz="0" w:space="0" w:color="auto"/>
        <w:left w:val="none" w:sz="0" w:space="0" w:color="auto"/>
        <w:bottom w:val="none" w:sz="0" w:space="0" w:color="auto"/>
        <w:right w:val="none" w:sz="0" w:space="0" w:color="auto"/>
      </w:divBdr>
    </w:div>
    <w:div w:id="1256283761">
      <w:bodyDiv w:val="1"/>
      <w:marLeft w:val="0"/>
      <w:marRight w:val="0"/>
      <w:marTop w:val="0"/>
      <w:marBottom w:val="0"/>
      <w:divBdr>
        <w:top w:val="none" w:sz="0" w:space="0" w:color="auto"/>
        <w:left w:val="none" w:sz="0" w:space="0" w:color="auto"/>
        <w:bottom w:val="none" w:sz="0" w:space="0" w:color="auto"/>
        <w:right w:val="none" w:sz="0" w:space="0" w:color="auto"/>
      </w:divBdr>
    </w:div>
    <w:div w:id="2098935660">
      <w:bodyDiv w:val="1"/>
      <w:marLeft w:val="0"/>
      <w:marRight w:val="0"/>
      <w:marTop w:val="0"/>
      <w:marBottom w:val="0"/>
      <w:divBdr>
        <w:top w:val="none" w:sz="0" w:space="0" w:color="auto"/>
        <w:left w:val="none" w:sz="0" w:space="0" w:color="auto"/>
        <w:bottom w:val="none" w:sz="0" w:space="0" w:color="auto"/>
        <w:right w:val="none" w:sz="0" w:space="0" w:color="auto"/>
      </w:divBdr>
    </w:div>
    <w:div w:id="210044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9AC0EBC-6F67-431A-877C-7B648D9D8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Tamir_1</dc:creator>
  <cp:lastModifiedBy>Tamir Biezuner</cp:lastModifiedBy>
  <cp:revision>3</cp:revision>
  <dcterms:created xsi:type="dcterms:W3CDTF">2021-05-25T08:20:00Z</dcterms:created>
  <dcterms:modified xsi:type="dcterms:W3CDTF">2021-05-25T13:39:00Z</dcterms:modified>
</cp:coreProperties>
</file>