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7739" w14:textId="77777777" w:rsidR="00BF06DB" w:rsidRDefault="00BF06DB" w:rsidP="00BF06DB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</w:pPr>
    </w:p>
    <w:p w14:paraId="10D3A22C" w14:textId="77777777" w:rsidR="00BF06DB" w:rsidRPr="00BF06DB" w:rsidRDefault="00BF06DB" w:rsidP="00BF06DB">
      <w:pPr>
        <w:rPr>
          <w:b/>
          <w:sz w:val="32"/>
          <w:szCs w:val="24"/>
        </w:rPr>
      </w:pPr>
      <w:r w:rsidRPr="00BF06DB">
        <w:rPr>
          <w:b/>
          <w:sz w:val="32"/>
          <w:szCs w:val="24"/>
        </w:rPr>
        <w:t>Supplementary Information</w:t>
      </w:r>
    </w:p>
    <w:p w14:paraId="22012B02" w14:textId="77777777" w:rsidR="00BF06DB" w:rsidRDefault="00BF06DB" w:rsidP="00BF06DB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</w:pPr>
    </w:p>
    <w:p w14:paraId="21DBA7F9" w14:textId="77777777" w:rsidR="00BF06DB" w:rsidRDefault="00BF06DB" w:rsidP="00BF06DB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</w:pP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Extensive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p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henotypic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c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haracterisation of a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h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uman TDP-43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  <w:vertAlign w:val="superscript"/>
        </w:rPr>
        <w:t>Q331K</w:t>
      </w:r>
      <w:r w:rsidRPr="00D8611A">
        <w:rPr>
          <w:rStyle w:val="apple-converted-space"/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t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ransgenic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m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ouse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m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odel of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a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myotrophic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l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ateral 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s</w:t>
      </w:r>
      <w:r w:rsidRPr="00D8611A"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>clerosis</w:t>
      </w:r>
      <w:r>
        <w:rPr>
          <w:rFonts w:ascii="Times New Roman" w:hAnsi="Times New Roman" w:cs="Times New Roman"/>
          <w:b/>
          <w:color w:val="222222"/>
          <w:sz w:val="36"/>
          <w:szCs w:val="28"/>
          <w:shd w:val="clear" w:color="auto" w:fill="FFFFFF"/>
        </w:rPr>
        <w:t xml:space="preserve"> (ALS)</w:t>
      </w:r>
    </w:p>
    <w:p w14:paraId="02C7B06F" w14:textId="146A2C87" w:rsidR="00BF06DB" w:rsidRPr="0066788E" w:rsidRDefault="00BF06DB" w:rsidP="00BF06DB">
      <w:pPr>
        <w:spacing w:before="120" w:after="120" w:line="480" w:lineRule="auto"/>
        <w:jc w:val="both"/>
        <w:rPr>
          <w:sz w:val="24"/>
          <w:szCs w:val="24"/>
          <w:vertAlign w:val="superscript"/>
        </w:rPr>
      </w:pPr>
      <w:r w:rsidRPr="0066788E">
        <w:rPr>
          <w:sz w:val="24"/>
          <w:szCs w:val="24"/>
        </w:rPr>
        <w:t xml:space="preserve">Jodie A. </w:t>
      </w:r>
      <w:r w:rsidR="005D5363">
        <w:rPr>
          <w:sz w:val="24"/>
          <w:szCs w:val="24"/>
        </w:rPr>
        <w:t>Watkins</w:t>
      </w:r>
      <w:r w:rsidRPr="0066788E">
        <w:rPr>
          <w:sz w:val="24"/>
          <w:szCs w:val="24"/>
        </w:rPr>
        <w:t>, James J. P. Alix, Pamela J. Shaw, Richard J. Mead</w:t>
      </w:r>
    </w:p>
    <w:p w14:paraId="41C855E9" w14:textId="77777777" w:rsidR="00142E22" w:rsidRDefault="005D5363" w:rsidP="00BF06DB">
      <w:pPr>
        <w:rPr>
          <w:sz w:val="24"/>
          <w:szCs w:val="24"/>
        </w:rPr>
      </w:pPr>
    </w:p>
    <w:p w14:paraId="3D949F58" w14:textId="77777777" w:rsidR="00BF06DB" w:rsidRDefault="00BF06DB" w:rsidP="00BF06DB">
      <w:pPr>
        <w:spacing w:line="480" w:lineRule="auto"/>
        <w:rPr>
          <w:b/>
          <w:sz w:val="24"/>
          <w:szCs w:val="24"/>
        </w:rPr>
      </w:pPr>
      <w:r w:rsidRPr="003D01B6">
        <w:rPr>
          <w:b/>
          <w:sz w:val="24"/>
          <w:szCs w:val="24"/>
        </w:rPr>
        <w:t>Supplementary Movie 1 -TDP43</w:t>
      </w:r>
      <w:r w:rsidRPr="003D01B6">
        <w:rPr>
          <w:b/>
          <w:sz w:val="24"/>
          <w:szCs w:val="24"/>
          <w:vertAlign w:val="superscript"/>
        </w:rPr>
        <w:t>Q331K</w:t>
      </w:r>
      <w:r w:rsidRPr="003D01B6">
        <w:rPr>
          <w:b/>
          <w:sz w:val="24"/>
          <w:szCs w:val="24"/>
        </w:rPr>
        <w:t xml:space="preserve"> tremor</w:t>
      </w:r>
      <w:r>
        <w:rPr>
          <w:b/>
          <w:sz w:val="24"/>
          <w:szCs w:val="24"/>
        </w:rPr>
        <w:t xml:space="preserve">. </w:t>
      </w:r>
      <w:r w:rsidRPr="003D01B6">
        <w:rPr>
          <w:sz w:val="24"/>
          <w:szCs w:val="24"/>
        </w:rPr>
        <w:t>This video shows the typical</w:t>
      </w:r>
      <w:r>
        <w:rPr>
          <w:sz w:val="24"/>
          <w:szCs w:val="24"/>
        </w:rPr>
        <w:t xml:space="preserve"> continuous</w:t>
      </w:r>
      <w:r w:rsidRPr="003D01B6">
        <w:rPr>
          <w:sz w:val="24"/>
          <w:szCs w:val="24"/>
        </w:rPr>
        <w:t xml:space="preserve"> resting tremor</w:t>
      </w:r>
      <w:r>
        <w:rPr>
          <w:sz w:val="24"/>
          <w:szCs w:val="24"/>
        </w:rPr>
        <w:t xml:space="preserve"> </w:t>
      </w:r>
      <w:r w:rsidRPr="0066788E">
        <w:rPr>
          <w:sz w:val="24"/>
          <w:szCs w:val="24"/>
        </w:rPr>
        <w:t>in a 6 month old TDP-43</w:t>
      </w:r>
      <w:r w:rsidRPr="0066788E">
        <w:rPr>
          <w:sz w:val="24"/>
          <w:szCs w:val="24"/>
          <w:vertAlign w:val="superscript"/>
        </w:rPr>
        <w:t>Q331K</w:t>
      </w:r>
      <w:r w:rsidRPr="0066788E">
        <w:rPr>
          <w:sz w:val="24"/>
          <w:szCs w:val="24"/>
        </w:rPr>
        <w:t xml:space="preserve"> female mouse. </w:t>
      </w:r>
      <w:r>
        <w:rPr>
          <w:sz w:val="24"/>
          <w:szCs w:val="24"/>
        </w:rPr>
        <w:t xml:space="preserve"> </w:t>
      </w:r>
      <w:r w:rsidRPr="003D01B6">
        <w:rPr>
          <w:sz w:val="24"/>
          <w:szCs w:val="24"/>
        </w:rPr>
        <w:t xml:space="preserve"> </w:t>
      </w:r>
      <w:r>
        <w:rPr>
          <w:sz w:val="24"/>
          <w:szCs w:val="24"/>
        </w:rPr>
        <w:t>This phenotype develops from 10-14 weeks of age onwards.</w:t>
      </w:r>
    </w:p>
    <w:p w14:paraId="09B1B954" w14:textId="77777777" w:rsidR="00BF06DB" w:rsidRDefault="00BF06DB" w:rsidP="00BF06DB">
      <w:pPr>
        <w:spacing w:line="480" w:lineRule="auto"/>
        <w:rPr>
          <w:b/>
          <w:sz w:val="24"/>
          <w:szCs w:val="24"/>
        </w:rPr>
      </w:pPr>
      <w:r w:rsidRPr="003D01B6">
        <w:rPr>
          <w:b/>
          <w:sz w:val="24"/>
          <w:szCs w:val="24"/>
        </w:rPr>
        <w:t>Supplementary Movie 2-TDP43</w:t>
      </w:r>
      <w:r w:rsidRPr="003D01B6">
        <w:rPr>
          <w:b/>
          <w:sz w:val="24"/>
          <w:szCs w:val="24"/>
          <w:vertAlign w:val="superscript"/>
        </w:rPr>
        <w:t>Q331K</w:t>
      </w:r>
      <w:r w:rsidRPr="003D01B6">
        <w:rPr>
          <w:b/>
          <w:sz w:val="24"/>
          <w:szCs w:val="24"/>
        </w:rPr>
        <w:t xml:space="preserve"> gait</w:t>
      </w:r>
      <w:r>
        <w:rPr>
          <w:b/>
          <w:sz w:val="24"/>
          <w:szCs w:val="24"/>
        </w:rPr>
        <w:t xml:space="preserve">. </w:t>
      </w:r>
      <w:r w:rsidRPr="00E10F59">
        <w:rPr>
          <w:sz w:val="24"/>
          <w:szCs w:val="24"/>
        </w:rPr>
        <w:t>This video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shows the </w:t>
      </w:r>
      <w:r w:rsidRPr="0066788E">
        <w:rPr>
          <w:sz w:val="24"/>
          <w:szCs w:val="24"/>
        </w:rPr>
        <w:t xml:space="preserve">obvious waddling or </w:t>
      </w:r>
      <w:r>
        <w:rPr>
          <w:sz w:val="24"/>
          <w:szCs w:val="24"/>
        </w:rPr>
        <w:t>“</w:t>
      </w:r>
      <w:r w:rsidRPr="0066788E">
        <w:rPr>
          <w:sz w:val="24"/>
          <w:szCs w:val="24"/>
        </w:rPr>
        <w:t>swimming</w:t>
      </w:r>
      <w:r>
        <w:rPr>
          <w:sz w:val="24"/>
          <w:szCs w:val="24"/>
        </w:rPr>
        <w:t>”</w:t>
      </w:r>
      <w:r w:rsidRPr="0066788E">
        <w:rPr>
          <w:sz w:val="24"/>
          <w:szCs w:val="24"/>
        </w:rPr>
        <w:t xml:space="preserve"> gait</w:t>
      </w:r>
      <w:r>
        <w:rPr>
          <w:sz w:val="24"/>
          <w:szCs w:val="24"/>
        </w:rPr>
        <w:t xml:space="preserve"> in a 6 month old female mouse. This gait abnormality develops from approximately 27 weeks of age and can be quantified using gait analysis (see figure 2F and G)</w:t>
      </w:r>
    </w:p>
    <w:p w14:paraId="021F9480" w14:textId="77777777" w:rsidR="00BF06DB" w:rsidRDefault="00BF06DB" w:rsidP="00BF06DB">
      <w:pPr>
        <w:rPr>
          <w:sz w:val="24"/>
          <w:szCs w:val="24"/>
        </w:rPr>
      </w:pPr>
      <w:r w:rsidRPr="003D01B6">
        <w:rPr>
          <w:b/>
          <w:sz w:val="24"/>
          <w:szCs w:val="24"/>
        </w:rPr>
        <w:t>Supplementary Movie 3-TDP43</w:t>
      </w:r>
      <w:r w:rsidRPr="003D01B6">
        <w:rPr>
          <w:b/>
          <w:sz w:val="24"/>
          <w:szCs w:val="24"/>
          <w:vertAlign w:val="superscript"/>
        </w:rPr>
        <w:t xml:space="preserve">WT </w:t>
      </w:r>
      <w:r w:rsidRPr="003D01B6">
        <w:rPr>
          <w:b/>
          <w:sz w:val="24"/>
          <w:szCs w:val="24"/>
        </w:rPr>
        <w:t>gait</w:t>
      </w:r>
      <w:r>
        <w:rPr>
          <w:b/>
          <w:sz w:val="24"/>
          <w:szCs w:val="24"/>
        </w:rPr>
        <w:t xml:space="preserve">. </w:t>
      </w:r>
      <w:r w:rsidRPr="00E10F59">
        <w:rPr>
          <w:sz w:val="24"/>
          <w:szCs w:val="24"/>
        </w:rPr>
        <w:t>This video shows the normal gait observed in a TDP-43WT transgenic mouse at 6 months of age</w:t>
      </w:r>
      <w:r>
        <w:rPr>
          <w:b/>
          <w:sz w:val="24"/>
          <w:szCs w:val="24"/>
        </w:rPr>
        <w:t>.</w:t>
      </w:r>
    </w:p>
    <w:p w14:paraId="1090A2D5" w14:textId="4AD269A1" w:rsidR="003E7C55" w:rsidRDefault="003E7C55">
      <w:r>
        <w:br w:type="page"/>
      </w:r>
    </w:p>
    <w:p w14:paraId="052B1D75" w14:textId="29303797" w:rsidR="00BF06DB" w:rsidRDefault="003E7C55" w:rsidP="00BF06DB">
      <w:r>
        <w:rPr>
          <w:noProof/>
        </w:rPr>
        <w:lastRenderedPageBreak/>
        <w:drawing>
          <wp:inline distT="0" distB="0" distL="0" distR="0" wp14:anchorId="2F2AB740" wp14:editId="40D43CE0">
            <wp:extent cx="4914900" cy="491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16A02" w14:textId="0C3CA7AA" w:rsidR="003E7C55" w:rsidRDefault="003E7C55" w:rsidP="00BF06DB">
      <w:pPr>
        <w:rPr>
          <w:b/>
          <w:bCs/>
        </w:rPr>
      </w:pPr>
      <w:r w:rsidRPr="003E7C55">
        <w:rPr>
          <w:b/>
          <w:bCs/>
        </w:rPr>
        <w:t>Supplementary Figure 1</w:t>
      </w:r>
    </w:p>
    <w:p w14:paraId="0DF8D697" w14:textId="75758D56" w:rsidR="003E7C55" w:rsidRDefault="003E7C55" w:rsidP="00BF06DB">
      <w:r w:rsidRPr="003E7C55">
        <w:t>Image showing the original captured image of the western blot in Figure 4d, TDP-43</w:t>
      </w:r>
    </w:p>
    <w:p w14:paraId="39BC1254" w14:textId="77777777" w:rsidR="003E7C55" w:rsidRDefault="003E7C55">
      <w:r>
        <w:br w:type="page"/>
      </w:r>
    </w:p>
    <w:p w14:paraId="1A66D13B" w14:textId="25ADAEC9" w:rsidR="003E7C55" w:rsidRDefault="003E7C55" w:rsidP="00BF06DB">
      <w:r>
        <w:rPr>
          <w:noProof/>
        </w:rPr>
        <w:lastRenderedPageBreak/>
        <w:drawing>
          <wp:inline distT="0" distB="0" distL="0" distR="0" wp14:anchorId="79CA8E9A" wp14:editId="7B95320A">
            <wp:extent cx="4369981" cy="4369981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408" cy="437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16E2" w14:textId="2A91BE1A" w:rsidR="003E7C55" w:rsidRDefault="003E7C55" w:rsidP="00BF06DB"/>
    <w:p w14:paraId="30D17A82" w14:textId="110BFE20" w:rsidR="003E7C55" w:rsidRDefault="003E7C55" w:rsidP="003E7C55">
      <w:pPr>
        <w:rPr>
          <w:b/>
          <w:bCs/>
        </w:rPr>
      </w:pPr>
      <w:r w:rsidRPr="003E7C55">
        <w:rPr>
          <w:b/>
          <w:bCs/>
        </w:rPr>
        <w:t xml:space="preserve">Supplementary Figure </w:t>
      </w:r>
      <w:r>
        <w:rPr>
          <w:b/>
          <w:bCs/>
        </w:rPr>
        <w:t>2</w:t>
      </w:r>
    </w:p>
    <w:p w14:paraId="6F55996D" w14:textId="51CBE102" w:rsidR="003E7C55" w:rsidRPr="003E7C55" w:rsidRDefault="003E7C55" w:rsidP="003E7C55">
      <w:r w:rsidRPr="003E7C55">
        <w:t xml:space="preserve">Image showing the original captured image of the western blot in Figure 4d, </w:t>
      </w:r>
      <w:r>
        <w:t>beta-actin</w:t>
      </w:r>
    </w:p>
    <w:p w14:paraId="3436AE82" w14:textId="77777777" w:rsidR="003E7C55" w:rsidRPr="003E7C55" w:rsidRDefault="003E7C55" w:rsidP="00BF06DB"/>
    <w:sectPr w:rsidR="003E7C55" w:rsidRPr="003E7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6DB"/>
    <w:rsid w:val="003C3A56"/>
    <w:rsid w:val="003E7C55"/>
    <w:rsid w:val="005479BF"/>
    <w:rsid w:val="005D5363"/>
    <w:rsid w:val="00703D58"/>
    <w:rsid w:val="00BF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27C2"/>
  <w15:chartTrackingRefBased/>
  <w15:docId w15:val="{6EFEC56D-D390-42E9-A281-77A20C79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F06DB"/>
  </w:style>
  <w:style w:type="character" w:styleId="Hyperlink">
    <w:name w:val="Hyperlink"/>
    <w:basedOn w:val="DefaultParagraphFont"/>
    <w:uiPriority w:val="99"/>
    <w:unhideWhenUsed/>
    <w:rsid w:val="00BF0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RMead</dc:creator>
  <cp:keywords/>
  <dc:description/>
  <cp:lastModifiedBy>Richard Mead</cp:lastModifiedBy>
  <cp:revision>3</cp:revision>
  <dcterms:created xsi:type="dcterms:W3CDTF">2021-07-21T22:05:00Z</dcterms:created>
  <dcterms:modified xsi:type="dcterms:W3CDTF">2021-07-21T22:05:00Z</dcterms:modified>
</cp:coreProperties>
</file>