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6356D79" w14:textId="3C3DDE59" w:rsidR="00404B15" w:rsidRPr="00B71C3E" w:rsidRDefault="00203AA5" w:rsidP="00404B15">
      <w:pPr>
        <w:widowControl/>
        <w:autoSpaceDE w:val="0"/>
        <w:autoSpaceDN w:val="0"/>
        <w:spacing w:beforeAutospacing="1" w:after="0"/>
        <w:jc w:val="left"/>
      </w:pPr>
      <w:r w:rsidRPr="00203AA5">
        <w:rPr>
          <w:b/>
          <w:bCs/>
        </w:rPr>
        <w:t xml:space="preserve">Additional </w:t>
      </w:r>
      <w:r w:rsidR="00404B15" w:rsidRPr="008A0E07">
        <w:rPr>
          <w:b/>
          <w:bCs/>
        </w:rPr>
        <w:t>Table 4.</w:t>
      </w:r>
      <w:r w:rsidR="00404B15" w:rsidRPr="00B71C3E">
        <w:t xml:space="preserve"> Clinical Outcomes of Hypovolemic Shock Only</w:t>
      </w:r>
    </w:p>
    <w:p w14:paraId="5AB58E6D" w14:textId="77777777" w:rsidR="00404B15" w:rsidRPr="00B71C3E" w:rsidRDefault="00404B15" w:rsidP="00404B15">
      <w:pPr>
        <w:spacing w:after="0"/>
      </w:pP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8"/>
        <w:gridCol w:w="2117"/>
        <w:gridCol w:w="2100"/>
        <w:gridCol w:w="1079"/>
      </w:tblGrid>
      <w:tr w:rsidR="00404B15" w:rsidRPr="00B71C3E" w14:paraId="18E28FC8" w14:textId="77777777" w:rsidTr="00193196">
        <w:trPr>
          <w:cantSplit/>
          <w:tblHeader/>
          <w:jc w:val="center"/>
        </w:trPr>
        <w:tc>
          <w:tcPr>
            <w:tcW w:w="4028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0225D2C7" w14:textId="77777777" w:rsidR="00404B15" w:rsidRPr="00B71C3E" w:rsidRDefault="00404B15" w:rsidP="00193196">
            <w:pPr>
              <w:keepNext/>
              <w:adjustRightInd w:val="0"/>
              <w:spacing w:before="38" w:after="38"/>
              <w:jc w:val="center"/>
            </w:pPr>
            <w:r w:rsidRPr="00B71C3E">
              <w:t>Characteristic</w:t>
            </w:r>
          </w:p>
        </w:tc>
        <w:tc>
          <w:tcPr>
            <w:tcW w:w="2117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0013D458" w14:textId="77777777" w:rsidR="00404B15" w:rsidRPr="00B71C3E" w:rsidRDefault="00404B15" w:rsidP="00193196">
            <w:pPr>
              <w:spacing w:after="0"/>
              <w:jc w:val="center"/>
            </w:pPr>
            <w:r w:rsidRPr="00B71C3E">
              <w:t>NE</w:t>
            </w:r>
            <w:r>
              <w:t>1</w:t>
            </w:r>
            <w:r w:rsidRPr="00B71C3E">
              <w:br/>
              <w:t>N=16</w:t>
            </w:r>
          </w:p>
        </w:tc>
        <w:tc>
          <w:tcPr>
            <w:tcW w:w="2100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13C5E25B" w14:textId="77777777" w:rsidR="00404B15" w:rsidRPr="00B71C3E" w:rsidRDefault="00404B15" w:rsidP="00193196">
            <w:pPr>
              <w:spacing w:after="0"/>
              <w:jc w:val="center"/>
            </w:pPr>
            <w:r w:rsidRPr="00B71C3E">
              <w:t>VP</w:t>
            </w:r>
            <w:r>
              <w:t>1</w:t>
            </w:r>
            <w:r w:rsidRPr="00B71C3E">
              <w:br/>
              <w:t>N=16</w:t>
            </w:r>
          </w:p>
        </w:tc>
        <w:tc>
          <w:tcPr>
            <w:tcW w:w="1079" w:type="dxa"/>
            <w:tcBorders>
              <w:top w:val="single" w:sz="12" w:space="0" w:color="000000"/>
              <w:left w:val="nil"/>
              <w:bottom w:val="single" w:sz="6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  <w:vAlign w:val="bottom"/>
          </w:tcPr>
          <w:p w14:paraId="298971E1" w14:textId="77777777" w:rsidR="00404B15" w:rsidRPr="00B71C3E" w:rsidRDefault="00404B15" w:rsidP="00193196">
            <w:pPr>
              <w:keepNext/>
              <w:adjustRightInd w:val="0"/>
              <w:spacing w:before="38" w:after="38"/>
              <w:jc w:val="center"/>
            </w:pPr>
            <w:r w:rsidRPr="00B71C3E">
              <w:t>p-value</w:t>
            </w:r>
          </w:p>
        </w:tc>
      </w:tr>
      <w:tr w:rsidR="00404B15" w:rsidRPr="00B71C3E" w14:paraId="1E2DA10E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B2AEFB" w14:textId="77777777" w:rsidR="00404B15" w:rsidRPr="00B71C3E" w:rsidRDefault="00404B15" w:rsidP="00193196">
            <w:pPr>
              <w:spacing w:after="0"/>
            </w:pPr>
            <w:r w:rsidRPr="00B71C3E">
              <w:t>Incidence of hypotension within 24 hours of first vasopressor stopped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EFA1AC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4 (25%)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1A1468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7 (4</w:t>
            </w:r>
            <w:r>
              <w:t>4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8DBA36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>
              <w:t>.5</w:t>
            </w:r>
            <w:r w:rsidRPr="00B71C3E">
              <w:t xml:space="preserve"> †</w:t>
            </w:r>
          </w:p>
        </w:tc>
      </w:tr>
      <w:tr w:rsidR="00404B15" w:rsidRPr="00B71C3E" w14:paraId="0B997F1B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7885E3E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ICU mortality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94474B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0 (0%)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7FC8C2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3 (1</w:t>
            </w:r>
            <w:r>
              <w:t>9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545A360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>
              <w:t>.2</w:t>
            </w:r>
            <w:r w:rsidRPr="00B71C3E">
              <w:t xml:space="preserve"> †</w:t>
            </w:r>
          </w:p>
        </w:tc>
      </w:tr>
      <w:tr w:rsidR="00404B15" w:rsidRPr="00B71C3E" w14:paraId="6C210A91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AADF193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Hospital mortality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E1941D0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2 (1</w:t>
            </w:r>
            <w:r>
              <w:t>3</w:t>
            </w:r>
            <w:r w:rsidRPr="00B71C3E">
              <w:t>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9FE7EE3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3 (1</w:t>
            </w:r>
            <w:r>
              <w:t>9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3569864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>
              <w:t>1.0</w:t>
            </w:r>
            <w:r w:rsidRPr="00B71C3E">
              <w:t xml:space="preserve"> †</w:t>
            </w:r>
          </w:p>
        </w:tc>
      </w:tr>
      <w:tr w:rsidR="00404B15" w:rsidRPr="00B71C3E" w14:paraId="3E03BBB6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A9F5F80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28-day mortality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F1F9108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3 (1</w:t>
            </w:r>
            <w:r>
              <w:t>9</w:t>
            </w:r>
            <w:r w:rsidRPr="00B71C3E">
              <w:t>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0BD073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4 (25%)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5489EE0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1.0 †</w:t>
            </w:r>
          </w:p>
        </w:tc>
      </w:tr>
      <w:tr w:rsidR="00404B15" w:rsidRPr="00B71C3E" w14:paraId="144606C7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04501C5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ICU length of stay, days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261B56F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>
              <w:t>5</w:t>
            </w:r>
            <w:r w:rsidRPr="00B71C3E">
              <w:t xml:space="preserve"> (</w:t>
            </w:r>
            <w:r>
              <w:t>3</w:t>
            </w:r>
            <w:r w:rsidRPr="00B71C3E">
              <w:t xml:space="preserve">, </w:t>
            </w:r>
            <w:r>
              <w:t>5</w:t>
            </w:r>
            <w:r w:rsidRPr="00B71C3E">
              <w:t>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97A5F7B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>
              <w:t>6</w:t>
            </w:r>
            <w:r w:rsidRPr="00B71C3E">
              <w:t xml:space="preserve"> (</w:t>
            </w:r>
            <w:r>
              <w:t>4</w:t>
            </w:r>
            <w:r w:rsidRPr="00B71C3E">
              <w:t xml:space="preserve">, </w:t>
            </w:r>
            <w:r>
              <w:t>8</w:t>
            </w:r>
            <w:r w:rsidRPr="00B71C3E">
              <w:t>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6ADCAB3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3</w:t>
            </w:r>
            <w:r w:rsidRPr="00B71C3E">
              <w:t xml:space="preserve"> ‡</w:t>
            </w:r>
          </w:p>
        </w:tc>
      </w:tr>
      <w:tr w:rsidR="00404B15" w:rsidRPr="00B71C3E" w14:paraId="02E286A3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D7EBA49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Hospital length of stay, days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1BD72FC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13 (</w:t>
            </w:r>
            <w:r>
              <w:t>9</w:t>
            </w:r>
            <w:r w:rsidRPr="00B71C3E">
              <w:t>, 24)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F1200A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14 (8, 27)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C66E817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>
              <w:t>.8</w:t>
            </w:r>
            <w:r w:rsidRPr="00B71C3E">
              <w:t xml:space="preserve"> ‡</w:t>
            </w:r>
          </w:p>
        </w:tc>
      </w:tr>
      <w:tr w:rsidR="00404B15" w:rsidRPr="00B71C3E" w14:paraId="68194D67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53CB3E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ICU readmission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4A8F3EC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1 (6%)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0A292E2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2 (1</w:t>
            </w:r>
            <w:r>
              <w:t>3</w:t>
            </w:r>
            <w:r w:rsidRPr="00B71C3E">
              <w:t>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7E99C2D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1.0 †</w:t>
            </w:r>
          </w:p>
        </w:tc>
      </w:tr>
      <w:tr w:rsidR="00404B15" w:rsidRPr="00B71C3E" w14:paraId="1C957AF0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DBB4734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Time of shock reversal, days, n=29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4A7671E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1.7 (1.0, 3.</w:t>
            </w:r>
            <w:r>
              <w:t>8</w:t>
            </w:r>
            <w:r w:rsidRPr="00B71C3E">
              <w:t>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52B997B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2.3 (1.6, 3.9)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4ABC446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>
              <w:t>.5</w:t>
            </w:r>
            <w:r w:rsidRPr="00B71C3E">
              <w:t xml:space="preserve"> ‡</w:t>
            </w:r>
          </w:p>
        </w:tc>
      </w:tr>
      <w:tr w:rsidR="00404B15" w:rsidRPr="00B71C3E" w14:paraId="2CE5965B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D9A03EF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Incidence of new-onset arrhythmias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95AAE4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4 (25%)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0C98FBE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5 (31%)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F9C5E96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1.0 †</w:t>
            </w:r>
          </w:p>
        </w:tc>
      </w:tr>
      <w:tr w:rsidR="00404B15" w:rsidRPr="00B71C3E" w14:paraId="7A713812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C5F041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AKI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A9EED98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6 (3</w:t>
            </w:r>
            <w:r>
              <w:t>8</w:t>
            </w:r>
            <w:r w:rsidRPr="00B71C3E">
              <w:t>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E0D9CFD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9 (56%)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B4C554D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.</w:t>
            </w:r>
            <w:r>
              <w:t>3</w:t>
            </w:r>
            <w:r w:rsidRPr="00B71C3E">
              <w:t xml:space="preserve"> §</w:t>
            </w:r>
          </w:p>
        </w:tc>
      </w:tr>
      <w:tr w:rsidR="00404B15" w:rsidRPr="00B71C3E" w14:paraId="6838FB8C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4810738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>AKI stage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FED2C6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EE8D130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4AE27C8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.5 †</w:t>
            </w:r>
          </w:p>
        </w:tc>
      </w:tr>
      <w:tr w:rsidR="00404B15" w:rsidRPr="00B71C3E" w14:paraId="537D860D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D17062B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 xml:space="preserve">    I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2754976F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1 (17%)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734241E1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2 (22%)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4FE65CA8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</w:p>
        </w:tc>
      </w:tr>
      <w:tr w:rsidR="00404B15" w:rsidRPr="00B71C3E" w14:paraId="61AFF980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18C8594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 xml:space="preserve">    II</w:t>
            </w:r>
          </w:p>
        </w:tc>
        <w:tc>
          <w:tcPr>
            <w:tcW w:w="21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56ED44F9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1 (17%)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677BE5DD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4 (44%)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72E2E39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</w:p>
        </w:tc>
      </w:tr>
      <w:tr w:rsidR="00404B15" w:rsidRPr="00B71C3E" w14:paraId="7FE216DF" w14:textId="77777777" w:rsidTr="00193196">
        <w:trPr>
          <w:cantSplit/>
          <w:jc w:val="center"/>
        </w:trPr>
        <w:tc>
          <w:tcPr>
            <w:tcW w:w="4028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37039791" w14:textId="77777777" w:rsidR="00404B15" w:rsidRPr="00B71C3E" w:rsidRDefault="00404B15" w:rsidP="00193196">
            <w:pPr>
              <w:adjustRightInd w:val="0"/>
              <w:spacing w:before="38" w:after="38"/>
            </w:pPr>
            <w:r w:rsidRPr="00B71C3E">
              <w:t xml:space="preserve">    III</w:t>
            </w:r>
          </w:p>
        </w:tc>
        <w:tc>
          <w:tcPr>
            <w:tcW w:w="2117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DA5704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4 (67%)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648F6EB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  <w:r w:rsidRPr="00B71C3E">
              <w:t>3 (33%)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08354D45" w14:textId="77777777" w:rsidR="00404B15" w:rsidRPr="00B71C3E" w:rsidRDefault="00404B15" w:rsidP="00193196">
            <w:pPr>
              <w:adjustRightInd w:val="0"/>
              <w:spacing w:before="38" w:after="38"/>
              <w:jc w:val="center"/>
            </w:pPr>
          </w:p>
        </w:tc>
      </w:tr>
      <w:tr w:rsidR="00404B15" w:rsidRPr="00B71C3E" w14:paraId="1992ABCE" w14:textId="77777777" w:rsidTr="00193196">
        <w:trPr>
          <w:cantSplit/>
          <w:jc w:val="center"/>
        </w:trPr>
        <w:tc>
          <w:tcPr>
            <w:tcW w:w="9324" w:type="dxa"/>
            <w:gridSpan w:val="4"/>
            <w:tcBorders>
              <w:top w:val="single" w:sz="12" w:space="0" w:color="000000"/>
              <w:left w:val="nil"/>
              <w:bottom w:val="single" w:sz="12" w:space="0" w:color="000000"/>
              <w:right w:val="nil"/>
            </w:tcBorders>
            <w:shd w:val="clear" w:color="auto" w:fill="FFFFFF"/>
            <w:tcMar>
              <w:left w:w="38" w:type="dxa"/>
              <w:right w:w="38" w:type="dxa"/>
            </w:tcMar>
          </w:tcPr>
          <w:p w14:paraId="1F945BCE" w14:textId="77777777" w:rsidR="00404B15" w:rsidRPr="00B71C3E" w:rsidRDefault="00404B15" w:rsidP="00193196">
            <w:pPr>
              <w:spacing w:after="0"/>
              <w:jc w:val="left"/>
            </w:pPr>
            <w:r w:rsidRPr="00B71C3E">
              <w:t>Numbers indicate N (%) and (minimum, maximum) unless otherwise noted.</w:t>
            </w:r>
            <w:r w:rsidRPr="00B71C3E">
              <w:br/>
              <w:t>† Fisher exact   ‡ Wilcoxon rank-sum   § Chi-square</w:t>
            </w:r>
          </w:p>
        </w:tc>
      </w:tr>
    </w:tbl>
    <w:p w14:paraId="2AD5B9A1" w14:textId="77777777" w:rsidR="00404B15" w:rsidRPr="00B71C3E" w:rsidRDefault="00404B15" w:rsidP="00404B15"/>
    <w:sectPr w:rsidR="00404B15" w:rsidRPr="00B71C3E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zI2M7Y0MTYysjS0NLNU0lEKTi0uzszPAykwrAUA06NlOiwAAAA="/>
  </w:docVars>
  <w:rsids>
    <w:rsidRoot w:val="00404B15"/>
    <w:rsid w:val="000B3B28"/>
    <w:rsid w:val="00203AA5"/>
    <w:rsid w:val="00404B15"/>
    <w:rsid w:val="00733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582FC2"/>
  <w15:chartTrackingRefBased/>
  <w15:docId w15:val="{50EE3968-F59E-42D6-8462-84EE68623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4B15"/>
    <w:pPr>
      <w:widowControl w:val="0"/>
      <w:spacing w:after="160" w:line="259" w:lineRule="auto"/>
      <w:jc w:val="both"/>
    </w:pPr>
    <w:rPr>
      <w:rFonts w:eastAsiaTheme="minorEastAsia"/>
      <w:kern w:val="2"/>
      <w:sz w:val="21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NoteBibliography">
    <w:name w:val="EndNote Bibliography"/>
    <w:basedOn w:val="Normal"/>
    <w:qFormat/>
    <w:rsid w:val="00733700"/>
    <w:pPr>
      <w:spacing w:after="0" w:line="240" w:lineRule="auto"/>
    </w:pPr>
    <w:rPr>
      <w:rFonts w:ascii="Calibri" w:hAnsi="Calibri" w:cs="Calibri"/>
      <w:sz w:val="20"/>
    </w:rPr>
  </w:style>
  <w:style w:type="paragraph" w:styleId="NormalWeb">
    <w:name w:val="Normal (Web)"/>
    <w:basedOn w:val="Normal"/>
    <w:rsid w:val="00404B15"/>
    <w:pPr>
      <w:autoSpaceDE w:val="0"/>
      <w:autoSpaceDN w:val="0"/>
      <w:spacing w:after="0"/>
      <w:jc w:val="left"/>
    </w:pPr>
    <w:rPr>
      <w:rFonts w:ascii="Times New Roman" w:eastAsia="SimSun" w:hAnsi="Times New Roman" w:cs="Times New Roman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124</Words>
  <Characters>709</Characters>
  <Application>Microsoft Office Word</Application>
  <DocSecurity>0</DocSecurity>
  <Lines>5</Lines>
  <Paragraphs>1</Paragraphs>
  <ScaleCrop>false</ScaleCrop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Kashani, Kianoush B., M.D., M.S.</dc:creator>
  <cp:keywords/>
  <dc:description/>
  <cp:lastModifiedBy>Kashani, Kianoush B., M.D., M.S.</cp:lastModifiedBy>
  <cp:revision>2</cp:revision>
  <dcterms:created xsi:type="dcterms:W3CDTF">2021-04-08T13:59:00Z</dcterms:created>
  <dcterms:modified xsi:type="dcterms:W3CDTF">2021-04-08T14:48:00Z</dcterms:modified>
</cp:coreProperties>
</file>