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55D057" w14:textId="77777777" w:rsidR="003B02F6" w:rsidRDefault="003B02F6" w:rsidP="003B02F6">
      <w:pPr>
        <w:spacing w:before="100" w:beforeAutospacing="1" w:after="100" w:afterAutospacing="1" w:line="360" w:lineRule="auto"/>
        <w:jc w:val="both"/>
        <w:outlineLvl w:val="0"/>
        <w:rPr>
          <w:b/>
        </w:rPr>
      </w:pPr>
      <w:r>
        <w:t>O</w:t>
      </w:r>
      <w:r w:rsidRPr="00E10A36">
        <w:t xml:space="preserve">nline-only </w:t>
      </w:r>
      <w:r w:rsidRPr="00E10A36">
        <w:rPr>
          <w:b/>
        </w:rPr>
        <w:t>Data Supplement</w:t>
      </w:r>
      <w:r>
        <w:rPr>
          <w:b/>
        </w:rPr>
        <w:t>:</w:t>
      </w:r>
    </w:p>
    <w:p w14:paraId="4826443D" w14:textId="77777777" w:rsidR="003B02F6" w:rsidRDefault="003B02F6" w:rsidP="003B02F6">
      <w:pPr>
        <w:spacing w:before="100" w:beforeAutospacing="1" w:after="100" w:afterAutospacing="1" w:line="360" w:lineRule="auto"/>
        <w:jc w:val="both"/>
        <w:outlineLvl w:val="0"/>
        <w:rPr>
          <w:b/>
        </w:rPr>
      </w:pPr>
      <w:r>
        <w:rPr>
          <w:b/>
        </w:rPr>
        <w:t>Online Tables:</w:t>
      </w:r>
    </w:p>
    <w:p w14:paraId="7F14BF8F" w14:textId="77777777" w:rsidR="003B02F6" w:rsidRPr="00E10A36" w:rsidRDefault="003B02F6" w:rsidP="003B02F6">
      <w:pPr>
        <w:jc w:val="both"/>
        <w:rPr>
          <w:b/>
        </w:rPr>
      </w:pPr>
      <w:r>
        <w:rPr>
          <w:b/>
        </w:rPr>
        <w:t>Online Table 1</w:t>
      </w:r>
      <w:r w:rsidRPr="00E10A36">
        <w:rPr>
          <w:b/>
        </w:rPr>
        <w:t>: Baseline and Follow-Up CMR Findings (</w:t>
      </w:r>
      <w:r w:rsidRPr="00E10A36">
        <w:t xml:space="preserve">online-only </w:t>
      </w:r>
      <w:r w:rsidRPr="00E10A36">
        <w:rPr>
          <w:b/>
        </w:rPr>
        <w:t>Data Supplement)</w:t>
      </w:r>
      <w:r>
        <w:rPr>
          <w:b/>
        </w:rPr>
        <w:t>:</w:t>
      </w:r>
    </w:p>
    <w:p w14:paraId="5A05C443" w14:textId="77777777" w:rsidR="003B02F6" w:rsidRPr="00E10A36" w:rsidRDefault="003B02F6" w:rsidP="003B02F6">
      <w:pPr>
        <w:jc w:val="both"/>
        <w:rPr>
          <w:b/>
        </w:rPr>
      </w:pPr>
    </w:p>
    <w:tbl>
      <w:tblPr>
        <w:tblStyle w:val="LightShading"/>
        <w:tblW w:w="981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2430"/>
        <w:gridCol w:w="1440"/>
        <w:gridCol w:w="1530"/>
        <w:gridCol w:w="1530"/>
        <w:gridCol w:w="1440"/>
        <w:gridCol w:w="1440"/>
      </w:tblGrid>
      <w:tr w:rsidR="003B02F6" w:rsidRPr="009F7512" w14:paraId="6701F022" w14:textId="77777777" w:rsidTr="00A735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2A472D29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</w:pPr>
            <w:r w:rsidRPr="009F7512">
              <w:t xml:space="preserve">Median days after </w:t>
            </w:r>
            <w:r w:rsidRPr="009F7512">
              <w:rPr>
                <w:rStyle w:val="yiv7736471028"/>
              </w:rPr>
              <w:t>anthracycline</w:t>
            </w:r>
          </w:p>
        </w:tc>
        <w:tc>
          <w:tcPr>
            <w:tcW w:w="1440" w:type="dxa"/>
          </w:tcPr>
          <w:p w14:paraId="079C4A2D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7512">
              <w:t>Pre-DOX</w:t>
            </w:r>
          </w:p>
        </w:tc>
        <w:tc>
          <w:tcPr>
            <w:tcW w:w="1530" w:type="dxa"/>
          </w:tcPr>
          <w:p w14:paraId="11D65061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7512">
              <w:t>(79,146]</w:t>
            </w:r>
          </w:p>
        </w:tc>
        <w:tc>
          <w:tcPr>
            <w:tcW w:w="1530" w:type="dxa"/>
          </w:tcPr>
          <w:p w14:paraId="65D65D45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7512">
              <w:t>(146,231]</w:t>
            </w:r>
          </w:p>
        </w:tc>
        <w:tc>
          <w:tcPr>
            <w:tcW w:w="1440" w:type="dxa"/>
          </w:tcPr>
          <w:p w14:paraId="6BC51D92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7512">
              <w:t>(231,350]</w:t>
            </w:r>
          </w:p>
        </w:tc>
        <w:tc>
          <w:tcPr>
            <w:tcW w:w="1440" w:type="dxa"/>
          </w:tcPr>
          <w:p w14:paraId="040C4D66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7512">
              <w:t>(350,700]</w:t>
            </w:r>
          </w:p>
        </w:tc>
      </w:tr>
      <w:tr w:rsidR="003B02F6" w:rsidRPr="009F7512" w14:paraId="5775A719" w14:textId="77777777" w:rsidTr="00A73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14:paraId="50663D64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</w:pPr>
            <w:r w:rsidRPr="009F7512">
              <w:t>N</w:t>
            </w:r>
          </w:p>
        </w:tc>
        <w:tc>
          <w:tcPr>
            <w:tcW w:w="144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14:paraId="7D4DF486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7512">
              <w:t>27</w:t>
            </w:r>
          </w:p>
        </w:tc>
        <w:tc>
          <w:tcPr>
            <w:tcW w:w="153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14:paraId="32AAB8A9" w14:textId="77777777" w:rsidR="003B02F6" w:rsidRPr="009F7512" w:rsidRDefault="003B02F6" w:rsidP="00A7355E">
            <w:pPr>
              <w:tabs>
                <w:tab w:val="left" w:pos="848"/>
              </w:tabs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7512">
              <w:t>16</w:t>
            </w:r>
          </w:p>
        </w:tc>
        <w:tc>
          <w:tcPr>
            <w:tcW w:w="153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14:paraId="5A7AE829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7512">
              <w:t>19</w:t>
            </w:r>
          </w:p>
        </w:tc>
        <w:tc>
          <w:tcPr>
            <w:tcW w:w="144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14:paraId="382952A6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7512">
              <w:t>14</w:t>
            </w:r>
          </w:p>
        </w:tc>
        <w:tc>
          <w:tcPr>
            <w:tcW w:w="144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14:paraId="24547768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7512">
              <w:t>16</w:t>
            </w:r>
          </w:p>
        </w:tc>
      </w:tr>
      <w:tr w:rsidR="003B02F6" w:rsidRPr="009F7512" w14:paraId="54DD7E10" w14:textId="77777777" w:rsidTr="00A735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single" w:sz="8" w:space="0" w:color="000000" w:themeColor="text1"/>
            </w:tcBorders>
            <w:shd w:val="clear" w:color="auto" w:fill="auto"/>
          </w:tcPr>
          <w:p w14:paraId="57984D83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</w:pPr>
            <w:r w:rsidRPr="009F7512">
              <w:t>LVEF, %</w:t>
            </w:r>
          </w:p>
        </w:tc>
        <w:tc>
          <w:tcPr>
            <w:tcW w:w="1440" w:type="dxa"/>
            <w:tcBorders>
              <w:top w:val="single" w:sz="8" w:space="0" w:color="000000" w:themeColor="text1"/>
            </w:tcBorders>
            <w:shd w:val="clear" w:color="auto" w:fill="auto"/>
          </w:tcPr>
          <w:p w14:paraId="08E275DB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bookmarkStart w:id="0" w:name="OLE_LINK3"/>
            <w:bookmarkStart w:id="1" w:name="OLE_LINK4"/>
            <w:bookmarkStart w:id="2" w:name="OLE_LINK35"/>
            <w:r w:rsidRPr="009F7512">
              <w:t>69.4±3.6</w:t>
            </w:r>
            <w:bookmarkEnd w:id="0"/>
            <w:bookmarkEnd w:id="1"/>
            <w:bookmarkEnd w:id="2"/>
          </w:p>
        </w:tc>
        <w:tc>
          <w:tcPr>
            <w:tcW w:w="1530" w:type="dxa"/>
            <w:tcBorders>
              <w:top w:val="single" w:sz="8" w:space="0" w:color="000000" w:themeColor="text1"/>
            </w:tcBorders>
            <w:shd w:val="clear" w:color="auto" w:fill="auto"/>
          </w:tcPr>
          <w:p w14:paraId="72D00F2C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7512">
              <w:t>61.1±7.6</w:t>
            </w:r>
            <w:r w:rsidRPr="009F7512">
              <w:rPr>
                <w:vertAlign w:val="superscript"/>
              </w:rPr>
              <w:t>†</w:t>
            </w:r>
          </w:p>
        </w:tc>
        <w:tc>
          <w:tcPr>
            <w:tcW w:w="1530" w:type="dxa"/>
            <w:tcBorders>
              <w:top w:val="single" w:sz="8" w:space="0" w:color="000000" w:themeColor="text1"/>
            </w:tcBorders>
            <w:shd w:val="clear" w:color="auto" w:fill="auto"/>
          </w:tcPr>
          <w:p w14:paraId="32E3092A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7512">
              <w:t>56±5</w:t>
            </w:r>
            <w:r w:rsidRPr="009F7512">
              <w:rPr>
                <w:vertAlign w:val="superscript"/>
              </w:rPr>
              <w:t>†</w:t>
            </w:r>
          </w:p>
        </w:tc>
        <w:tc>
          <w:tcPr>
            <w:tcW w:w="1440" w:type="dxa"/>
            <w:tcBorders>
              <w:top w:val="single" w:sz="8" w:space="0" w:color="000000" w:themeColor="text1"/>
            </w:tcBorders>
            <w:shd w:val="clear" w:color="auto" w:fill="auto"/>
          </w:tcPr>
          <w:p w14:paraId="4AE3659A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bookmarkStart w:id="3" w:name="OLE_LINK9"/>
            <w:bookmarkStart w:id="4" w:name="OLE_LINK10"/>
            <w:bookmarkStart w:id="5" w:name="OLE_LINK38"/>
            <w:r w:rsidRPr="009F7512">
              <w:t xml:space="preserve">53.8±8.4 </w:t>
            </w:r>
            <w:bookmarkEnd w:id="3"/>
            <w:bookmarkEnd w:id="4"/>
            <w:bookmarkEnd w:id="5"/>
            <w:r w:rsidRPr="009F7512">
              <w:rPr>
                <w:vertAlign w:val="superscript"/>
              </w:rPr>
              <w:t>†</w:t>
            </w:r>
          </w:p>
        </w:tc>
        <w:tc>
          <w:tcPr>
            <w:tcW w:w="1440" w:type="dxa"/>
            <w:tcBorders>
              <w:top w:val="single" w:sz="8" w:space="0" w:color="000000" w:themeColor="text1"/>
            </w:tcBorders>
            <w:shd w:val="clear" w:color="auto" w:fill="auto"/>
          </w:tcPr>
          <w:p w14:paraId="10BD9A84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7512">
              <w:t xml:space="preserve">57.5±6.1 </w:t>
            </w:r>
            <w:r w:rsidRPr="009F7512">
              <w:rPr>
                <w:vertAlign w:val="superscript"/>
              </w:rPr>
              <w:t>†</w:t>
            </w:r>
          </w:p>
        </w:tc>
      </w:tr>
      <w:tr w:rsidR="003B02F6" w:rsidRPr="009F7512" w14:paraId="11770E5D" w14:textId="77777777" w:rsidTr="00A73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shd w:val="clear" w:color="auto" w:fill="auto"/>
          </w:tcPr>
          <w:p w14:paraId="503A09EC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</w:pPr>
            <w:r w:rsidRPr="009F7512">
              <w:t>LVEDV index, ml/m</w:t>
            </w:r>
            <w:r w:rsidRPr="009F7512">
              <w:rPr>
                <w:vertAlign w:val="superscript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14:paraId="5D9B81F7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7512">
              <w:t>60.2±9.9</w:t>
            </w:r>
          </w:p>
        </w:tc>
        <w:tc>
          <w:tcPr>
            <w:tcW w:w="1530" w:type="dxa"/>
            <w:shd w:val="clear" w:color="auto" w:fill="auto"/>
          </w:tcPr>
          <w:p w14:paraId="31D5DBC4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7512">
              <w:t>64.3±9.6</w:t>
            </w:r>
          </w:p>
        </w:tc>
        <w:tc>
          <w:tcPr>
            <w:tcW w:w="1530" w:type="dxa"/>
            <w:shd w:val="clear" w:color="auto" w:fill="auto"/>
          </w:tcPr>
          <w:p w14:paraId="745CAB6B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7512">
              <w:t>66.7±17.7 *</w:t>
            </w:r>
          </w:p>
        </w:tc>
        <w:tc>
          <w:tcPr>
            <w:tcW w:w="1440" w:type="dxa"/>
            <w:shd w:val="clear" w:color="auto" w:fill="auto"/>
          </w:tcPr>
          <w:p w14:paraId="22291113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7512">
              <w:t>56.9±18.5</w:t>
            </w:r>
          </w:p>
        </w:tc>
        <w:tc>
          <w:tcPr>
            <w:tcW w:w="1440" w:type="dxa"/>
            <w:shd w:val="clear" w:color="auto" w:fill="auto"/>
          </w:tcPr>
          <w:p w14:paraId="1C80BA48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7512">
              <w:t>59.2±12.6</w:t>
            </w:r>
          </w:p>
        </w:tc>
      </w:tr>
      <w:tr w:rsidR="003B02F6" w:rsidRPr="009F7512" w14:paraId="3F0FB23F" w14:textId="77777777" w:rsidTr="00A735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shd w:val="clear" w:color="auto" w:fill="auto"/>
          </w:tcPr>
          <w:p w14:paraId="1F6EADB9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</w:pPr>
            <w:r w:rsidRPr="009F7512">
              <w:t>LVESV index, ml/m</w:t>
            </w:r>
            <w:r w:rsidRPr="009F7512">
              <w:rPr>
                <w:vertAlign w:val="superscript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14:paraId="740B64ED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7512">
              <w:t>18.3±4.0</w:t>
            </w:r>
          </w:p>
        </w:tc>
        <w:tc>
          <w:tcPr>
            <w:tcW w:w="1530" w:type="dxa"/>
            <w:shd w:val="clear" w:color="auto" w:fill="auto"/>
          </w:tcPr>
          <w:p w14:paraId="742BC650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7512">
              <w:t xml:space="preserve">24.7±7.3 </w:t>
            </w:r>
            <w:r w:rsidRPr="009F7512">
              <w:rPr>
                <w:vertAlign w:val="superscript"/>
              </w:rPr>
              <w:t>#</w:t>
            </w:r>
          </w:p>
        </w:tc>
        <w:tc>
          <w:tcPr>
            <w:tcW w:w="1530" w:type="dxa"/>
            <w:shd w:val="clear" w:color="auto" w:fill="auto"/>
          </w:tcPr>
          <w:p w14:paraId="4E63F2C2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7512">
              <w:t xml:space="preserve">29.0±7.3 </w:t>
            </w:r>
            <w:r w:rsidRPr="009F7512">
              <w:rPr>
                <w:vertAlign w:val="superscript"/>
              </w:rPr>
              <w:t>&amp;</w:t>
            </w:r>
          </w:p>
        </w:tc>
        <w:tc>
          <w:tcPr>
            <w:tcW w:w="1440" w:type="dxa"/>
            <w:shd w:val="clear" w:color="auto" w:fill="auto"/>
          </w:tcPr>
          <w:p w14:paraId="6B64D484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7512">
              <w:t xml:space="preserve">26.2±9.7 </w:t>
            </w:r>
            <w:r w:rsidRPr="009F7512">
              <w:rPr>
                <w:vertAlign w:val="superscript"/>
              </w:rPr>
              <w:t>&amp;</w:t>
            </w:r>
          </w:p>
        </w:tc>
        <w:tc>
          <w:tcPr>
            <w:tcW w:w="1440" w:type="dxa"/>
            <w:shd w:val="clear" w:color="auto" w:fill="auto"/>
          </w:tcPr>
          <w:p w14:paraId="1639B634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7512">
              <w:t xml:space="preserve">25.3±8.2 </w:t>
            </w:r>
            <w:r w:rsidRPr="009F7512">
              <w:rPr>
                <w:vertAlign w:val="superscript"/>
              </w:rPr>
              <w:t>&amp;</w:t>
            </w:r>
          </w:p>
        </w:tc>
      </w:tr>
      <w:tr w:rsidR="003B02F6" w:rsidRPr="009F7512" w14:paraId="3260007B" w14:textId="77777777" w:rsidTr="00A73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shd w:val="clear" w:color="auto" w:fill="auto"/>
          </w:tcPr>
          <w:p w14:paraId="5835EE0E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</w:pPr>
            <w:r w:rsidRPr="009F7512">
              <w:t>LV mass index, g/m</w:t>
            </w:r>
            <w:r w:rsidRPr="009F7512">
              <w:rPr>
                <w:vertAlign w:val="superscript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14:paraId="27FA80C1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bookmarkStart w:id="6" w:name="OLE_LINK36"/>
            <w:bookmarkStart w:id="7" w:name="OLE_LINK37"/>
            <w:r w:rsidRPr="009F7512">
              <w:t>51.4±8.0</w:t>
            </w:r>
            <w:bookmarkEnd w:id="6"/>
            <w:bookmarkEnd w:id="7"/>
          </w:p>
        </w:tc>
        <w:tc>
          <w:tcPr>
            <w:tcW w:w="1530" w:type="dxa"/>
            <w:shd w:val="clear" w:color="auto" w:fill="auto"/>
          </w:tcPr>
          <w:p w14:paraId="502A34A5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7512">
              <w:t xml:space="preserve">45.3±3.8 </w:t>
            </w:r>
            <w:bookmarkStart w:id="8" w:name="OLE_LINK31"/>
            <w:bookmarkStart w:id="9" w:name="OLE_LINK32"/>
            <w:r w:rsidRPr="009F7512">
              <w:rPr>
                <w:vertAlign w:val="superscript"/>
              </w:rPr>
              <w:t>&amp;</w:t>
            </w:r>
            <w:bookmarkEnd w:id="8"/>
            <w:bookmarkEnd w:id="9"/>
          </w:p>
        </w:tc>
        <w:tc>
          <w:tcPr>
            <w:tcW w:w="1530" w:type="dxa"/>
            <w:shd w:val="clear" w:color="auto" w:fill="auto"/>
          </w:tcPr>
          <w:p w14:paraId="7E32712F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7512">
              <w:t xml:space="preserve">43.2±4.9 </w:t>
            </w:r>
            <w:r w:rsidRPr="009F7512">
              <w:rPr>
                <w:vertAlign w:val="superscript"/>
              </w:rPr>
              <w:t>&amp;</w:t>
            </w:r>
          </w:p>
        </w:tc>
        <w:tc>
          <w:tcPr>
            <w:tcW w:w="1440" w:type="dxa"/>
            <w:shd w:val="clear" w:color="auto" w:fill="auto"/>
          </w:tcPr>
          <w:p w14:paraId="702D10B5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7512">
              <w:t xml:space="preserve">39.9±5.4 </w:t>
            </w:r>
            <w:r w:rsidRPr="009F7512">
              <w:rPr>
                <w:vertAlign w:val="superscript"/>
              </w:rPr>
              <w:t>&amp;</w:t>
            </w:r>
          </w:p>
        </w:tc>
        <w:tc>
          <w:tcPr>
            <w:tcW w:w="1440" w:type="dxa"/>
            <w:shd w:val="clear" w:color="auto" w:fill="auto"/>
          </w:tcPr>
          <w:p w14:paraId="0BE6DAAE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7512">
              <w:t xml:space="preserve">36.0±6.1 </w:t>
            </w:r>
            <w:r w:rsidRPr="009F7512">
              <w:rPr>
                <w:vertAlign w:val="superscript"/>
              </w:rPr>
              <w:t>&amp;</w:t>
            </w:r>
          </w:p>
        </w:tc>
      </w:tr>
      <w:tr w:rsidR="003B02F6" w:rsidRPr="009F7512" w14:paraId="1FF1E397" w14:textId="77777777" w:rsidTr="00A735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shd w:val="clear" w:color="auto" w:fill="auto"/>
          </w:tcPr>
          <w:p w14:paraId="27FF3C29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</w:pPr>
            <w:r w:rsidRPr="009F7512">
              <w:t>LV ECV</w:t>
            </w:r>
          </w:p>
        </w:tc>
        <w:tc>
          <w:tcPr>
            <w:tcW w:w="1440" w:type="dxa"/>
            <w:shd w:val="clear" w:color="auto" w:fill="auto"/>
          </w:tcPr>
          <w:p w14:paraId="05B3C3B2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7512">
              <w:t>0.32±0.04</w:t>
            </w:r>
          </w:p>
        </w:tc>
        <w:tc>
          <w:tcPr>
            <w:tcW w:w="1530" w:type="dxa"/>
            <w:shd w:val="clear" w:color="auto" w:fill="auto"/>
          </w:tcPr>
          <w:p w14:paraId="5C672C20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7512">
              <w:t>0.34±0.04</w:t>
            </w:r>
          </w:p>
        </w:tc>
        <w:tc>
          <w:tcPr>
            <w:tcW w:w="1530" w:type="dxa"/>
            <w:shd w:val="clear" w:color="auto" w:fill="auto"/>
          </w:tcPr>
          <w:p w14:paraId="7D14A4C2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7512">
              <w:t>0.33±0.06</w:t>
            </w:r>
          </w:p>
        </w:tc>
        <w:tc>
          <w:tcPr>
            <w:tcW w:w="1440" w:type="dxa"/>
            <w:shd w:val="clear" w:color="auto" w:fill="auto"/>
          </w:tcPr>
          <w:p w14:paraId="1C019E37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7512">
              <w:t>0.35±0.05 *</w:t>
            </w:r>
          </w:p>
        </w:tc>
        <w:tc>
          <w:tcPr>
            <w:tcW w:w="1440" w:type="dxa"/>
            <w:shd w:val="clear" w:color="auto" w:fill="auto"/>
          </w:tcPr>
          <w:p w14:paraId="051F61A6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7512">
              <w:t xml:space="preserve">0.36±0.04 </w:t>
            </w:r>
            <w:r w:rsidRPr="009F7512">
              <w:rPr>
                <w:vertAlign w:val="superscript"/>
              </w:rPr>
              <w:t>#</w:t>
            </w:r>
          </w:p>
        </w:tc>
      </w:tr>
      <w:tr w:rsidR="003B02F6" w:rsidRPr="009F7512" w14:paraId="1C929183" w14:textId="77777777" w:rsidTr="00A73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shd w:val="clear" w:color="auto" w:fill="auto"/>
          </w:tcPr>
          <w:p w14:paraId="1DB4D9DF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rPr>
                <w:b w:val="0"/>
                <w:bCs w:val="0"/>
                <w:i/>
                <w:iCs/>
                <w:color w:val="404040" w:themeColor="text1" w:themeTint="BF"/>
              </w:rPr>
            </w:pPr>
            <w:r w:rsidRPr="009F7512">
              <w:t>LV cardiomyocyte mass, g/m</w:t>
            </w:r>
            <w:r w:rsidRPr="009F7512">
              <w:rPr>
                <w:vertAlign w:val="superscript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14:paraId="3E16F476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7512">
              <w:t>34.9±5.5</w:t>
            </w:r>
          </w:p>
        </w:tc>
        <w:tc>
          <w:tcPr>
            <w:tcW w:w="1530" w:type="dxa"/>
            <w:shd w:val="clear" w:color="auto" w:fill="auto"/>
          </w:tcPr>
          <w:p w14:paraId="11AD3267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7512">
              <w:t xml:space="preserve">29.6±2.8 </w:t>
            </w:r>
            <w:r w:rsidRPr="009F7512">
              <w:rPr>
                <w:vertAlign w:val="superscript"/>
              </w:rPr>
              <w:t>&amp;</w:t>
            </w:r>
          </w:p>
        </w:tc>
        <w:tc>
          <w:tcPr>
            <w:tcW w:w="1530" w:type="dxa"/>
            <w:shd w:val="clear" w:color="auto" w:fill="auto"/>
          </w:tcPr>
          <w:p w14:paraId="3C736399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7512">
              <w:t xml:space="preserve">28.8 ± 3.7 </w:t>
            </w:r>
            <w:r w:rsidRPr="009F7512">
              <w:rPr>
                <w:vertAlign w:val="superscript"/>
              </w:rPr>
              <w:t>&amp;</w:t>
            </w:r>
          </w:p>
        </w:tc>
        <w:tc>
          <w:tcPr>
            <w:tcW w:w="1440" w:type="dxa"/>
            <w:shd w:val="clear" w:color="auto" w:fill="auto"/>
          </w:tcPr>
          <w:p w14:paraId="31C0B7AE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7512">
              <w:t xml:space="preserve">27.1±4.3 </w:t>
            </w:r>
            <w:r w:rsidRPr="009F7512">
              <w:rPr>
                <w:vertAlign w:val="superscript"/>
              </w:rPr>
              <w:t>&amp;</w:t>
            </w:r>
          </w:p>
        </w:tc>
        <w:tc>
          <w:tcPr>
            <w:tcW w:w="1440" w:type="dxa"/>
            <w:shd w:val="clear" w:color="auto" w:fill="auto"/>
          </w:tcPr>
          <w:p w14:paraId="4953528C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7512">
              <w:t>23.2±4.3</w:t>
            </w:r>
            <w:r w:rsidRPr="009F7512">
              <w:rPr>
                <w:vertAlign w:val="superscript"/>
              </w:rPr>
              <w:t>&amp;</w:t>
            </w:r>
          </w:p>
        </w:tc>
      </w:tr>
      <w:tr w:rsidR="003B02F6" w:rsidRPr="009F7512" w14:paraId="5AA98C9F" w14:textId="77777777" w:rsidTr="00A735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shd w:val="clear" w:color="auto" w:fill="auto"/>
          </w:tcPr>
          <w:p w14:paraId="3DE52176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</w:pPr>
            <w:r w:rsidRPr="009F7512">
              <w:t>RVEF, %</w:t>
            </w:r>
          </w:p>
        </w:tc>
        <w:tc>
          <w:tcPr>
            <w:tcW w:w="1440" w:type="dxa"/>
            <w:shd w:val="clear" w:color="auto" w:fill="auto"/>
          </w:tcPr>
          <w:p w14:paraId="1A4181AA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bookmarkStart w:id="10" w:name="OLE_LINK1"/>
            <w:bookmarkStart w:id="11" w:name="OLE_LINK2"/>
            <w:r w:rsidRPr="009F7512">
              <w:t>55.6±9</w:t>
            </w:r>
            <w:bookmarkEnd w:id="10"/>
            <w:bookmarkEnd w:id="11"/>
          </w:p>
        </w:tc>
        <w:tc>
          <w:tcPr>
            <w:tcW w:w="1530" w:type="dxa"/>
            <w:shd w:val="clear" w:color="auto" w:fill="auto"/>
          </w:tcPr>
          <w:p w14:paraId="5E180968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7512">
              <w:t>52.1±7.5</w:t>
            </w:r>
          </w:p>
        </w:tc>
        <w:tc>
          <w:tcPr>
            <w:tcW w:w="1530" w:type="dxa"/>
            <w:shd w:val="clear" w:color="auto" w:fill="auto"/>
          </w:tcPr>
          <w:p w14:paraId="5B2DD2E4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7512">
              <w:t>47.7±9.3</w:t>
            </w:r>
            <w:r w:rsidRPr="009F7512">
              <w:rPr>
                <w:vertAlign w:val="superscript"/>
              </w:rPr>
              <w:t>#</w:t>
            </w:r>
          </w:p>
        </w:tc>
        <w:tc>
          <w:tcPr>
            <w:tcW w:w="1440" w:type="dxa"/>
            <w:shd w:val="clear" w:color="auto" w:fill="auto"/>
          </w:tcPr>
          <w:p w14:paraId="08005531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bookmarkStart w:id="12" w:name="OLE_LINK17"/>
            <w:bookmarkStart w:id="13" w:name="OLE_LINK18"/>
            <w:r w:rsidRPr="009F7512">
              <w:t>46.3±6.8</w:t>
            </w:r>
            <w:bookmarkEnd w:id="12"/>
            <w:bookmarkEnd w:id="13"/>
            <w:r w:rsidRPr="009F7512">
              <w:rPr>
                <w:vertAlign w:val="superscript"/>
              </w:rPr>
              <w:t>&amp;</w:t>
            </w:r>
          </w:p>
        </w:tc>
        <w:tc>
          <w:tcPr>
            <w:tcW w:w="1440" w:type="dxa"/>
            <w:shd w:val="clear" w:color="auto" w:fill="auto"/>
          </w:tcPr>
          <w:p w14:paraId="0FD0DC8B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7512">
              <w:t>50.2±7.3*</w:t>
            </w:r>
          </w:p>
        </w:tc>
      </w:tr>
      <w:tr w:rsidR="003B02F6" w:rsidRPr="009F7512" w14:paraId="6945C388" w14:textId="77777777" w:rsidTr="00A73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shd w:val="clear" w:color="auto" w:fill="auto"/>
          </w:tcPr>
          <w:p w14:paraId="35849E95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</w:pPr>
            <w:r w:rsidRPr="009F7512">
              <w:t>RVEDV index, ml/m</w:t>
            </w:r>
            <w:r w:rsidRPr="009F7512">
              <w:rPr>
                <w:vertAlign w:val="superscript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14:paraId="3BC48668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7512">
              <w:t>47.2±9.4</w:t>
            </w:r>
          </w:p>
        </w:tc>
        <w:tc>
          <w:tcPr>
            <w:tcW w:w="1530" w:type="dxa"/>
            <w:shd w:val="clear" w:color="auto" w:fill="auto"/>
          </w:tcPr>
          <w:p w14:paraId="7D651A2C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7512">
              <w:t>51±12.4</w:t>
            </w:r>
          </w:p>
        </w:tc>
        <w:tc>
          <w:tcPr>
            <w:tcW w:w="1530" w:type="dxa"/>
            <w:shd w:val="clear" w:color="auto" w:fill="auto"/>
          </w:tcPr>
          <w:p w14:paraId="2AA9F462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7512">
              <w:t>47±12.8</w:t>
            </w:r>
          </w:p>
        </w:tc>
        <w:tc>
          <w:tcPr>
            <w:tcW w:w="1440" w:type="dxa"/>
            <w:shd w:val="clear" w:color="auto" w:fill="auto"/>
          </w:tcPr>
          <w:p w14:paraId="55112ABE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7512">
              <w:t>45±14.3</w:t>
            </w:r>
          </w:p>
        </w:tc>
        <w:tc>
          <w:tcPr>
            <w:tcW w:w="1440" w:type="dxa"/>
            <w:shd w:val="clear" w:color="auto" w:fill="auto"/>
          </w:tcPr>
          <w:p w14:paraId="0EA19E62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7512">
              <w:t>48±11.6</w:t>
            </w:r>
          </w:p>
        </w:tc>
      </w:tr>
      <w:tr w:rsidR="003B02F6" w:rsidRPr="009F7512" w14:paraId="112EDBBD" w14:textId="77777777" w:rsidTr="00A7355E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shd w:val="clear" w:color="auto" w:fill="auto"/>
          </w:tcPr>
          <w:p w14:paraId="346B1F82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</w:pPr>
            <w:r w:rsidRPr="009F7512">
              <w:t>RVESV index, ml/m</w:t>
            </w:r>
            <w:r w:rsidRPr="009F7512">
              <w:rPr>
                <w:vertAlign w:val="superscript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14:paraId="0CA495AC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7512">
              <w:t>20.4±6</w:t>
            </w:r>
          </w:p>
        </w:tc>
        <w:tc>
          <w:tcPr>
            <w:tcW w:w="1530" w:type="dxa"/>
            <w:shd w:val="clear" w:color="auto" w:fill="auto"/>
          </w:tcPr>
          <w:p w14:paraId="210E99FD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7512">
              <w:t>24.4±6.9</w:t>
            </w:r>
          </w:p>
        </w:tc>
        <w:tc>
          <w:tcPr>
            <w:tcW w:w="1530" w:type="dxa"/>
            <w:shd w:val="clear" w:color="auto" w:fill="auto"/>
          </w:tcPr>
          <w:p w14:paraId="483642B8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7512">
              <w:t>25.2±10*</w:t>
            </w:r>
          </w:p>
        </w:tc>
        <w:tc>
          <w:tcPr>
            <w:tcW w:w="1440" w:type="dxa"/>
            <w:shd w:val="clear" w:color="auto" w:fill="auto"/>
          </w:tcPr>
          <w:p w14:paraId="64AA7571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7512">
              <w:t>24±8.6</w:t>
            </w:r>
            <w:r w:rsidRPr="009F7512">
              <w:rPr>
                <w:vertAlign w:val="superscript"/>
              </w:rPr>
              <w:t>#</w:t>
            </w:r>
          </w:p>
        </w:tc>
        <w:tc>
          <w:tcPr>
            <w:tcW w:w="1440" w:type="dxa"/>
            <w:shd w:val="clear" w:color="auto" w:fill="auto"/>
          </w:tcPr>
          <w:p w14:paraId="7A685FC4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7512">
              <w:t>22.9±6.3</w:t>
            </w:r>
          </w:p>
        </w:tc>
      </w:tr>
      <w:tr w:rsidR="003B02F6" w:rsidRPr="009F7512" w14:paraId="746019F5" w14:textId="77777777" w:rsidTr="00A73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shd w:val="clear" w:color="auto" w:fill="auto"/>
          </w:tcPr>
          <w:p w14:paraId="4DB0AD1D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</w:pPr>
            <w:r w:rsidRPr="009F7512">
              <w:t>RV mass index, g/m</w:t>
            </w:r>
            <w:r w:rsidRPr="009F7512">
              <w:rPr>
                <w:vertAlign w:val="superscript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14:paraId="0DEE0801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bookmarkStart w:id="14" w:name="OLE_LINK7"/>
            <w:bookmarkStart w:id="15" w:name="OLE_LINK8"/>
            <w:r w:rsidRPr="009F7512">
              <w:t>18.2±4</w:t>
            </w:r>
            <w:bookmarkEnd w:id="14"/>
            <w:bookmarkEnd w:id="15"/>
          </w:p>
        </w:tc>
        <w:tc>
          <w:tcPr>
            <w:tcW w:w="1530" w:type="dxa"/>
            <w:shd w:val="clear" w:color="auto" w:fill="auto"/>
          </w:tcPr>
          <w:p w14:paraId="7FB5D95D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7512">
              <w:t>15.8±2.6</w:t>
            </w:r>
            <w:r w:rsidRPr="009F7512">
              <w:rPr>
                <w:vertAlign w:val="superscript"/>
              </w:rPr>
              <w:t>#</w:t>
            </w:r>
          </w:p>
        </w:tc>
        <w:tc>
          <w:tcPr>
            <w:tcW w:w="1530" w:type="dxa"/>
            <w:shd w:val="clear" w:color="auto" w:fill="auto"/>
          </w:tcPr>
          <w:p w14:paraId="7E60BE2A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7512">
              <w:t>15.7±3</w:t>
            </w:r>
            <w:r w:rsidRPr="009F7512">
              <w:rPr>
                <w:vertAlign w:val="superscript"/>
              </w:rPr>
              <w:t>&amp;</w:t>
            </w:r>
          </w:p>
        </w:tc>
        <w:tc>
          <w:tcPr>
            <w:tcW w:w="1440" w:type="dxa"/>
            <w:shd w:val="clear" w:color="auto" w:fill="auto"/>
          </w:tcPr>
          <w:p w14:paraId="606C5B59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7512">
              <w:t>14±2.9</w:t>
            </w:r>
            <w:r w:rsidRPr="009F7512">
              <w:rPr>
                <w:vertAlign w:val="superscript"/>
              </w:rPr>
              <w:t>&amp;</w:t>
            </w:r>
          </w:p>
        </w:tc>
        <w:tc>
          <w:tcPr>
            <w:tcW w:w="1440" w:type="dxa"/>
            <w:shd w:val="clear" w:color="auto" w:fill="auto"/>
          </w:tcPr>
          <w:p w14:paraId="37F95C8B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bookmarkStart w:id="16" w:name="OLE_LINK21"/>
            <w:bookmarkStart w:id="17" w:name="OLE_LINK22"/>
            <w:r w:rsidRPr="009F7512">
              <w:t>13±2.8</w:t>
            </w:r>
            <w:bookmarkEnd w:id="16"/>
            <w:bookmarkEnd w:id="17"/>
            <w:r w:rsidRPr="009F7512">
              <w:rPr>
                <w:vertAlign w:val="superscript"/>
              </w:rPr>
              <w:t>&amp;</w:t>
            </w:r>
          </w:p>
        </w:tc>
      </w:tr>
      <w:tr w:rsidR="003B02F6" w:rsidRPr="009F7512" w14:paraId="500AC2C0" w14:textId="77777777" w:rsidTr="00A7355E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shd w:val="clear" w:color="auto" w:fill="auto"/>
          </w:tcPr>
          <w:p w14:paraId="25D0C790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</w:pPr>
            <w:r w:rsidRPr="009F7512">
              <w:t>RV ECV</w:t>
            </w:r>
          </w:p>
        </w:tc>
        <w:tc>
          <w:tcPr>
            <w:tcW w:w="1440" w:type="dxa"/>
            <w:shd w:val="clear" w:color="auto" w:fill="auto"/>
          </w:tcPr>
          <w:p w14:paraId="5584A705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bookmarkStart w:id="18" w:name="OLE_LINK25"/>
            <w:bookmarkStart w:id="19" w:name="OLE_LINK26"/>
            <w:r w:rsidRPr="009F7512">
              <w:t>0.2</w:t>
            </w:r>
            <w:r>
              <w:t>6</w:t>
            </w:r>
            <w:r w:rsidRPr="009F7512">
              <w:t>±0.0</w:t>
            </w:r>
            <w:r>
              <w:t>7</w:t>
            </w:r>
            <w:bookmarkEnd w:id="18"/>
            <w:bookmarkEnd w:id="19"/>
          </w:p>
        </w:tc>
        <w:tc>
          <w:tcPr>
            <w:tcW w:w="1530" w:type="dxa"/>
            <w:shd w:val="clear" w:color="auto" w:fill="auto"/>
          </w:tcPr>
          <w:p w14:paraId="5D083E23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7512">
              <w:t>0.37±0.</w:t>
            </w:r>
            <w:r>
              <w:t>21</w:t>
            </w:r>
            <w:r w:rsidRPr="009F7512">
              <w:rPr>
                <w:vertAlign w:val="superscript"/>
              </w:rPr>
              <w:t>#</w:t>
            </w:r>
          </w:p>
        </w:tc>
        <w:tc>
          <w:tcPr>
            <w:tcW w:w="1530" w:type="dxa"/>
            <w:shd w:val="clear" w:color="auto" w:fill="auto"/>
          </w:tcPr>
          <w:p w14:paraId="20449DF5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7512">
              <w:t>0.33±0.0</w:t>
            </w:r>
            <w:r>
              <w:t>6</w:t>
            </w:r>
            <w:r w:rsidRPr="009F7512">
              <w:t>*</w:t>
            </w:r>
          </w:p>
        </w:tc>
        <w:tc>
          <w:tcPr>
            <w:tcW w:w="1440" w:type="dxa"/>
            <w:shd w:val="clear" w:color="auto" w:fill="auto"/>
          </w:tcPr>
          <w:p w14:paraId="036C804C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7512">
              <w:t>0.35±0.04</w:t>
            </w:r>
            <w:r w:rsidRPr="009F7512">
              <w:rPr>
                <w:vertAlign w:val="superscript"/>
              </w:rPr>
              <w:t>#</w:t>
            </w:r>
          </w:p>
        </w:tc>
        <w:tc>
          <w:tcPr>
            <w:tcW w:w="1440" w:type="dxa"/>
            <w:shd w:val="clear" w:color="auto" w:fill="auto"/>
          </w:tcPr>
          <w:p w14:paraId="7482913D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bookmarkStart w:id="20" w:name="OLE_LINK27"/>
            <w:bookmarkStart w:id="21" w:name="OLE_LINK28"/>
            <w:r w:rsidRPr="009F7512">
              <w:t>0.40±0.</w:t>
            </w:r>
            <w:r>
              <w:t>1</w:t>
            </w:r>
            <w:r w:rsidRPr="009F7512">
              <w:rPr>
                <w:vertAlign w:val="superscript"/>
              </w:rPr>
              <w:t>#</w:t>
            </w:r>
            <w:bookmarkEnd w:id="20"/>
            <w:bookmarkEnd w:id="21"/>
          </w:p>
        </w:tc>
      </w:tr>
      <w:tr w:rsidR="003B02F6" w:rsidRPr="00E10A36" w14:paraId="27FE5508" w14:textId="77777777" w:rsidTr="00A73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shd w:val="clear" w:color="auto" w:fill="auto"/>
          </w:tcPr>
          <w:p w14:paraId="47DE27AD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rPr>
                <w:b w:val="0"/>
                <w:bCs w:val="0"/>
                <w:i/>
                <w:iCs/>
                <w:color w:val="auto"/>
              </w:rPr>
            </w:pPr>
            <w:r w:rsidRPr="009F7512">
              <w:rPr>
                <w:color w:val="auto"/>
              </w:rPr>
              <w:t>RV cardiomyocyte mass, g/m</w:t>
            </w:r>
            <w:r w:rsidRPr="009F7512">
              <w:rPr>
                <w:color w:val="auto"/>
                <w:vertAlign w:val="superscript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14:paraId="30A4EF37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9F7512">
              <w:rPr>
                <w:color w:val="auto"/>
              </w:rPr>
              <w:t>1</w:t>
            </w:r>
            <w:r>
              <w:rPr>
                <w:color w:val="auto"/>
              </w:rPr>
              <w:t>3.8</w:t>
            </w:r>
            <w:r w:rsidRPr="009F7512">
              <w:rPr>
                <w:color w:val="auto"/>
              </w:rPr>
              <w:t>±3.</w:t>
            </w:r>
            <w:r>
              <w:rPr>
                <w:color w:val="auto"/>
              </w:rPr>
              <w:t>33</w:t>
            </w:r>
          </w:p>
        </w:tc>
        <w:tc>
          <w:tcPr>
            <w:tcW w:w="1530" w:type="dxa"/>
            <w:shd w:val="clear" w:color="auto" w:fill="auto"/>
          </w:tcPr>
          <w:p w14:paraId="4279E2E1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9F7512">
              <w:rPr>
                <w:color w:val="auto"/>
              </w:rPr>
              <w:t>11.</w:t>
            </w:r>
            <w:r>
              <w:rPr>
                <w:color w:val="auto"/>
              </w:rPr>
              <w:t>48</w:t>
            </w:r>
            <w:r w:rsidRPr="009F7512">
              <w:rPr>
                <w:color w:val="auto"/>
              </w:rPr>
              <w:t>±2.</w:t>
            </w:r>
            <w:r>
              <w:rPr>
                <w:color w:val="auto"/>
              </w:rPr>
              <w:t>29</w:t>
            </w:r>
            <w:r w:rsidRPr="009F7512">
              <w:t>*</w:t>
            </w:r>
          </w:p>
        </w:tc>
        <w:tc>
          <w:tcPr>
            <w:tcW w:w="1530" w:type="dxa"/>
            <w:shd w:val="clear" w:color="auto" w:fill="auto"/>
          </w:tcPr>
          <w:p w14:paraId="590199AB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9F7512">
              <w:rPr>
                <w:color w:val="auto"/>
              </w:rPr>
              <w:t>1</w:t>
            </w:r>
            <w:r>
              <w:rPr>
                <w:color w:val="auto"/>
              </w:rPr>
              <w:t>1.28</w:t>
            </w:r>
            <w:r w:rsidRPr="009F7512">
              <w:rPr>
                <w:color w:val="auto"/>
              </w:rPr>
              <w:t>±2.</w:t>
            </w:r>
            <w:r>
              <w:rPr>
                <w:color w:val="auto"/>
              </w:rPr>
              <w:t>45</w:t>
            </w:r>
            <w:r w:rsidRPr="009F7512">
              <w:t>*</w:t>
            </w:r>
          </w:p>
        </w:tc>
        <w:tc>
          <w:tcPr>
            <w:tcW w:w="1440" w:type="dxa"/>
            <w:shd w:val="clear" w:color="auto" w:fill="auto"/>
          </w:tcPr>
          <w:p w14:paraId="2D711D59" w14:textId="77777777" w:rsidR="003B02F6" w:rsidRPr="009F7512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9F7512">
              <w:rPr>
                <w:color w:val="auto"/>
              </w:rPr>
              <w:t>9.</w:t>
            </w:r>
            <w:r>
              <w:rPr>
                <w:color w:val="auto"/>
              </w:rPr>
              <w:t>37</w:t>
            </w:r>
            <w:r w:rsidRPr="009F7512">
              <w:rPr>
                <w:color w:val="auto"/>
              </w:rPr>
              <w:t>±1.9</w:t>
            </w:r>
            <w:r>
              <w:rPr>
                <w:color w:val="auto"/>
              </w:rPr>
              <w:t>4</w:t>
            </w:r>
            <w:r w:rsidRPr="009F7512">
              <w:rPr>
                <w:vertAlign w:val="superscript"/>
              </w:rPr>
              <w:t>#</w:t>
            </w:r>
          </w:p>
        </w:tc>
        <w:tc>
          <w:tcPr>
            <w:tcW w:w="1440" w:type="dxa"/>
            <w:shd w:val="clear" w:color="auto" w:fill="auto"/>
          </w:tcPr>
          <w:p w14:paraId="677FAC35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9F7512">
              <w:rPr>
                <w:color w:val="auto"/>
              </w:rPr>
              <w:t>8.</w:t>
            </w:r>
            <w:r>
              <w:rPr>
                <w:color w:val="auto"/>
              </w:rPr>
              <w:t>3</w:t>
            </w:r>
            <w:r w:rsidRPr="009F7512">
              <w:rPr>
                <w:color w:val="auto"/>
              </w:rPr>
              <w:t>±</w:t>
            </w:r>
            <w:r>
              <w:rPr>
                <w:color w:val="auto"/>
              </w:rPr>
              <w:t>1.93</w:t>
            </w:r>
            <w:r w:rsidRPr="009F7512">
              <w:rPr>
                <w:vertAlign w:val="superscript"/>
              </w:rPr>
              <w:t>&amp;</w:t>
            </w:r>
          </w:p>
        </w:tc>
      </w:tr>
    </w:tbl>
    <w:p w14:paraId="6310DD56" w14:textId="77777777" w:rsidR="003B02F6" w:rsidRPr="00E10A36" w:rsidRDefault="003B02F6" w:rsidP="003B02F6">
      <w:pPr>
        <w:spacing w:before="100" w:beforeAutospacing="1" w:after="100" w:afterAutospacing="1" w:line="360" w:lineRule="auto"/>
        <w:jc w:val="both"/>
      </w:pPr>
      <w:r w:rsidRPr="00E10A36">
        <w:t xml:space="preserve">Data are presented as mean ± SD. LV: left ventricle; RV: right ventricle; EF: ejection fraction; EDV: end diastolic volume; ESV: end systolic volume (average/SD). </w:t>
      </w:r>
    </w:p>
    <w:p w14:paraId="19080662" w14:textId="77777777" w:rsidR="003B02F6" w:rsidRPr="00E10A36" w:rsidRDefault="003B02F6" w:rsidP="003B02F6">
      <w:pPr>
        <w:spacing w:before="100" w:beforeAutospacing="1" w:after="100" w:afterAutospacing="1"/>
        <w:jc w:val="both"/>
      </w:pPr>
      <w:r w:rsidRPr="00E10A36">
        <w:t>*Significantly different from Pre-DOX level (p&lt;0.05 from linear mixed effects model).</w:t>
      </w:r>
    </w:p>
    <w:p w14:paraId="63E9A4C8" w14:textId="77777777" w:rsidR="003B02F6" w:rsidRPr="00E10A36" w:rsidRDefault="003B02F6" w:rsidP="003B02F6">
      <w:pPr>
        <w:spacing w:before="100" w:beforeAutospacing="1" w:after="100" w:afterAutospacing="1"/>
        <w:jc w:val="both"/>
      </w:pPr>
      <w:r w:rsidRPr="00E10A36">
        <w:rPr>
          <w:vertAlign w:val="superscript"/>
        </w:rPr>
        <w:t xml:space="preserve"># </w:t>
      </w:r>
      <w:r w:rsidRPr="00E10A36">
        <w:t>Significantly different from Pre-DOX level (p&lt;0.01 from linear mixed effects model).</w:t>
      </w:r>
    </w:p>
    <w:p w14:paraId="15637BED" w14:textId="77777777" w:rsidR="003B02F6" w:rsidRPr="00E10A36" w:rsidRDefault="003B02F6" w:rsidP="003B02F6">
      <w:pPr>
        <w:spacing w:before="100" w:beforeAutospacing="1" w:after="100" w:afterAutospacing="1"/>
        <w:jc w:val="both"/>
      </w:pPr>
      <w:r w:rsidRPr="00E10A36">
        <w:rPr>
          <w:vertAlign w:val="superscript"/>
        </w:rPr>
        <w:t xml:space="preserve">&amp; </w:t>
      </w:r>
      <w:r w:rsidRPr="00E10A36">
        <w:t>Significantly different from Pre-DOX level (p&lt;0.001 from linear mixed effects model).</w:t>
      </w:r>
    </w:p>
    <w:p w14:paraId="249602D3" w14:textId="77777777" w:rsidR="003B02F6" w:rsidRPr="001D2575" w:rsidRDefault="003B02F6" w:rsidP="003B02F6">
      <w:pPr>
        <w:spacing w:before="100" w:beforeAutospacing="1" w:after="100" w:afterAutospacing="1" w:line="480" w:lineRule="auto"/>
        <w:jc w:val="both"/>
        <w:sectPr w:rsidR="003B02F6" w:rsidRPr="001D2575" w:rsidSect="00F075AC">
          <w:pgSz w:w="12240" w:h="15840" w:orient="landscape"/>
          <w:pgMar w:top="1800" w:right="1440" w:bottom="1800" w:left="1440" w:header="708" w:footer="708" w:gutter="0"/>
          <w:cols w:space="708"/>
          <w:docGrid w:linePitch="360"/>
        </w:sectPr>
      </w:pPr>
    </w:p>
    <w:p w14:paraId="29F71652" w14:textId="77777777" w:rsidR="003B02F6" w:rsidRPr="00E10A36" w:rsidRDefault="003B02F6" w:rsidP="003B02F6">
      <w:pPr>
        <w:spacing w:before="100" w:beforeAutospacing="1" w:after="100" w:afterAutospacing="1" w:line="360" w:lineRule="auto"/>
        <w:jc w:val="both"/>
        <w:outlineLvl w:val="0"/>
        <w:rPr>
          <w:b/>
        </w:rPr>
      </w:pPr>
      <w:r>
        <w:rPr>
          <w:b/>
        </w:rPr>
        <w:lastRenderedPageBreak/>
        <w:t>Online Table 2</w:t>
      </w:r>
      <w:r w:rsidRPr="00E10A36">
        <w:rPr>
          <w:b/>
        </w:rPr>
        <w:t>: Baseline and Follow-Up Biochemical Analysis (</w:t>
      </w:r>
      <w:r w:rsidRPr="00E10A36">
        <w:t xml:space="preserve">online-only </w:t>
      </w:r>
      <w:r w:rsidRPr="00E10A36">
        <w:rPr>
          <w:b/>
        </w:rPr>
        <w:t>Data Supplement)</w:t>
      </w:r>
      <w:r>
        <w:rPr>
          <w:b/>
        </w:rPr>
        <w:t>:</w:t>
      </w:r>
    </w:p>
    <w:tbl>
      <w:tblPr>
        <w:tblStyle w:val="LightShading"/>
        <w:tblW w:w="12078" w:type="dxa"/>
        <w:tblLayout w:type="fixed"/>
        <w:tblLook w:val="04A0" w:firstRow="1" w:lastRow="0" w:firstColumn="1" w:lastColumn="0" w:noHBand="0" w:noVBand="1"/>
      </w:tblPr>
      <w:tblGrid>
        <w:gridCol w:w="2808"/>
        <w:gridCol w:w="1800"/>
        <w:gridCol w:w="1980"/>
        <w:gridCol w:w="2070"/>
        <w:gridCol w:w="1710"/>
        <w:gridCol w:w="1710"/>
      </w:tblGrid>
      <w:tr w:rsidR="003B02F6" w:rsidRPr="00E10A36" w14:paraId="300F826B" w14:textId="77777777" w:rsidTr="00A735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8" w:type="dxa"/>
          </w:tcPr>
          <w:p w14:paraId="07200E13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  <w:rPr>
                <w:rFonts w:eastAsiaTheme="majorEastAsia"/>
                <w:i/>
                <w:iCs/>
                <w:color w:val="4472C4" w:themeColor="accent1"/>
              </w:rPr>
            </w:pPr>
            <w:r w:rsidRPr="00E10A36">
              <w:t xml:space="preserve">Median days after </w:t>
            </w:r>
            <w:r w:rsidRPr="00E10A36">
              <w:rPr>
                <w:rStyle w:val="yiv7736471028"/>
              </w:rPr>
              <w:t>anthracycline</w:t>
            </w:r>
          </w:p>
        </w:tc>
        <w:tc>
          <w:tcPr>
            <w:tcW w:w="1800" w:type="dxa"/>
          </w:tcPr>
          <w:p w14:paraId="73C8B0E9" w14:textId="77777777" w:rsidR="003B02F6" w:rsidRPr="00E10A36" w:rsidRDefault="003B02F6" w:rsidP="00A7355E">
            <w:pPr>
              <w:spacing w:before="100" w:beforeAutospacing="1" w:after="100" w:afterAutospacing="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10A36">
              <w:t>Pre-DOX</w:t>
            </w:r>
          </w:p>
        </w:tc>
        <w:tc>
          <w:tcPr>
            <w:tcW w:w="1980" w:type="dxa"/>
          </w:tcPr>
          <w:p w14:paraId="7537DBD1" w14:textId="77777777" w:rsidR="003B02F6" w:rsidRPr="00E10A36" w:rsidRDefault="003B02F6" w:rsidP="00A7355E">
            <w:pPr>
              <w:spacing w:before="100" w:beforeAutospacing="1" w:after="100" w:afterAutospacing="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10A36">
              <w:t>(79,146</w:t>
            </w:r>
            <w:r>
              <w:t>]</w:t>
            </w:r>
          </w:p>
        </w:tc>
        <w:tc>
          <w:tcPr>
            <w:tcW w:w="2070" w:type="dxa"/>
          </w:tcPr>
          <w:p w14:paraId="7AF8E6D2" w14:textId="77777777" w:rsidR="003B02F6" w:rsidRPr="00E10A36" w:rsidRDefault="003B02F6" w:rsidP="00A7355E">
            <w:pPr>
              <w:spacing w:before="100" w:beforeAutospacing="1" w:after="100" w:afterAutospacing="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10A36">
              <w:t>(146,231</w:t>
            </w:r>
            <w:r>
              <w:t>]</w:t>
            </w:r>
          </w:p>
        </w:tc>
        <w:tc>
          <w:tcPr>
            <w:tcW w:w="1710" w:type="dxa"/>
          </w:tcPr>
          <w:p w14:paraId="39BBF6E8" w14:textId="77777777" w:rsidR="003B02F6" w:rsidRPr="00E10A36" w:rsidRDefault="003B02F6" w:rsidP="00A7355E">
            <w:pPr>
              <w:spacing w:before="100" w:beforeAutospacing="1" w:after="100" w:afterAutospacing="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10A36">
              <w:t>(231,350</w:t>
            </w:r>
            <w:r>
              <w:t>]</w:t>
            </w:r>
          </w:p>
        </w:tc>
        <w:tc>
          <w:tcPr>
            <w:tcW w:w="1710" w:type="dxa"/>
          </w:tcPr>
          <w:p w14:paraId="7AFBFC6B" w14:textId="77777777" w:rsidR="003B02F6" w:rsidRPr="00E10A36" w:rsidRDefault="003B02F6" w:rsidP="00A7355E">
            <w:pPr>
              <w:spacing w:before="100" w:beforeAutospacing="1" w:after="100" w:afterAutospacing="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10A36">
              <w:t>(350,700</w:t>
            </w:r>
            <w:r>
              <w:t>]</w:t>
            </w:r>
          </w:p>
        </w:tc>
      </w:tr>
      <w:tr w:rsidR="003B02F6" w:rsidRPr="00E10A36" w14:paraId="22A2936C" w14:textId="77777777" w:rsidTr="00A73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8" w:type="dxa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auto"/>
          </w:tcPr>
          <w:p w14:paraId="5E0B0BED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</w:pPr>
            <w:r w:rsidRPr="00E10A36">
              <w:t>N</w:t>
            </w:r>
          </w:p>
        </w:tc>
        <w:tc>
          <w:tcPr>
            <w:tcW w:w="1800" w:type="dxa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auto"/>
          </w:tcPr>
          <w:p w14:paraId="68D560C1" w14:textId="77777777" w:rsidR="003B02F6" w:rsidRPr="00E10A36" w:rsidRDefault="003B02F6" w:rsidP="00A7355E">
            <w:pPr>
              <w:spacing w:before="100" w:beforeAutospacing="1" w:after="100" w:afterAutospacing="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0A36">
              <w:t>27</w:t>
            </w:r>
          </w:p>
        </w:tc>
        <w:tc>
          <w:tcPr>
            <w:tcW w:w="1980" w:type="dxa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auto"/>
          </w:tcPr>
          <w:p w14:paraId="5CEDCE43" w14:textId="77777777" w:rsidR="003B02F6" w:rsidRPr="00E10A36" w:rsidRDefault="003B02F6" w:rsidP="00A7355E">
            <w:pPr>
              <w:spacing w:before="100" w:beforeAutospacing="1" w:after="100" w:afterAutospacing="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0A36">
              <w:t>16</w:t>
            </w:r>
          </w:p>
        </w:tc>
        <w:tc>
          <w:tcPr>
            <w:tcW w:w="2070" w:type="dxa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auto"/>
          </w:tcPr>
          <w:p w14:paraId="2A0ECDBD" w14:textId="77777777" w:rsidR="003B02F6" w:rsidRPr="00E10A36" w:rsidRDefault="003B02F6" w:rsidP="00A7355E">
            <w:pPr>
              <w:spacing w:before="100" w:beforeAutospacing="1" w:after="100" w:afterAutospacing="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0A36">
              <w:t>19</w:t>
            </w: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auto"/>
          </w:tcPr>
          <w:p w14:paraId="14F786A2" w14:textId="77777777" w:rsidR="003B02F6" w:rsidRPr="00E10A36" w:rsidRDefault="003B02F6" w:rsidP="00A7355E">
            <w:pPr>
              <w:spacing w:before="100" w:beforeAutospacing="1" w:after="100" w:afterAutospacing="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0A36">
              <w:t>14</w:t>
            </w: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auto"/>
          </w:tcPr>
          <w:p w14:paraId="76F4A673" w14:textId="77777777" w:rsidR="003B02F6" w:rsidRPr="00E10A36" w:rsidRDefault="003B02F6" w:rsidP="00A7355E">
            <w:pPr>
              <w:spacing w:before="100" w:beforeAutospacing="1" w:after="100" w:afterAutospacing="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0A36">
              <w:t>16</w:t>
            </w:r>
          </w:p>
        </w:tc>
      </w:tr>
      <w:tr w:rsidR="003B02F6" w:rsidRPr="00E10A36" w14:paraId="7725D075" w14:textId="77777777" w:rsidTr="00A7355E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8" w:type="dxa"/>
            <w:shd w:val="clear" w:color="auto" w:fill="auto"/>
          </w:tcPr>
          <w:p w14:paraId="51FE63A2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</w:pPr>
            <w:r>
              <w:t>CK-</w:t>
            </w:r>
            <w:r w:rsidRPr="00E10A36">
              <w:t>MB fraction, U/L</w:t>
            </w:r>
          </w:p>
        </w:tc>
        <w:tc>
          <w:tcPr>
            <w:tcW w:w="1800" w:type="dxa"/>
            <w:shd w:val="clear" w:color="auto" w:fill="auto"/>
          </w:tcPr>
          <w:p w14:paraId="2741300B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0A36">
              <w:t>13.6 ± 6.1</w:t>
            </w:r>
          </w:p>
        </w:tc>
        <w:tc>
          <w:tcPr>
            <w:tcW w:w="1980" w:type="dxa"/>
            <w:shd w:val="clear" w:color="auto" w:fill="auto"/>
          </w:tcPr>
          <w:p w14:paraId="0ADCE8F2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0A36">
              <w:t>19.8 ± 11.7 *</w:t>
            </w:r>
          </w:p>
        </w:tc>
        <w:tc>
          <w:tcPr>
            <w:tcW w:w="2070" w:type="dxa"/>
            <w:shd w:val="clear" w:color="auto" w:fill="auto"/>
          </w:tcPr>
          <w:p w14:paraId="57E14250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0A36">
              <w:t>19.1 ± 8.5 *</w:t>
            </w:r>
          </w:p>
        </w:tc>
        <w:tc>
          <w:tcPr>
            <w:tcW w:w="1710" w:type="dxa"/>
            <w:shd w:val="clear" w:color="auto" w:fill="auto"/>
          </w:tcPr>
          <w:p w14:paraId="77B9CBF4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0A36">
              <w:t>15.8 ± 8.5</w:t>
            </w:r>
          </w:p>
        </w:tc>
        <w:tc>
          <w:tcPr>
            <w:tcW w:w="1710" w:type="dxa"/>
            <w:shd w:val="clear" w:color="auto" w:fill="auto"/>
          </w:tcPr>
          <w:p w14:paraId="2DD24820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0A36">
              <w:t>17.2 ± 7.8</w:t>
            </w:r>
          </w:p>
        </w:tc>
      </w:tr>
      <w:tr w:rsidR="003B02F6" w:rsidRPr="00E10A36" w14:paraId="1A736308" w14:textId="77777777" w:rsidTr="00A73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8" w:type="dxa"/>
            <w:shd w:val="clear" w:color="auto" w:fill="auto"/>
          </w:tcPr>
          <w:p w14:paraId="00BB1ABC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  <w:rPr>
                <w:vertAlign w:val="superscript"/>
              </w:rPr>
            </w:pPr>
            <w:proofErr w:type="spellStart"/>
            <w:r w:rsidRPr="00E10A36">
              <w:t>hs</w:t>
            </w:r>
            <w:proofErr w:type="spellEnd"/>
            <w:r w:rsidRPr="00E10A36">
              <w:t>-CRP, mg/L</w:t>
            </w:r>
          </w:p>
        </w:tc>
        <w:tc>
          <w:tcPr>
            <w:tcW w:w="1800" w:type="dxa"/>
            <w:shd w:val="clear" w:color="auto" w:fill="auto"/>
          </w:tcPr>
          <w:p w14:paraId="24FD4616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0A36">
              <w:t>0.3 ± 0.2</w:t>
            </w:r>
          </w:p>
        </w:tc>
        <w:tc>
          <w:tcPr>
            <w:tcW w:w="1980" w:type="dxa"/>
            <w:shd w:val="clear" w:color="auto" w:fill="auto"/>
          </w:tcPr>
          <w:p w14:paraId="23767EC8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0A36">
              <w:t>0.4 ± 0.5</w:t>
            </w:r>
          </w:p>
        </w:tc>
        <w:tc>
          <w:tcPr>
            <w:tcW w:w="2070" w:type="dxa"/>
            <w:shd w:val="clear" w:color="auto" w:fill="auto"/>
          </w:tcPr>
          <w:p w14:paraId="13EA73E5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0A36">
              <w:t>0.3 ± 0.2</w:t>
            </w:r>
          </w:p>
        </w:tc>
        <w:tc>
          <w:tcPr>
            <w:tcW w:w="1710" w:type="dxa"/>
            <w:shd w:val="clear" w:color="auto" w:fill="auto"/>
          </w:tcPr>
          <w:p w14:paraId="246CE0FC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0A36">
              <w:t>0.12 ± 0.7 *</w:t>
            </w:r>
          </w:p>
        </w:tc>
        <w:tc>
          <w:tcPr>
            <w:tcW w:w="1710" w:type="dxa"/>
            <w:shd w:val="clear" w:color="auto" w:fill="auto"/>
          </w:tcPr>
          <w:p w14:paraId="7FFFFBFF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0A36">
              <w:t>0.3 ± 0.4</w:t>
            </w:r>
          </w:p>
        </w:tc>
      </w:tr>
      <w:tr w:rsidR="003B02F6" w:rsidRPr="00E10A36" w14:paraId="7CCB38B7" w14:textId="77777777" w:rsidTr="00A7355E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8" w:type="dxa"/>
            <w:shd w:val="clear" w:color="auto" w:fill="auto"/>
          </w:tcPr>
          <w:p w14:paraId="57AAEFAA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</w:pPr>
            <w:proofErr w:type="spellStart"/>
            <w:r w:rsidRPr="00E10A36">
              <w:t>hs</w:t>
            </w:r>
            <w:proofErr w:type="spellEnd"/>
            <w:r w:rsidRPr="00E10A36">
              <w:t>-Troponin T, ng/dL</w:t>
            </w:r>
          </w:p>
        </w:tc>
        <w:tc>
          <w:tcPr>
            <w:tcW w:w="1800" w:type="dxa"/>
            <w:shd w:val="clear" w:color="auto" w:fill="auto"/>
          </w:tcPr>
          <w:p w14:paraId="53B92AB8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0A36">
              <w:t>4.6 ± 1.4</w:t>
            </w:r>
          </w:p>
        </w:tc>
        <w:tc>
          <w:tcPr>
            <w:tcW w:w="1980" w:type="dxa"/>
            <w:shd w:val="clear" w:color="auto" w:fill="auto"/>
          </w:tcPr>
          <w:p w14:paraId="01A8A625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0A36">
              <w:t>21.3 ± 14.4 *</w:t>
            </w:r>
          </w:p>
        </w:tc>
        <w:tc>
          <w:tcPr>
            <w:tcW w:w="2070" w:type="dxa"/>
            <w:shd w:val="clear" w:color="auto" w:fill="auto"/>
          </w:tcPr>
          <w:p w14:paraId="3DFA8FFD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0A36">
              <w:t>10.7 ± 3.2 *</w:t>
            </w:r>
          </w:p>
        </w:tc>
        <w:tc>
          <w:tcPr>
            <w:tcW w:w="1710" w:type="dxa"/>
            <w:shd w:val="clear" w:color="auto" w:fill="auto"/>
          </w:tcPr>
          <w:p w14:paraId="5072BFBE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0A36">
              <w:t>6.6 ± 3.7 *</w:t>
            </w:r>
          </w:p>
        </w:tc>
        <w:tc>
          <w:tcPr>
            <w:tcW w:w="1710" w:type="dxa"/>
            <w:shd w:val="clear" w:color="auto" w:fill="auto"/>
          </w:tcPr>
          <w:p w14:paraId="5D32B15E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0A36">
              <w:t>5.2 ± 1.6</w:t>
            </w:r>
          </w:p>
        </w:tc>
      </w:tr>
      <w:tr w:rsidR="003B02F6" w:rsidRPr="00E10A36" w14:paraId="521D6D57" w14:textId="77777777" w:rsidTr="00A73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8" w:type="dxa"/>
            <w:shd w:val="clear" w:color="auto" w:fill="auto"/>
          </w:tcPr>
          <w:p w14:paraId="1B4BAEF5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</w:pPr>
            <w:r w:rsidRPr="00E10A36">
              <w:t>Hemoglobin, g/dL</w:t>
            </w:r>
          </w:p>
        </w:tc>
        <w:tc>
          <w:tcPr>
            <w:tcW w:w="1800" w:type="dxa"/>
            <w:shd w:val="clear" w:color="auto" w:fill="auto"/>
          </w:tcPr>
          <w:p w14:paraId="4183A4D3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0A36">
              <w:t>13.1 ± 0.9</w:t>
            </w:r>
          </w:p>
        </w:tc>
        <w:tc>
          <w:tcPr>
            <w:tcW w:w="1980" w:type="dxa"/>
            <w:shd w:val="clear" w:color="auto" w:fill="auto"/>
          </w:tcPr>
          <w:p w14:paraId="725718DA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0A36">
              <w:t>12.1 ± 1.0 *</w:t>
            </w:r>
          </w:p>
        </w:tc>
        <w:tc>
          <w:tcPr>
            <w:tcW w:w="2070" w:type="dxa"/>
            <w:shd w:val="clear" w:color="auto" w:fill="auto"/>
          </w:tcPr>
          <w:p w14:paraId="12615A1C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0A36">
              <w:t>12.1 ± 1.0 *</w:t>
            </w:r>
          </w:p>
        </w:tc>
        <w:tc>
          <w:tcPr>
            <w:tcW w:w="1710" w:type="dxa"/>
            <w:shd w:val="clear" w:color="auto" w:fill="auto"/>
          </w:tcPr>
          <w:p w14:paraId="3BCAA1D7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0A36">
              <w:t>12.1 ± 0.8 *</w:t>
            </w:r>
          </w:p>
        </w:tc>
        <w:tc>
          <w:tcPr>
            <w:tcW w:w="1710" w:type="dxa"/>
            <w:shd w:val="clear" w:color="auto" w:fill="auto"/>
          </w:tcPr>
          <w:p w14:paraId="67AF7B63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0A36">
              <w:t>12.1 ± 1.0 *</w:t>
            </w:r>
          </w:p>
        </w:tc>
      </w:tr>
      <w:tr w:rsidR="003B02F6" w:rsidRPr="00E10A36" w14:paraId="6D7B9162" w14:textId="77777777" w:rsidTr="00A7355E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8" w:type="dxa"/>
            <w:shd w:val="clear" w:color="auto" w:fill="auto"/>
          </w:tcPr>
          <w:p w14:paraId="4DF87D6B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</w:pPr>
            <w:r w:rsidRPr="00E10A36">
              <w:t>Hematocrit, %</w:t>
            </w:r>
          </w:p>
        </w:tc>
        <w:tc>
          <w:tcPr>
            <w:tcW w:w="1800" w:type="dxa"/>
            <w:shd w:val="clear" w:color="auto" w:fill="auto"/>
          </w:tcPr>
          <w:p w14:paraId="50F05167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0A36">
              <w:t>39.8 ± 2.5</w:t>
            </w:r>
          </w:p>
        </w:tc>
        <w:tc>
          <w:tcPr>
            <w:tcW w:w="1980" w:type="dxa"/>
            <w:shd w:val="clear" w:color="auto" w:fill="auto"/>
          </w:tcPr>
          <w:p w14:paraId="2E6FCCF6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0A36">
              <w:t>36.4 ± 2.8 *</w:t>
            </w:r>
          </w:p>
        </w:tc>
        <w:tc>
          <w:tcPr>
            <w:tcW w:w="2070" w:type="dxa"/>
            <w:shd w:val="clear" w:color="auto" w:fill="auto"/>
          </w:tcPr>
          <w:p w14:paraId="1216CC77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0A36">
              <w:t>36.5 ± 2.8 *</w:t>
            </w:r>
          </w:p>
        </w:tc>
        <w:tc>
          <w:tcPr>
            <w:tcW w:w="1710" w:type="dxa"/>
            <w:shd w:val="clear" w:color="auto" w:fill="auto"/>
          </w:tcPr>
          <w:p w14:paraId="0FAEB591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0A36">
              <w:t>36.1 ± 2.6 *</w:t>
            </w:r>
          </w:p>
        </w:tc>
        <w:tc>
          <w:tcPr>
            <w:tcW w:w="1710" w:type="dxa"/>
            <w:shd w:val="clear" w:color="auto" w:fill="auto"/>
          </w:tcPr>
          <w:p w14:paraId="3C784854" w14:textId="77777777" w:rsidR="003B02F6" w:rsidRPr="00E10A36" w:rsidRDefault="003B02F6" w:rsidP="00A7355E">
            <w:pPr>
              <w:spacing w:before="100" w:beforeAutospacing="1" w:after="100" w:afterAutospacing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0A36">
              <w:t>37.1 ± 2.8 *</w:t>
            </w:r>
          </w:p>
        </w:tc>
      </w:tr>
    </w:tbl>
    <w:p w14:paraId="388558C2" w14:textId="77777777" w:rsidR="003B02F6" w:rsidRPr="00E10A36" w:rsidRDefault="003B02F6" w:rsidP="003B02F6">
      <w:pPr>
        <w:spacing w:before="100" w:beforeAutospacing="1" w:after="100" w:afterAutospacing="1" w:line="360" w:lineRule="auto"/>
        <w:jc w:val="both"/>
      </w:pPr>
      <w:r w:rsidRPr="00E10A36">
        <w:t xml:space="preserve">Data are presented as mean ± SD. CK: Creatine kinase; CRP: C Reactive Protein; </w:t>
      </w:r>
      <w:proofErr w:type="spellStart"/>
      <w:r w:rsidRPr="00E10A36">
        <w:t>hs</w:t>
      </w:r>
      <w:proofErr w:type="spellEnd"/>
      <w:r w:rsidRPr="00E10A36">
        <w:t xml:space="preserve">: high-sensitivity; (average/SD). </w:t>
      </w:r>
    </w:p>
    <w:p w14:paraId="6EAAE390" w14:textId="77777777" w:rsidR="003B02F6" w:rsidRPr="00330299" w:rsidRDefault="003B02F6" w:rsidP="003B02F6">
      <w:pPr>
        <w:spacing w:line="360" w:lineRule="auto"/>
        <w:jc w:val="both"/>
        <w:rPr>
          <w:bCs/>
        </w:rPr>
      </w:pPr>
      <w:r w:rsidRPr="00E10A36">
        <w:t xml:space="preserve">*Significantly different from Pre-DOX level (p&lt;0.01 from linear mixed effects model). </w:t>
      </w:r>
    </w:p>
    <w:p w14:paraId="3C031214" w14:textId="77777777" w:rsidR="003C4ABE" w:rsidRDefault="003C4ABE"/>
    <w:sectPr w:rsidR="003C4ABE" w:rsidSect="00356AD1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2F6"/>
    <w:rsid w:val="000F202D"/>
    <w:rsid w:val="000F38C7"/>
    <w:rsid w:val="003B02F6"/>
    <w:rsid w:val="003C4ABE"/>
    <w:rsid w:val="0059511D"/>
    <w:rsid w:val="005D2684"/>
    <w:rsid w:val="00600252"/>
    <w:rsid w:val="00636238"/>
    <w:rsid w:val="006C48BB"/>
    <w:rsid w:val="00916A26"/>
    <w:rsid w:val="00CE04D0"/>
    <w:rsid w:val="00CE1E4B"/>
    <w:rsid w:val="00EB1E38"/>
    <w:rsid w:val="00EC73F1"/>
    <w:rsid w:val="00F0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8380875"/>
  <w15:chartTrackingRefBased/>
  <w15:docId w15:val="{45D9F9B4-F163-894D-8357-84F928F5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2F6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yiv7736471028">
    <w:name w:val="yiv7736471028"/>
    <w:basedOn w:val="DefaultParagraphFont"/>
    <w:rsid w:val="003B02F6"/>
  </w:style>
  <w:style w:type="table" w:styleId="LightShading">
    <w:name w:val="Light Shading"/>
    <w:basedOn w:val="TableNormal"/>
    <w:uiPriority w:val="60"/>
    <w:rsid w:val="003B02F6"/>
    <w:rPr>
      <w:rFonts w:eastAsiaTheme="minorEastAsia"/>
      <w:color w:val="000000" w:themeColor="text1" w:themeShade="BF"/>
      <w:lang w:val="pt-B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Otavio Coelho Filho</dc:creator>
  <cp:keywords/>
  <dc:description/>
  <cp:lastModifiedBy>Otavio Coelho Filho</cp:lastModifiedBy>
  <cp:revision>1</cp:revision>
  <dcterms:created xsi:type="dcterms:W3CDTF">2021-04-01T15:24:00Z</dcterms:created>
  <dcterms:modified xsi:type="dcterms:W3CDTF">2021-04-01T15:25:00Z</dcterms:modified>
</cp:coreProperties>
</file>