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462A" w14:textId="46C0A631" w:rsidR="000E1D9E" w:rsidRPr="00B942C0" w:rsidRDefault="000E1D9E" w:rsidP="00FD3B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position w:val="-4"/>
          <w:sz w:val="28"/>
          <w:szCs w:val="24"/>
          <w:lang w:val="en-GB" w:eastAsia="es-ES_tradnl"/>
        </w:rPr>
      </w:pPr>
      <w:bookmarkStart w:id="0" w:name="_Hlk42197493"/>
      <w:r w:rsidRPr="00B942C0">
        <w:rPr>
          <w:rFonts w:ascii="Times New Roman" w:eastAsia="Times New Roman" w:hAnsi="Times New Roman" w:cs="Times New Roman"/>
          <w:b/>
          <w:bCs/>
          <w:position w:val="-4"/>
          <w:sz w:val="28"/>
          <w:szCs w:val="24"/>
          <w:lang w:val="en-GB" w:eastAsia="es-ES_tradnl"/>
        </w:rPr>
        <w:t xml:space="preserve">SUPPLEMENTARY </w:t>
      </w:r>
      <w:r w:rsidR="00D272E7" w:rsidRPr="00B942C0">
        <w:rPr>
          <w:rFonts w:ascii="Times New Roman" w:eastAsia="Times New Roman" w:hAnsi="Times New Roman" w:cs="Times New Roman"/>
          <w:b/>
          <w:bCs/>
          <w:position w:val="-4"/>
          <w:sz w:val="28"/>
          <w:szCs w:val="24"/>
          <w:lang w:val="en-GB" w:eastAsia="es-ES_tradnl"/>
        </w:rPr>
        <w:t>INFORMATION</w:t>
      </w:r>
      <w:r w:rsidRPr="00B942C0">
        <w:rPr>
          <w:rFonts w:ascii="Times New Roman" w:eastAsia="Times New Roman" w:hAnsi="Times New Roman" w:cs="Times New Roman"/>
          <w:b/>
          <w:bCs/>
          <w:position w:val="-4"/>
          <w:sz w:val="28"/>
          <w:szCs w:val="24"/>
          <w:lang w:val="en-GB" w:eastAsia="es-ES_tradnl"/>
        </w:rPr>
        <w:cr/>
      </w:r>
    </w:p>
    <w:p w14:paraId="3DE28A25" w14:textId="77777777" w:rsidR="000E1D9E" w:rsidRPr="00B942C0" w:rsidRDefault="000E1D9E" w:rsidP="00FD3B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position w:val="-4"/>
          <w:sz w:val="28"/>
          <w:szCs w:val="24"/>
          <w:lang w:val="en-GB" w:eastAsia="es-ES_tradnl"/>
        </w:rPr>
      </w:pPr>
    </w:p>
    <w:p w14:paraId="14AA534A" w14:textId="28D0ABA7" w:rsidR="00F3724D" w:rsidRPr="00B942C0" w:rsidRDefault="00363EAC" w:rsidP="00FD3B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position w:val="-4"/>
          <w:sz w:val="28"/>
          <w:szCs w:val="24"/>
          <w:lang w:val="en-GB" w:eastAsia="es-ES_tradnl"/>
        </w:rPr>
      </w:pPr>
      <w:r w:rsidRPr="00363EAC">
        <w:rPr>
          <w:rFonts w:ascii="Times New Roman" w:eastAsia="Times New Roman" w:hAnsi="Times New Roman" w:cs="Times New Roman"/>
          <w:b/>
          <w:bCs/>
          <w:position w:val="-4"/>
          <w:sz w:val="28"/>
          <w:szCs w:val="24"/>
          <w:lang w:val="en-GB" w:eastAsia="es-ES_tradnl"/>
        </w:rPr>
        <w:t>Synergy of diffraction and spectroscopic techniques to unveil the crystal structure of antimonic acid</w:t>
      </w:r>
    </w:p>
    <w:bookmarkEnd w:id="0"/>
    <w:p w14:paraId="6549ED76" w14:textId="77777777" w:rsidR="00F3724D" w:rsidRPr="00B942C0" w:rsidRDefault="00F3724D" w:rsidP="00FD3B0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position w:val="-4"/>
          <w:sz w:val="24"/>
          <w:szCs w:val="24"/>
          <w:lang w:val="en-GB" w:eastAsia="es-ES_tradnl"/>
        </w:rPr>
      </w:pPr>
    </w:p>
    <w:p w14:paraId="6D6A77CB" w14:textId="743F5934" w:rsidR="00F3724D" w:rsidRPr="00B942C0" w:rsidRDefault="00F3724D" w:rsidP="00FD3B0C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</w:pPr>
      <w:bookmarkStart w:id="1" w:name="_Hlk42197537"/>
      <w:r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>S.F. Mayer,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1*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 xml:space="preserve"> J.E. Rodrigues,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1,2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 xml:space="preserve"> I. Sobrados,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1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 xml:space="preserve"> J. Gainza,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1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 xml:space="preserve"> M.T. Fernández-Díaz,</w:t>
      </w:r>
      <w:r w:rsidR="00055E32"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3</w:t>
      </w:r>
      <w:r w:rsidR="00055E32"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 xml:space="preserve">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>C. Marini,</w:t>
      </w:r>
      <w:r w:rsidR="00055E32"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4</w:t>
      </w:r>
      <w:r w:rsidR="00055E32"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 xml:space="preserve"> </w:t>
      </w:r>
      <w:r w:rsidR="00A60B37"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>M.C. Asensio,</w:t>
      </w:r>
      <w:r w:rsidR="00A60B37"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1</w:t>
      </w:r>
      <w:r w:rsidR="00A60B37"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 xml:space="preserve">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  <w:t>J.A. Alonso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 w:eastAsia="es-ES_tradnl"/>
        </w:rPr>
        <w:t>1</w:t>
      </w:r>
    </w:p>
    <w:p w14:paraId="288287DB" w14:textId="77777777" w:rsidR="00F3724D" w:rsidRPr="00B942C0" w:rsidRDefault="00F3724D" w:rsidP="00FD3B0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position w:val="-4"/>
          <w:sz w:val="24"/>
          <w:szCs w:val="24"/>
          <w:lang w:val="es-ES" w:eastAsia="es-ES_tradnl"/>
        </w:rPr>
      </w:pPr>
    </w:p>
    <w:p w14:paraId="23D2600B" w14:textId="77777777" w:rsidR="00F3724D" w:rsidRPr="00B942C0" w:rsidRDefault="00F3724D" w:rsidP="00FD3B0C">
      <w:pPr>
        <w:spacing w:after="0" w:line="280" w:lineRule="exact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</w:pPr>
      <w:bookmarkStart w:id="2" w:name="_Hlk42197558"/>
      <w:bookmarkEnd w:id="1"/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val="es-ES"/>
        </w:rPr>
        <w:t>1</w:t>
      </w:r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gramStart"/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>Instituto</w:t>
      </w:r>
      <w:proofErr w:type="gramEnd"/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 xml:space="preserve"> de Ciencia de Materiales de Madrid (ICMM), Consejo Superior de Investigaciones Científicas (CSIC), Sor Juana Inés de la Cruz 3, E</w:t>
      </w:r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noBreakHyphen/>
        <w:t xml:space="preserve">28049 Madrid, </w:t>
      </w:r>
      <w:proofErr w:type="spellStart"/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>Spain</w:t>
      </w:r>
      <w:proofErr w:type="spellEnd"/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>.</w:t>
      </w:r>
    </w:p>
    <w:p w14:paraId="58BB5232" w14:textId="77777777" w:rsidR="00F3724D" w:rsidRPr="00B942C0" w:rsidRDefault="00F3724D" w:rsidP="00FD3B0C">
      <w:pPr>
        <w:spacing w:after="0" w:line="280" w:lineRule="exact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</w:pPr>
    </w:p>
    <w:p w14:paraId="254D3DF4" w14:textId="77777777" w:rsidR="00F3724D" w:rsidRPr="00B942C0" w:rsidRDefault="00F3724D" w:rsidP="00FD3B0C">
      <w:pPr>
        <w:spacing w:after="0" w:line="280" w:lineRule="exact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</w:pPr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val="en-GB"/>
        </w:rPr>
        <w:t>2</w:t>
      </w:r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  <w:t xml:space="preserve"> European Synchrotron Radiation Facility, ESRF, 71 Avenue des Martyrs, 38000 Grenoble, France.</w:t>
      </w:r>
    </w:p>
    <w:p w14:paraId="1F4E81CD" w14:textId="77777777" w:rsidR="00F3724D" w:rsidRPr="00B942C0" w:rsidRDefault="00F3724D" w:rsidP="00FD3B0C">
      <w:pPr>
        <w:spacing w:after="0" w:line="280" w:lineRule="exact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</w:pPr>
    </w:p>
    <w:p w14:paraId="656AA808" w14:textId="5C7765DC" w:rsidR="00F3724D" w:rsidRPr="00B942C0" w:rsidRDefault="00055E32" w:rsidP="00FD3B0C">
      <w:pPr>
        <w:spacing w:after="0" w:line="280" w:lineRule="exact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</w:pPr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val="en-GB"/>
        </w:rPr>
        <w:t>3</w:t>
      </w:r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  <w:t>Institut</w:t>
      </w:r>
      <w:proofErr w:type="spellEnd"/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  <w:t xml:space="preserve"> Laue Langevin (ILL), BP 156X, F-38042 Grenoble, France.</w:t>
      </w:r>
    </w:p>
    <w:p w14:paraId="47BD23F5" w14:textId="77777777" w:rsidR="00F3724D" w:rsidRPr="00B942C0" w:rsidRDefault="00F3724D" w:rsidP="00FD3B0C">
      <w:pPr>
        <w:spacing w:after="0" w:line="360" w:lineRule="auto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n-GB"/>
        </w:rPr>
      </w:pPr>
    </w:p>
    <w:p w14:paraId="3E193ACE" w14:textId="1357539E" w:rsidR="00F3724D" w:rsidRPr="00B942C0" w:rsidRDefault="00055E32" w:rsidP="00FD3B0C">
      <w:pPr>
        <w:spacing w:after="0" w:line="280" w:lineRule="exact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</w:pPr>
      <w:r w:rsidRPr="00B942C0"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val="es-ES"/>
        </w:rPr>
        <w:t>4</w:t>
      </w:r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 xml:space="preserve"> CELLS−ALBA </w:t>
      </w:r>
      <w:proofErr w:type="spellStart"/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>Synchrotron</w:t>
      </w:r>
      <w:proofErr w:type="spellEnd"/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 xml:space="preserve">, Cerdanyola del Valles, E-08290 Barcelona, </w:t>
      </w:r>
      <w:proofErr w:type="spellStart"/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>Spain</w:t>
      </w:r>
      <w:proofErr w:type="spellEnd"/>
      <w:r w:rsidR="00F3724D" w:rsidRPr="00B942C0"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  <w:t>.</w:t>
      </w:r>
    </w:p>
    <w:p w14:paraId="68F1D1A4" w14:textId="77777777" w:rsidR="00F3724D" w:rsidRPr="00B942C0" w:rsidRDefault="00F3724D" w:rsidP="00FD3B0C">
      <w:pPr>
        <w:spacing w:after="0" w:line="360" w:lineRule="auto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val="es-ES"/>
        </w:rPr>
      </w:pPr>
    </w:p>
    <w:p w14:paraId="2004747F" w14:textId="77777777" w:rsidR="00F3724D" w:rsidRPr="00B942C0" w:rsidRDefault="00F3724D" w:rsidP="00FD3B0C">
      <w:pPr>
        <w:spacing w:after="0" w:line="280" w:lineRule="exact"/>
        <w:jc w:val="both"/>
        <w:rPr>
          <w:rFonts w:ascii="Times New Roman" w:eastAsia="MS Mincho" w:hAnsi="Times New Roman" w:cs="Times New Roman"/>
          <w:b/>
          <w:i/>
          <w:iCs/>
          <w:sz w:val="24"/>
          <w:szCs w:val="24"/>
          <w:lang w:val="es-ES"/>
        </w:rPr>
      </w:pPr>
    </w:p>
    <w:p w14:paraId="248D7BD7" w14:textId="77777777" w:rsidR="00F3724D" w:rsidRPr="00B942C0" w:rsidRDefault="00F3724D" w:rsidP="00FD3B0C">
      <w:pPr>
        <w:spacing w:after="0" w:line="360" w:lineRule="auto"/>
        <w:jc w:val="both"/>
        <w:rPr>
          <w:rFonts w:ascii="Times New Roman" w:eastAsia="MS Mincho" w:hAnsi="Times New Roman" w:cs="Times New Roman"/>
          <w:i/>
          <w:iCs/>
          <w:sz w:val="24"/>
          <w:szCs w:val="24"/>
          <w:u w:val="single"/>
          <w:lang w:val="es-ES"/>
        </w:rPr>
      </w:pPr>
    </w:p>
    <w:p w14:paraId="62D49E40" w14:textId="65D8D2FE" w:rsidR="00F3724D" w:rsidRPr="00B942C0" w:rsidRDefault="00F3724D" w:rsidP="00FD3B0C">
      <w:pPr>
        <w:spacing w:after="0" w:line="280" w:lineRule="exact"/>
        <w:jc w:val="both"/>
        <w:rPr>
          <w:rFonts w:ascii="Times New Roman" w:eastAsia="MS Mincho" w:hAnsi="Times New Roman" w:cs="Times New Roman"/>
          <w:i/>
          <w:iCs/>
          <w:color w:val="0000FF"/>
          <w:sz w:val="24"/>
          <w:szCs w:val="24"/>
          <w:u w:val="single"/>
          <w:lang w:val="en-GB"/>
        </w:rPr>
      </w:pPr>
      <w:r w:rsidRPr="00B942C0">
        <w:rPr>
          <w:rFonts w:ascii="Cambria Math" w:eastAsia="MS Mincho" w:hAnsi="Cambria Math" w:cs="Cambria Math"/>
          <w:position w:val="8"/>
          <w:sz w:val="24"/>
          <w:szCs w:val="24"/>
          <w:lang w:val="en-GB"/>
        </w:rPr>
        <w:t>∗</w:t>
      </w:r>
      <w:r w:rsidRPr="00B942C0">
        <w:rPr>
          <w:rFonts w:ascii="Times New Roman" w:eastAsia="MS Mincho" w:hAnsi="Times New Roman" w:cs="Times New Roman"/>
          <w:sz w:val="24"/>
          <w:szCs w:val="24"/>
          <w:lang w:val="en-GB"/>
        </w:rPr>
        <w:t>To whom correspondence should be addresse</w:t>
      </w:r>
      <w:r w:rsidR="004752A1" w:rsidRPr="00B942C0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d: </w:t>
      </w:r>
      <w:hyperlink r:id="rId5" w:history="1">
        <w:r w:rsidR="004752A1" w:rsidRPr="00B942C0">
          <w:rPr>
            <w:rStyle w:val="Hipervnculo"/>
            <w:rFonts w:ascii="Times New Roman" w:eastAsia="MS Mincho" w:hAnsi="Times New Roman" w:cs="Times New Roman"/>
            <w:i/>
            <w:iCs/>
            <w:sz w:val="24"/>
            <w:szCs w:val="24"/>
            <w:lang w:val="en-GB"/>
          </w:rPr>
          <w:t>s.mayer@csic.es</w:t>
        </w:r>
      </w:hyperlink>
      <w:r w:rsidR="004752A1" w:rsidRPr="00B942C0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 </w:t>
      </w:r>
    </w:p>
    <w:p w14:paraId="11C7F178" w14:textId="77777777" w:rsidR="00F3724D" w:rsidRPr="00B942C0" w:rsidRDefault="00F3724D" w:rsidP="00FD3B0C">
      <w:pPr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20"/>
          <w:szCs w:val="20"/>
          <w:lang w:val="en-GB"/>
        </w:rPr>
      </w:pPr>
      <w:r w:rsidRPr="00B942C0">
        <w:rPr>
          <w:rFonts w:ascii="Times New Roman" w:eastAsia="MS Mincho" w:hAnsi="Times New Roman" w:cs="Times New Roman"/>
          <w:i/>
          <w:iCs/>
          <w:sz w:val="20"/>
          <w:szCs w:val="20"/>
          <w:lang w:val="en-GB"/>
        </w:rPr>
        <w:br w:type="page"/>
      </w:r>
    </w:p>
    <w:bookmarkEnd w:id="2"/>
    <w:p w14:paraId="5EA9A638" w14:textId="49403D28" w:rsidR="00F3724D" w:rsidRPr="00B942C0" w:rsidRDefault="00F3724D" w:rsidP="00FD3B0C">
      <w:pPr>
        <w:pStyle w:val="NormalWeb"/>
        <w:spacing w:before="0" w:beforeAutospacing="0" w:after="0" w:afterAutospacing="0" w:line="480" w:lineRule="auto"/>
        <w:jc w:val="both"/>
        <w:rPr>
          <w:i/>
        </w:rPr>
      </w:pPr>
      <w:r w:rsidRPr="00B942C0">
        <w:rPr>
          <w:i/>
        </w:rPr>
        <w:lastRenderedPageBreak/>
        <w:t>Rietveld refinement procedure</w:t>
      </w:r>
    </w:p>
    <w:p w14:paraId="4557E37F" w14:textId="7B328577" w:rsidR="00F3724D" w:rsidRPr="00B942C0" w:rsidRDefault="00F3724D" w:rsidP="00FD3B0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</w:pP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The initial refinement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involved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every atom other than H in the structure, namely Sb, O1, and O2 at 16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d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 (</w:t>
      </w:r>
      <w:proofErr w:type="gramStart"/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½,½</w:t>
      </w:r>
      <w:proofErr w:type="gramEnd"/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,½), 48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f 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(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x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color w:val="3C4043"/>
          <w:sz w:val="24"/>
          <w:szCs w:val="24"/>
          <w:shd w:val="clear" w:color="auto" w:fill="FFFFFF"/>
          <w:lang w:val="en-GB" w:eastAsia="es-ES_tradnl"/>
        </w:rPr>
        <w:t>⅛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color w:val="3C4043"/>
          <w:sz w:val="24"/>
          <w:szCs w:val="24"/>
          <w:shd w:val="clear" w:color="auto" w:fill="FFFFFF"/>
          <w:lang w:val="en-GB" w:eastAsia="es-ES_tradnl"/>
        </w:rPr>
        <w:t>⅛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), and 32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e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 (</w:t>
      </w:r>
      <w:proofErr w:type="spellStart"/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x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x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x</w:t>
      </w:r>
      <w:proofErr w:type="spellEnd"/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) Wyckoff sites, respectively. The arrangement of the first two species constitutes the basic (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B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O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6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)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s-ES_tradnl"/>
        </w:rPr>
        <w:t>2−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covalent pyrochlore framework, while the O2 atoms correspond to the O’ in the theoretical A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O’ subunit. Individual isotropic displacement “thermal” factors were initially considered for each atom. The unit cell was then updated by incorporating a single hydrogen atom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H1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at 96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g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 (</w:t>
      </w:r>
      <w:proofErr w:type="spellStart"/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x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x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z</w:t>
      </w:r>
      <w:proofErr w:type="spellEnd"/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)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 xml:space="preserve">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special positions [Case A], in concomitance with our recent experience with a related family of hydrated defect pyrochlore-type acidic oxides containing antimony and telluri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um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fldChar w:fldCharType="begin" w:fldLock="1"/>
      </w:r>
      <w:r w:rsidR="00D66381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instrText>ADDIN CSL_CITATION {"citationItems":[{"id":"ITEM-1","itemData":{"DOI":"10.1039/D0DT01770A","ISSN":"1477-9234","author":[{"dropping-particle":"","family":"Mayer","given":"Sergio","non-dropping-particle":"","parse-names":false,"suffix":""},{"dropping-particle":"","family":"Falcón","given":"Horacio","non-dropping-particle":"","parse-names":false,"suffix":""},{"dropping-particle":"","family":"Fernandez-Diaz","given":"Maria Teresa","non-dropping-particle":"","parse-names":false,"suffix":""},{"dropping-particle":"","family":"Campos-Martin","given":"Jose","non-dropping-particle":"","parse-names":false,"suffix":""},{"dropping-particle":"","family":"Alonso","given":"Jose Antonio","non-dropping-particle":"","parse-names":false,"suffix":""}],"container-title":"Dalton Transactions","id":"ITEM-1","issued":{"date-parts":[["2020"]]},"page":"11657-11667","publisher":"Royal Society of Chemistry","title":"Structure-properties relationship in the hydronium-containing pyrochlores (H3O)1+pSb1+pTe1-pO6 with catalytic activity in the fructose dehydration reaction.","type":"article-journal","volume":"49"},"uris":["http://www.mendeley.com/documents/?uuid=c356307f-4009-4477-bf09-852fc82ff9c2"]}],"mendeley":{"formattedCitation":"&lt;sup&gt;1&lt;/sup&gt;","plainTextFormattedCitation":"1","previouslyFormattedCitation":"(Mayer et al. 2020)"},"properties":{"noteIndex":0},"schema":"https://github.com/citation-style-language/schema/raw/master/csl-citation.json"}</w:instrTex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fldChar w:fldCharType="separate"/>
      </w:r>
      <w:r w:rsidR="00D66381" w:rsidRPr="00D66381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en-GB" w:eastAsia="es-ES_tradnl"/>
        </w:rPr>
        <w:t>1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fldChar w:fldCharType="end"/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. Those solids, of general formula (H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3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O)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1+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GB" w:eastAsia="es-ES_tradnl"/>
        </w:rPr>
        <w:t>p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Sb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1+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GB" w:eastAsia="es-ES_tradnl"/>
        </w:rPr>
        <w:t>p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Te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1−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GB" w:eastAsia="es-ES_tradnl"/>
        </w:rPr>
        <w:t>p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O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6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 present</w:t>
      </w:r>
      <w:r w:rsidR="00D37A5C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ed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a single kind of H atom bonded to the O2 atoms at distances close to 1.15 Å</w:t>
      </w:r>
      <w:r w:rsidR="006E762E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constituting the hydronium acid subunits.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After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refining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the H1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site occupancy factor (SOF), the phase still exhibited an absence of 1.26 positive charges per formula unit. Although good reliability factors were obtained, the corresponding formula was close to (H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3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O)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1.05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Sb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O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6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O’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0.15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 lacking electroneutrality.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Further tests included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constraining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the SOFs so that the model </w:t>
      </w:r>
      <w:r w:rsidRPr="00D0767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achieves an electrically neutral structure [Case B],</w:t>
      </w:r>
      <w:r w:rsidRPr="00D07679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 </w:t>
      </w:r>
      <w:r w:rsidRPr="00D0767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shown in</w:t>
      </w:r>
      <w:r w:rsidR="00B24B83" w:rsidRPr="00D076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Supplementary</w:t>
      </w:r>
      <w:r w:rsidRPr="00D0767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Fig. </w:t>
      </w:r>
      <w:r w:rsidR="00B24B83" w:rsidRPr="00D0767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S</w:t>
      </w:r>
      <w:r w:rsidR="008132E3" w:rsidRPr="00D0767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2</w:t>
      </w:r>
      <w:r w:rsidR="00981919" w:rsidRPr="00D0767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a</w:t>
      </w:r>
      <w:r w:rsidRPr="00D0767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 but the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resultant hydronium subunit reached unrealistically high Debye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noBreakHyphen/>
        <w:t>Waller (DW) equivalent isotropic displacement (</w:t>
      </w:r>
      <w:proofErr w:type="spellStart"/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U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GB" w:eastAsia="es-ES_tradnl"/>
        </w:rPr>
        <w:t>eq</w:t>
      </w:r>
      <w:proofErr w:type="spellEnd"/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) factors, namely those of </w:t>
      </w:r>
      <w:r w:rsidR="0073322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0.2</w:t>
      </w:r>
      <w:r w:rsidR="00E5709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8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(</w:t>
      </w:r>
      <w:proofErr w:type="gramStart"/>
      <w:r w:rsidR="00E5709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3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)×</w:t>
      </w:r>
      <w:proofErr w:type="gramEnd"/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10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s-ES_tradnl"/>
        </w:rPr>
        <w:t>-2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 Å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s-ES_tradnl"/>
        </w:rPr>
        <w:t>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for the H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1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and </w:t>
      </w:r>
      <w:r w:rsidR="00E5709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0.193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(</w:t>
      </w:r>
      <w:r w:rsidR="00C613BF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9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)×10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s-ES_tradnl"/>
        </w:rPr>
        <w:t>-2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 Å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s-ES_tradnl"/>
        </w:rPr>
        <w:t>2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for O2 species. As reference, this last value was above 15 time</w:t>
      </w:r>
      <w:r w:rsidR="006E762E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s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larger than the </w:t>
      </w:r>
      <w:proofErr w:type="spellStart"/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U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eq</w:t>
      </w:r>
      <w:proofErr w:type="spellEnd"/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of O1 atom.</w:t>
      </w:r>
    </w:p>
    <w:p w14:paraId="57BF615E" w14:textId="19F3D000" w:rsidR="00F3724D" w:rsidRPr="00B942C0" w:rsidRDefault="00F3724D" w:rsidP="00FD3B0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</w:pP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As hydrogen nuclei possess </w:t>
      </w:r>
      <w:r w:rsidR="006E762E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a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negative nuclear scattering length, a Fourier difference density map would shed light on the regions within the unit cell experiencing a lack of protons as a negative peak of nuclear density. To this purpose, the RT NPD collected data contributed with great value owing to its great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sensitivity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to H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atoms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. Among other low-significance difference densities found centred at high-symmetry sites,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lastRenderedPageBreak/>
        <w:t xml:space="preserve">two spots where H atoms could be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present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were identified: the 8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a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 (</w:t>
      </w:r>
      <w:proofErr w:type="gramStart"/>
      <w:r w:rsidRPr="00B942C0">
        <w:rPr>
          <w:rFonts w:ascii="Times New Roman" w:eastAsia="Times New Roman" w:hAnsi="Times New Roman" w:cs="Times New Roman"/>
          <w:color w:val="3C4043"/>
          <w:sz w:val="24"/>
          <w:szCs w:val="24"/>
          <w:shd w:val="clear" w:color="auto" w:fill="FFFFFF"/>
          <w:lang w:val="en-GB" w:eastAsia="es-ES_tradnl"/>
        </w:rPr>
        <w:t>⅛,⅛</w:t>
      </w:r>
      <w:proofErr w:type="gramEnd"/>
      <w:r w:rsidRPr="00B942C0">
        <w:rPr>
          <w:rFonts w:ascii="Times New Roman" w:eastAsia="Times New Roman" w:hAnsi="Times New Roman" w:cs="Times New Roman"/>
          <w:color w:val="3C4043"/>
          <w:sz w:val="24"/>
          <w:szCs w:val="24"/>
          <w:shd w:val="clear" w:color="auto" w:fill="FFFFFF"/>
          <w:lang w:val="en-GB" w:eastAsia="es-ES_tradnl"/>
        </w:rPr>
        <w:t>,⅛)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special Wyckoff </w:t>
      </w:r>
      <w:r w:rsidRPr="00935C4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site, and the 48</w:t>
      </w:r>
      <w:r w:rsidRPr="00935C4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f</w:t>
      </w:r>
      <w:r w:rsidRPr="00935C4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 (</w:t>
      </w:r>
      <w:r w:rsidRPr="00935C4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x</w:t>
      </w:r>
      <w:r w:rsidRPr="00935C49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,</w:t>
      </w:r>
      <w:r w:rsidRPr="00935C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⅛,⅛) position, both marked with light blue negative density isosurfaces in Supplementary Fig. S</w:t>
      </w:r>
      <w:r w:rsidR="008132E3" w:rsidRPr="00935C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2</w:t>
      </w:r>
      <w:r w:rsidR="00981919" w:rsidRPr="00935C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b</w:t>
      </w:r>
      <w:r w:rsidRPr="00935C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. The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first site was considered and later discarded after confirming that the SOF of an H atom there included lowered and converged to close-to-zero values (within the standard deviation) during refinement. This negative density cloud </w:t>
      </w:r>
      <w:r w:rsidR="00F74A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is likely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a consequence of the high symmetry of the site, </w:t>
      </w:r>
      <w:r w:rsidR="001E71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since</w:t>
      </w:r>
      <w:r w:rsidRPr="00B942C0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highly regular crystalline cells, such as pyrochlore-type cubic cells, present relatively low reflection counting and a certainly great degree of peaks overla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pping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. When introduced in the 48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f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site, however, a H atom 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directly linked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to the framework in a Sb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GB" w:eastAsia="es-ES_tradnl"/>
        </w:rPr>
        <w:t>5+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‒OH fashion proved to fit correctly and to enhance the charge neutrality of the crystal. Moreover, the hydroxyl interatomic distance of 1.13(6) Å established between H2 and O1 is in close agreement with crystallized inorganic acids belonging to the same periodic group, such as phosphoric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begin" w:fldLock="1"/>
      </w:r>
      <w:r w:rsidR="00D6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instrText>ADDIN CSL_CITATION {"citationItems":[{"id":"ITEM-1","itemData":{"DOI":"10.1107/S0108768194014643","ISSN":"16005740","PMID":"7576374","author":[{"dropping-particle":"","family":"Souhassou","given":"M.","non-dropping-particle":"","parse-names":false,"suffix":""},{"dropping-particle":"","family":"Espinosa","given":"E.","non-dropping-particle":"","parse-names":false,"suffix":""},{"dropping-particle":"","family":"Lecomte","given":"C.","non-dropping-particle":"","parse-names":false,"suffix":""},{"dropping-particle":"","family":"Blessing","given":"R. H.","non-dropping-particle":"","parse-names":false,"suffix":""}],"container-title":"Acta Crystallographica Section B","id":"ITEM-1","issue":"5","issued":{"date-parts":[["1995"]]},"page":"661-668","publisher":"Acta Crystallogr B","title":"Experimental electron density in crystalline H3PO4","type":"article-journal","volume":"51"},"uris":["http://www.mendeley.com/documents/?uuid=2a6b3a44-1c90-3ae4-b4bc-939b00a3f95d"]}],"mendeley":{"formattedCitation":"&lt;sup&gt;2&lt;/sup&gt;","plainTextFormattedCitation":"2","previouslyFormattedCitation":"(Souhassou et al. 1995)"},"properties":{"noteIndex":0},"schema":"https://github.com/citation-style-language/schema/raw/master/csl-citation.json"}</w:instrTex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separate"/>
      </w:r>
      <w:r w:rsidR="00D66381" w:rsidRPr="00D6638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val="en-GB" w:eastAsia="es-ES_tradnl"/>
        </w:rPr>
        <w:t>2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end"/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(0.934 Å) and arsenic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begin" w:fldLock="1"/>
      </w:r>
      <w:r w:rsidR="00D6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instrText>ADDIN CSL_CITATION {"citationItems":[{"id":"ITEM-1","itemData":{"DOI":"10.1524/zkri.2007.222.7.321","ISSN":"00442968","abstract":"We report on a new mixed valence arsenic(III,V)oxoacid H6As 3+7As5+7O31 which crystallizes in the hexagonal space group P63 (no. 173), with lattice parameters a = 12.0525(1) Å, c = 4.7344(1) Å, V = 595.6(1) Å3 and Z = 2. This phase is metastable and upon heating the RT-phase of As2O5 is recovered. The structure exhibits the first As5+ atom with a fivefold coordination by oxygen atoms in the shape of a distorted square pyramid. The positions of the hydrogen atoms were determined during the structure refinement from high resolution synchrotron powder diffraction data by difference Fourier analysis. © by Oldenbourg Wissenschaftsverlag.","author":[{"dropping-particle":"","family":"Orosel","given":"Denis","non-dropping-particle":"","parse-names":false,"suffix":""},{"dropping-particle":"","family":"Dinnebier","given":"Robert E.","non-dropping-particle":"","parse-names":false,"suffix":""},{"dropping-particle":"","family":"Balog","given":"Paul","non-dropping-particle":"","parse-names":false,"suffix":""},{"dropping-particle":"","family":"Jansen","given":"Martin","non-dropping-particle":"","parse-names":false,"suffix":""}],"container-title":"Zeitschrift fur Kristallographie","id":"ITEM-1","issue":"7","issued":{"date-parts":[["2007","7","1"]]},"page":"321-325","publisher":"Oldenbourg Wissenschaftsverlag GmbH","title":"The crystal structure of a new mixed valence arsenic(III,V)oxoacid H 6As3+7As5+7O31","type":"article-journal","volume":"222"},"uris":["http://www.mendeley.com/documents/?uuid=f6cbeedf-5631-318e-9ff3-62a2bfe33595"]}],"mendeley":{"formattedCitation":"&lt;sup&gt;3&lt;/sup&gt;","plainTextFormattedCitation":"3","previouslyFormattedCitation":"(Orosel et al. 2007)"},"properties":{"noteIndex":0},"schema":"https://github.com/citation-style-language/schema/raw/master/csl-citation.json"}</w:instrTex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separate"/>
      </w:r>
      <w:r w:rsidR="00D66381" w:rsidRPr="00D6638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val="en-GB" w:eastAsia="es-ES_tradnl"/>
        </w:rPr>
        <w:t>3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end"/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(1.005 Å) oxoacids, and with other high-acidity molecules such as nitric (0.9412 Å) and sulfuric (0.97 Å) acids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begin" w:fldLock="1"/>
      </w:r>
      <w:r w:rsidR="00D6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instrText>ADDIN CSL_CITATION {"citationItems":[{"id":"ITEM-1","itemData":{"DOI":"10.1007/10529543_6","author":[{"dropping-particle":"","family":"Graner","given":"G.","non-dropping-particle":"","parse-names":false,"suffix":""},{"dropping-particle":"","family":"Hirota","given":"E.","non-dropping-particle":"","parse-names":false,"suffix":""},{"dropping-particle":"","family":"Iijima","given":"T.","non-dropping-particle":"","parse-names":false,"suffix":""},{"dropping-particle":"","family":"Kuchitsu","given":"K.","non-dropping-particle":"","parse-names":false,"suffix":""},{"dropping-particle":"","family":"Ramsay","given":"D. A.","non-dropping-particle":"","parse-names":false,"suffix":""},{"dropping-particle":"","family":"Vogt","given":"J.","non-dropping-particle":"","parse-names":false,"suffix":""},{"dropping-particle":"","family":"Vogt","given":"N.","non-dropping-particle":"","parse-names":false,"suffix":""}],"container-title":"Inorganic Molecules","id":"ITEM-1","issued":{"date-parts":[["2005","11","25"]]},"page":"283-359","publisher":"Springer-Verlag","title":"2 Inorganic Molecules. Part 4","type":"chapter"},"uris":["http://www.mendeley.com/documents/?uuid=cc308dcb-83f4-35c3-a4c9-081e6fe46334"]}],"mendeley":{"formattedCitation":"&lt;sup&gt;4&lt;/sup&gt;","plainTextFormattedCitation":"4","previouslyFormattedCitation":"(Graner et al. 2005)"},"properties":{"noteIndex":0},"schema":"https://github.com/citation-style-language/schema/raw/master/csl-citation.json"}</w:instrTex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separate"/>
      </w:r>
      <w:r w:rsidR="00D66381" w:rsidRPr="00D6638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val="en-GB" w:eastAsia="es-ES_tradnl"/>
        </w:rPr>
        <w:t>4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end"/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. The SOFs of H1, H2, and O2 atoms were constrain</w:t>
      </w:r>
      <w:r w:rsidR="00FD3B0C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ed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to each other, 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according to the results of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the NMR analysis of the sample. This last scheme was then used for a final Rietveld refinement by combining the NPD together with SXRD </w:t>
      </w:r>
      <w:r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data, also collected at RT. Our finding</w:t>
      </w:r>
      <w:r w:rsidR="00FD3B0C"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s</w:t>
      </w:r>
      <w:r w:rsidR="004C39B9"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, </w:t>
      </w:r>
      <w:r w:rsidR="00FD3B0C"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displayed </w:t>
      </w:r>
      <w:r w:rsidR="004C39B9"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in Supplementary Fig. </w:t>
      </w:r>
      <w:r w:rsidR="008132E3"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2</w:t>
      </w:r>
      <w:r w:rsidR="004C39B9"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c</w:t>
      </w:r>
      <w:r w:rsidRPr="00E12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presents some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level of similarity with a report published by Slade </w:t>
      </w:r>
      <w:r w:rsidRPr="00485C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et al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.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in 1996 on the same crystalline phase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begin" w:fldLock="1"/>
      </w:r>
      <w:r w:rsidR="00D6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instrText>ADDIN CSL_CITATION {"citationItems":[{"id":"ITEM-1","itemData":{"DOI":"10.1016/s0167-2738(96)00497-3","ISSN":"01672738","abstract":"The structure of pyrochlore-type antimonic acid, HSbO3·0.5H2O, has been investigated using powder diffraction of neutrons. The structure (space group Fd3̄m) contains an [Sb2O2-6;] framework, with interstitial oxygens present as a mixture of H2O and H3O+. Three H-atom sites have been identified, (1) close to the [Sb2O2-6] framework in hydroxyl groups (Sb-OH), (2) H in water molecules H-bonded to framework hydroxyls, and (3) H in H3O+ ions H-bonded to O-atoms of the intercavity windows. An intraframework equilibrium of the type Sb-OH + H2O</w:instrText>
      </w:r>
      <w:r w:rsidR="00D66381">
        <w:rPr>
          <w:rFonts w:ascii="Cambria Math" w:eastAsia="Times New Roman" w:hAnsi="Cambria Math" w:cs="Cambria Math"/>
          <w:sz w:val="24"/>
          <w:szCs w:val="24"/>
          <w:shd w:val="clear" w:color="auto" w:fill="FFFFFF"/>
          <w:lang w:val="en-GB" w:eastAsia="es-ES_tradnl"/>
        </w:rPr>
        <w:instrText>⇌</w:instrText>
      </w:r>
      <w:r w:rsidR="00D6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instrText>Sb-O- + H3O+ provides the mechanism for intracavity chemical exchange and proton conduction.","author":[{"dropping-particle":"","family":"Slade","given":"Robert C.T.","non-dropping-particle":"","parse-names":false,"suffix":""},{"dropping-particle":"","family":"Hall","given":"Gillian P.","non-dropping-particle":"","parse-names":false,"suffix":""},{"dropping-particle":"","family":"Ramanan","given":"A.","non-dropping-particle":"","parse-names":false,"suffix":""},{"dropping-particle":"","family":"Prince","given":"Edward","non-dropping-particle":"","parse-names":false,"suffix":""}],"container-title":"Solid State Ionics","id":"ITEM-1","issue":"3-4","issued":{"date-parts":[["1996"]]},"page":"171-181","title":"Structure and proton conduction in pyrochlore-type antimonic acid: A neutron diffraction study","type":"article-journal","volume":"92"},"uris":["http://www.mendeley.com/documents/?uuid=8015fd1a-791d-4547-b2d1-e61eb8427f26"]}],"mendeley":{"formattedCitation":"&lt;sup&gt;5&lt;/sup&gt;","plainTextFormattedCitation":"5","previouslyFormattedCitation":"(Slade et al. 1996)"},"properties":{"noteIndex":0},"schema":"https://github.com/citation-style-language/schema/raw/master/csl-citation.json"}</w:instrTex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separate"/>
      </w:r>
      <w:r w:rsidR="00D66381" w:rsidRPr="00D6638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val="en-GB" w:eastAsia="es-ES_tradnl"/>
        </w:rPr>
        <w:t>5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end"/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. The authors found a hydrogen atom located at 48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f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Wyckoff site, 1.22 Å away from the covalent network oxygen (O1). However, they considered an additional O-H atomic pair located off-centre of the 8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a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site and aligned along the 32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e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 (</w:t>
      </w:r>
      <w:proofErr w:type="spellStart"/>
      <w:proofErr w:type="gramStart"/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x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x</w:t>
      </w:r>
      <w:proofErr w:type="gramEnd"/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,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GB" w:eastAsia="es-ES_tradnl"/>
        </w:rPr>
        <w:t>x</w:t>
      </w:r>
      <w:proofErr w:type="spellEnd"/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) main diagonal, arranged in a tetrahedr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al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unit 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that is intercalated to the one constituted by the O2 and H2 species 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(H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bscript"/>
          <w:lang w:val="en-GB" w:eastAsia="es-ES_tradnl"/>
        </w:rPr>
        <w:t>3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O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GB" w:eastAsia="es-ES_tradnl"/>
        </w:rPr>
        <w:t>+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unit) 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here defined (close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noBreakHyphen/>
        <w:t xml:space="preserve">up as orange-blue atomic pair </w:t>
      </w:r>
      <w:r w:rsidRPr="00132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in Supplementary Fig. S</w:t>
      </w:r>
      <w:r w:rsidR="00655AE1" w:rsidRPr="00132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2d</w:t>
      </w:r>
      <w:r w:rsidR="008C1A55" w:rsidRPr="00132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)</w:t>
      </w:r>
      <w:r w:rsidRPr="00132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>.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Our attempts to include and refine additional hydronium molecules converged in low-quality </w:t>
      </w:r>
      <w:r w:rsidR="00B767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lastRenderedPageBreak/>
        <w:t>agreement</w:t>
      </w:r>
      <w:r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t xml:space="preserve"> factors.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Furthermore, water molecules were not found as such within the refined structure, in contrast with Slade </w:t>
      </w:r>
      <w:r w:rsidRPr="00485C74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et al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.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results</w:t>
      </w:r>
      <w:r w:rsidR="00590388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begin" w:fldLock="1"/>
      </w:r>
      <w:r w:rsidR="00590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instrText>ADDIN CSL_CITATION {"citationItems":[{"id":"ITEM-1","itemData":{"DOI":"10.1016/s0167-2738(96)00497-3","ISSN":"01672738","abstract":"The structure of pyrochlore-type antimonic acid, HSbO3·0.5H2O, has been investigated using powder diffraction of neutrons. The structure (space group Fd3̄m) contains an [Sb2O2-6;] framework, with interstitial oxygens present as a mixture of H2O and H3O+. Three H-atom sites have been identified, (1) close to the [Sb2O2-6] framework in hydroxyl groups (Sb-OH), (2) H in water molecules H-bonded to framework hydroxyls, and (3) H in H3O+ ions H-bonded to O-atoms of the intercavity windows. An intraframework equilibrium of the type Sb-OH + H2O</w:instrText>
      </w:r>
      <w:r w:rsidR="00590388">
        <w:rPr>
          <w:rFonts w:ascii="Cambria Math" w:eastAsia="Times New Roman" w:hAnsi="Cambria Math" w:cs="Cambria Math"/>
          <w:sz w:val="24"/>
          <w:szCs w:val="24"/>
          <w:shd w:val="clear" w:color="auto" w:fill="FFFFFF"/>
          <w:lang w:val="en-GB" w:eastAsia="es-ES_tradnl"/>
        </w:rPr>
        <w:instrText>⇌</w:instrText>
      </w:r>
      <w:r w:rsidR="00590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instrText>Sb-O- + H3O+ provides the mechanism for intracavity chemical exchange and proton conduction.","author":[{"dropping-particle":"","family":"Slade","given":"Robert C.T.","non-dropping-particle":"","parse-names":false,"suffix":""},{"dropping-particle":"","family":"Hall","given":"Gillian P.","non-dropping-particle":"","parse-names":false,"suffix":""},{"dropping-particle":"","family":"Ramanan","given":"A.","non-dropping-particle":"","parse-names":false,"suffix":""},{"dropping-particle":"","family":"Prince","given":"Edward","non-dropping-particle":"","parse-names":false,"suffix":""}],"container-title":"Solid State Ionics","id":"ITEM-1","issue":"3-4","issued":{"date-parts":[["1996"]]},"page":"171-181","title":"Structure and proton conduction in pyrochlore-type antimonic acid: A neutron diffraction study","type":"article-journal","volume":"92"},"uris":["http://www.mendeley.com/documents/?uuid=8015fd1a-791d-4547-b2d1-e61eb8427f26"]}],"mendeley":{"formattedCitation":"&lt;sup&gt;5&lt;/sup&gt;","plainTextFormattedCitation":"5","previouslyFormattedCitation":"(Slade et al. 1996)"},"properties":{"noteIndex":0},"schema":"https://github.com/citation-style-language/schema/raw/master/csl-citation.json"}</w:instrText>
      </w:r>
      <w:r w:rsidR="00590388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separate"/>
      </w:r>
      <w:r w:rsidR="00590388" w:rsidRPr="00D6638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val="en-GB" w:eastAsia="es-ES_tradnl"/>
        </w:rPr>
        <w:t>5</w:t>
      </w:r>
      <w:r w:rsidR="00590388" w:rsidRPr="00B942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s-ES_tradnl"/>
        </w:rPr>
        <w:fldChar w:fldCharType="end"/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.</w:t>
      </w:r>
      <w:r w:rsidR="00E46474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Both disagreements may rely on the different synthesis methods used in each case, and the collected data quality. The low peak signal-to-noise ratio NPD data collected by Slade </w:t>
      </w:r>
      <w:r w:rsidRPr="00485C74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et al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t>.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corresponds to a solid that was obtained by digestion of potassium antimoniate in HNO</w:t>
      </w:r>
      <w:r w:rsidRPr="00B942C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s-ES_tradnl"/>
        </w:rPr>
        <w:t>3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rather than by following the soft-chemistry oxidative hydrolysis procedure </w:t>
      </w:r>
      <w:r w:rsidR="008C1A55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utilized here, previously </w:t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described by Ozawa </w:t>
      </w:r>
      <w:r w:rsidRPr="00485C74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et al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fldChar w:fldCharType="begin" w:fldLock="1"/>
      </w:r>
      <w:r w:rsidR="00D6638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instrText>ADDIN CSL_CITATION {"citationItems":[{"id":"ITEM-1","itemData":{"DOI":"10.1246/cl.1982.1741","ISSN":"0366-7022","author":[{"dropping-particle":"","family":"Ozawa","given":"Yoshihiro","non-dropping-particle":"","parse-names":false,"suffix":""},{"dropping-particle":"","family":"Miura","given":"Norio","non-dropping-particle":"","parse-names":false,"suffix":""},{"dropping-particle":"","family":"Yamazoe","given":"Noboru","non-dropping-particle":"","parse-names":false,"suffix":""},{"dropping-particle":"","family":"Seiyama","given":"Tetsuro","non-dropping-particle":"","parse-names":false,"suffix":""}],"container-title":"Chemistry Letters","id":"ITEM-1","issue":"C","issued":{"date-parts":[["1982"]]},"page":"1741-1742","title":"Proton Conduction in Thermally Treated Antimonic Acid Samples","type":"article-journal"},"uris":["http://www.mendeley.com/documents/?uuid=772ad95b-3ef9-4d76-b6ad-828fdf0936d5"]}],"mendeley":{"formattedCitation":"&lt;sup&gt;6&lt;/sup&gt;","plainTextFormattedCitation":"6","previouslyFormattedCitation":"(Ozawa et al. 1982)"},"properties":{"noteIndex":0},"schema":"https://github.com/citation-style-language/schema/raw/master/csl-citation.json"}</w:instrTex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fldChar w:fldCharType="separate"/>
      </w:r>
      <w:r w:rsidR="00D66381" w:rsidRPr="00D66381"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n-GB" w:eastAsia="es-ES_tradnl"/>
        </w:rPr>
        <w:t>6</w:t>
      </w:r>
      <w:r w:rsidRPr="00B942C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ES_tradnl"/>
        </w:rPr>
        <w:fldChar w:fldCharType="end"/>
      </w: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.</w:t>
      </w:r>
      <w:r w:rsidR="007E3C2F"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</w:t>
      </w:r>
    </w:p>
    <w:p w14:paraId="5143480D" w14:textId="0B2AEC38" w:rsidR="007F6953" w:rsidRPr="00B942C0" w:rsidRDefault="00F3724D" w:rsidP="00FD3B0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</w:pPr>
      <w:r w:rsidRPr="00B942C0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>Once the model we used was consistently defined, advanced refinements incorporated anisotropic displacement factors of each atom with the only exception of the H2 species [Case C], as this led to unrealistic negative anisotropic factors.</w:t>
      </w:r>
    </w:p>
    <w:p w14:paraId="60268351" w14:textId="17B505C8" w:rsidR="0034148A" w:rsidRPr="00B942C0" w:rsidRDefault="00F44127" w:rsidP="00E0640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</w:pPr>
      <w:r w:rsidRPr="00F44127">
        <w:rPr>
          <w:noProof/>
        </w:rPr>
        <w:lastRenderedPageBreak/>
        <w:drawing>
          <wp:inline distT="0" distB="0" distL="0" distR="0" wp14:anchorId="7AEE447B" wp14:editId="61D4E652">
            <wp:extent cx="4505326" cy="655764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07" cy="65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FE55B" w14:textId="32EAB1A2" w:rsidR="00370992" w:rsidRPr="00B942C0" w:rsidRDefault="00B73D2E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</w:pPr>
      <w:r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 xml:space="preserve">Supplementary </w:t>
      </w:r>
      <w:r w:rsidR="00370992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 xml:space="preserve">Figure </w:t>
      </w:r>
      <w:r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S</w:t>
      </w:r>
      <w:r w:rsidR="00370992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1</w:t>
      </w:r>
      <w:r w:rsidR="002D2F9F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.</w:t>
      </w:r>
      <w:r w:rsidR="00370992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 xml:space="preserve"> </w:t>
      </w:r>
      <w:r w:rsidR="003709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Diffraction patterns and structural representation of AA.</w:t>
      </w:r>
      <w:r w:rsidR="00370992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 xml:space="preserve"> </w:t>
      </w:r>
      <w:r w:rsidR="003709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(</w:t>
      </w:r>
      <w:r w:rsidR="00370992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a</w:t>
      </w:r>
      <w:r w:rsidR="003E51C8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and </w:t>
      </w:r>
      <w:r w:rsidR="003E51C8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b</w:t>
      </w:r>
      <w:r w:rsidR="003709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) </w:t>
      </w:r>
      <w:r w:rsidR="003E51C8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Plots of combined Rietveld refinement from SXRD and NPD data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of (H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3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O)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1.20(7)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H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0.77(</w:t>
      </w:r>
      <w:proofErr w:type="gramStart"/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9)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Sb</w:t>
      </w:r>
      <w:proofErr w:type="gramEnd"/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2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O</w:t>
      </w:r>
      <w:r w:rsidR="00030156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6</w:t>
      </w:r>
      <w:r w:rsidR="003E51C8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. Experimental (red crosses), theoretical (solid black line), and difference (solid blue line at the bottom)</w:t>
      </w:r>
      <w:r w:rsidR="00B35B5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(</w:t>
      </w:r>
      <w:r w:rsidR="00DC0289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es-ES_tradnl"/>
        </w:rPr>
        <w:t>a</w:t>
      </w:r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) SXRD (</w:t>
      </w:r>
      <w:proofErr w:type="spellStart"/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λ</w:t>
      </w:r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SXRD</w:t>
      </w:r>
      <w:proofErr w:type="spellEnd"/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 = 0.44271 Å) and (</w:t>
      </w:r>
      <w:r w:rsidR="00DC0289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es-ES_tradnl"/>
        </w:rPr>
        <w:t>b</w:t>
      </w:r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) NPD (</w:t>
      </w:r>
      <w:proofErr w:type="spellStart"/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λ</w:t>
      </w:r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NPD</w:t>
      </w:r>
      <w:proofErr w:type="spellEnd"/>
      <w:r w:rsidR="00DC0289" w:rsidRPr="00DC0289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 = 1.5947 Å) patterns</w:t>
      </w:r>
      <w:r w:rsidR="003709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, with Bragg reflection positions marked by vertical green bars</w:t>
      </w:r>
      <w:r w:rsidR="00B35B5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.</w:t>
      </w:r>
    </w:p>
    <w:p w14:paraId="4DE71A2A" w14:textId="54BC19DB" w:rsidR="002D2F9F" w:rsidRPr="00B942C0" w:rsidRDefault="002D2F9F" w:rsidP="00717FCB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</w:pPr>
      <w:r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br w:type="page"/>
      </w:r>
    </w:p>
    <w:p w14:paraId="4F38B95B" w14:textId="5D5512C4" w:rsidR="00790E0E" w:rsidRPr="00B942C0" w:rsidRDefault="00946A1A" w:rsidP="00717FCB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es-ES_tradnl"/>
        </w:rPr>
      </w:pPr>
      <w:r w:rsidRPr="00946A1A">
        <w:rPr>
          <w:noProof/>
        </w:rPr>
        <w:lastRenderedPageBreak/>
        <w:drawing>
          <wp:inline distT="0" distB="0" distL="0" distR="0" wp14:anchorId="1757BFDE" wp14:editId="00B883F0">
            <wp:extent cx="5400040" cy="529717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9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C72D" w14:textId="30CC63E1" w:rsidR="00B926D4" w:rsidRDefault="002D2F9F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</w:pPr>
      <w:r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Supplementary Figure S2.</w:t>
      </w:r>
      <w:r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582E03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Views </w:t>
      </w:r>
      <w:r w:rsidR="0000627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throughout the </w:t>
      </w:r>
      <w:r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Rietveld structure refinement progress.</w:t>
      </w:r>
      <w:r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 xml:space="preserve"> </w:t>
      </w:r>
      <w:r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(</w:t>
      </w:r>
      <w:r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a</w:t>
      </w:r>
      <w:r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) </w:t>
      </w:r>
      <w:r w:rsidR="0000627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Case</w:t>
      </w:r>
      <w:r w:rsidR="008B54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 </w:t>
      </w:r>
      <w:r w:rsidR="0000627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B scenario, </w:t>
      </w:r>
      <w:r w:rsidR="00C26D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where the </w:t>
      </w:r>
      <w:r w:rsidR="00555F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H</w:t>
      </w:r>
      <w:r w:rsidR="00555F92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3</w:t>
      </w:r>
      <w:r w:rsidR="00555F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O</w:t>
      </w:r>
      <w:r w:rsidR="00555F92" w:rsidRPr="00B942C0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GB" w:eastAsia="es-ES_tradnl"/>
        </w:rPr>
        <w:t>+</w:t>
      </w:r>
      <w:r w:rsidR="00C26D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subunits occupancy </w:t>
      </w:r>
      <w:r w:rsidR="006466F1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is</w:t>
      </w:r>
      <w:r w:rsidR="00C26D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constrained so </w:t>
      </w:r>
      <w:r w:rsidR="00555F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that </w:t>
      </w:r>
      <w:r w:rsidR="00C26D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the final crystal </w:t>
      </w:r>
      <w:r w:rsidR="006466F1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presents </w:t>
      </w:r>
      <w:r w:rsidR="00555F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electroneutrality.</w:t>
      </w:r>
      <w:r w:rsidR="006466F1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4A4A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This model results in unrealistically high DW isotropic displacement factors.</w:t>
      </w:r>
      <w:r w:rsidR="00555F9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4A4A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(</w:t>
      </w:r>
      <w:r w:rsidR="004A4A20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b</w:t>
      </w:r>
      <w:r w:rsidR="004A4A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) 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Fourier density difference negative isosurfaces from NPD data of the (H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3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O)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1.20(7)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H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0.77(</w:t>
      </w:r>
      <w:proofErr w:type="gramStart"/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9)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Sb</w:t>
      </w:r>
      <w:proofErr w:type="gramEnd"/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2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O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GB" w:eastAsia="es-ES_tradnl"/>
        </w:rPr>
        <w:t>6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sample, collected at RT for the Case</w:t>
      </w:r>
      <w:r w:rsidR="008B54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 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B </w:t>
      </w:r>
      <w:r w:rsidR="008B54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refined 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model.</w:t>
      </w:r>
      <w:r w:rsidR="008B545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Two negative spots </w:t>
      </w:r>
      <w:r w:rsidR="001146C3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are highlighted, one at 8</w:t>
      </w:r>
      <w:r w:rsidR="001146C3" w:rsidRPr="00B942C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 w:eastAsia="es-ES_tradnl"/>
        </w:rPr>
        <w:t>a</w:t>
      </w:r>
      <w:r w:rsidR="001146C3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Wyckoff sites, which would be generated due to </w:t>
      </w:r>
      <w:r w:rsidR="00B27857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their high</w:t>
      </w:r>
      <w:r w:rsidR="00251D1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site</w:t>
      </w:r>
      <w:r w:rsidR="00B27857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symmetry, and one at</w:t>
      </w:r>
      <w:r w:rsidR="00251D1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251D12" w:rsidRPr="00B942C0">
        <w:rPr>
          <w:rFonts w:ascii="Times New Roman" w:eastAsia="Times New Roman" w:hAnsi="Times New Roman" w:cs="Times New Roman"/>
          <w:bCs/>
          <w:sz w:val="20"/>
          <w:szCs w:val="20"/>
          <w:lang w:val="en-US" w:eastAsia="es-ES_tradnl"/>
        </w:rPr>
        <w:t>48</w:t>
      </w:r>
      <w:r w:rsidR="00251D12" w:rsidRPr="00B942C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es-ES_tradnl"/>
        </w:rPr>
        <w:t>f</w:t>
      </w:r>
      <w:r w:rsidR="00251D1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B27857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positions</w:t>
      </w:r>
      <w:r w:rsidR="00251D12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,</w:t>
      </w:r>
      <w:r w:rsidR="00B27857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where a H2 atom </w:t>
      </w:r>
      <w:r w:rsidR="00F145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could fit</w:t>
      </w:r>
      <w:r w:rsidR="00B27857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.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(</w:t>
      </w:r>
      <w:r w:rsidR="00F14520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c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)</w:t>
      </w:r>
      <w:r w:rsidR="00F145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80223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F145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Case C and final iteration of the Rietveld refinement</w:t>
      </w:r>
      <w:r w:rsidR="00CF21A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,</w:t>
      </w:r>
      <w:r w:rsidR="00F145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prior anisotropic </w:t>
      </w:r>
      <w:r w:rsidR="00CF21A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definition of the </w:t>
      </w:r>
      <w:r w:rsidR="005A1DF9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atomic </w:t>
      </w:r>
      <w:r w:rsidR="00F1452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displacement factors</w:t>
      </w:r>
      <w:r w:rsidR="00CF21AC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.</w:t>
      </w:r>
      <w:r w:rsidR="00F774F7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(</w:t>
      </w:r>
      <w:r w:rsidR="00F774F7" w:rsidRPr="00B942C0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d</w:t>
      </w:r>
      <w:r w:rsidR="00F774F7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) </w:t>
      </w:r>
      <w:r w:rsidR="00B7465A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Close</w:t>
      </w:r>
      <w:r w:rsidR="00B7465A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noBreakHyphen/>
        <w:t xml:space="preserve">up of the </w:t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model that Slade </w:t>
      </w:r>
      <w:r w:rsidR="002169A5" w:rsidRPr="00485C74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et al</w:t>
      </w:r>
      <w:r w:rsidR="002169A5" w:rsidRPr="00B942C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 w:eastAsia="es-ES_tradnl"/>
        </w:rPr>
        <w:t>.</w:t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fldChar w:fldCharType="begin" w:fldLock="1"/>
      </w:r>
      <w:r w:rsidR="00D66381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instrText>ADDIN CSL_CITATION {"citationItems":[{"id":"ITEM-1","itemData":{"DOI":"10.1016/s0167-2738(96)00497-3","ISSN":"01672738","abstract":"The structure of pyrochlore-type antimonic acid, HSbO3·0.5H2O, has been investigated using powder diffraction of neutrons. The structure (space group Fd3̄m) contains an [Sb2O2-6;] framework, with interstitial oxygens present as a mixture of H2O and H3O+. Three H-atom sites have been identified, (1) close to the [Sb2O2-6] framework in hydroxyl groups (Sb-OH), (2) H in water molecules H-bonded to framework hydroxyls, and (3) H in H3O+ ions H-bonded to O-atoms of the intercavity windows. An intraframework equilibrium of the type Sb-OH + H2O</w:instrText>
      </w:r>
      <w:r w:rsidR="00D66381">
        <w:rPr>
          <w:rFonts w:ascii="Cambria Math" w:eastAsia="Times New Roman" w:hAnsi="Cambria Math" w:cs="Cambria Math"/>
          <w:bCs/>
          <w:sz w:val="20"/>
          <w:szCs w:val="20"/>
          <w:lang w:val="en-GB" w:eastAsia="es-ES_tradnl"/>
        </w:rPr>
        <w:instrText>⇌</w:instrText>
      </w:r>
      <w:r w:rsidR="00D66381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instrText>Sb-O- + H3O+ provides the mechanism for intracavity chemical exchange and proton conduction.","author":[{"dropping-particle":"","family":"Slade","given":"Robert C.T.","non-dropping-particle":"","parse-names":false,"suffix":""},{"dropping-particle":"","family":"Hall","given":"Gillian P.","non-dropping-particle":"","parse-names":false,"suffix":""},{"dropping-particle":"","family":"Ramanan","given":"A.","non-dropping-particle":"","parse-names":false,"suffix":""},{"dropping-particle":"","family":"Prince","given":"Edward","non-dropping-particle":"","parse-names":false,"suffix":""}],"container-title":"Solid State Ionics","id":"ITEM-1","issue":"3-4","issued":{"date-parts":[["1996"]]},"page":"171-181","title":"Structure and proton conduction in pyrochlore-type antimonic acid: A neutron diffraction study","type":"article-journal","volume":"92"},"uris":["http://www.mendeley.com/documents/?uuid=8015fd1a-791d-4547-b2d1-e61eb8427f26"]}],"mendeley":{"formattedCitation":"&lt;sup&gt;5&lt;/sup&gt;","plainTextFormattedCitation":"5","previouslyFormattedCitation":"(Slade et al. 1996)"},"properties":{"noteIndex":0},"schema":"https://github.com/citation-style-language/schema/raw/master/csl-citation.json"}</w:instrText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fldChar w:fldCharType="separate"/>
      </w:r>
      <w:r w:rsidR="00D66381" w:rsidRPr="00D66381">
        <w:rPr>
          <w:rFonts w:ascii="Times New Roman" w:eastAsia="Times New Roman" w:hAnsi="Times New Roman" w:cs="Times New Roman"/>
          <w:bCs/>
          <w:noProof/>
          <w:sz w:val="20"/>
          <w:szCs w:val="20"/>
          <w:vertAlign w:val="superscript"/>
          <w:lang w:val="en-GB" w:eastAsia="es-ES_tradnl"/>
        </w:rPr>
        <w:t>5</w:t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fldChar w:fldCharType="end"/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proposed in 1996 for the antimonic acid phase from</w:t>
      </w:r>
      <w:r w:rsidR="008B6E0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the </w:t>
      </w:r>
      <w:r w:rsidR="003321E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structure </w:t>
      </w:r>
      <w:r w:rsidR="008B6E0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Rietveld refinement from NPD data collected at RT.</w:t>
      </w:r>
      <w:r w:rsidR="003321E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The NPD diffractogram </w:t>
      </w:r>
      <w:r w:rsidR="00FF7B0D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used had</w:t>
      </w:r>
      <w:r w:rsidR="003321E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a rather low peak signal-to-noise ratio.</w:t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63073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Although </w:t>
      </w:r>
      <w:proofErr w:type="gramStart"/>
      <w:r w:rsidR="0063073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similar to</w:t>
      </w:r>
      <w:proofErr w:type="gramEnd"/>
      <w:r w:rsidR="0063073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</w:t>
      </w:r>
      <w:r w:rsidR="003321E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the </w:t>
      </w:r>
      <w:r w:rsidR="0063073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model</w:t>
      </w:r>
      <w:r w:rsidR="003321E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we </w:t>
      </w:r>
      <w:r w:rsidR="00FF7B0D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chose in Case C</w:t>
      </w:r>
      <w:r w:rsidR="0063073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, the authors </w:t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included </w:t>
      </w:r>
      <w:r w:rsidR="0063073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an </w:t>
      </w:r>
      <w:r w:rsidR="002169A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additional </w:t>
      </w:r>
      <w:r w:rsidR="00630736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H−O atomic pair that </w:t>
      </w:r>
      <w:r w:rsidR="009B3655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we conclude</w:t>
      </w:r>
      <w:r w:rsidR="008D4954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are not present in this</w:t>
      </w:r>
      <w:r w:rsidR="00652880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 xml:space="preserve"> material</w:t>
      </w:r>
      <w:r w:rsidR="00257EDF" w:rsidRPr="00B942C0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, or their abundance is negligible.</w:t>
      </w:r>
    </w:p>
    <w:p w14:paraId="5C62958F" w14:textId="77777777" w:rsidR="00B926D4" w:rsidRDefault="00B926D4">
      <w:pP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br w:type="page"/>
      </w:r>
    </w:p>
    <w:p w14:paraId="08B7A591" w14:textId="419BE1D5" w:rsidR="00767F44" w:rsidRPr="00C761EA" w:rsidRDefault="00B926D4" w:rsidP="00767F44">
      <w:pPr>
        <w:spacing w:line="280" w:lineRule="exact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Caption for the A</w:t>
      </w:r>
      <w:r w:rsidR="00767F44">
        <w:rPr>
          <w:rFonts w:ascii="Times New Roman" w:hAnsi="Times New Roman" w:cs="Times New Roman"/>
          <w:b/>
          <w:sz w:val="20"/>
          <w:szCs w:val="20"/>
          <w:lang w:val="en-GB"/>
        </w:rPr>
        <w:t>nimated</w:t>
      </w:r>
      <w:r w:rsidR="00767F44" w:rsidRPr="00C761EA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(</w:t>
      </w:r>
      <w:r w:rsidR="002925A7" w:rsidRPr="002925A7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Supplementary </w:t>
      </w:r>
      <w:r w:rsidR="002925A7">
        <w:rPr>
          <w:rFonts w:ascii="Times New Roman" w:hAnsi="Times New Roman" w:cs="Times New Roman"/>
          <w:b/>
          <w:sz w:val="20"/>
          <w:szCs w:val="20"/>
          <w:lang w:val="en-GB"/>
        </w:rPr>
        <w:t>F</w:t>
      </w:r>
      <w:r w:rsidR="002925A7" w:rsidRPr="002925A7">
        <w:rPr>
          <w:rFonts w:ascii="Times New Roman" w:hAnsi="Times New Roman" w:cs="Times New Roman"/>
          <w:b/>
          <w:sz w:val="20"/>
          <w:szCs w:val="20"/>
          <w:lang w:val="en-GB"/>
        </w:rPr>
        <w:t>ile 2</w:t>
      </w:r>
      <w:r w:rsidR="002925A7">
        <w:rPr>
          <w:rFonts w:ascii="Times New Roman" w:hAnsi="Times New Roman" w:cs="Times New Roman"/>
          <w:b/>
          <w:sz w:val="20"/>
          <w:szCs w:val="20"/>
          <w:lang w:val="en-GB"/>
        </w:rPr>
        <w:t>)</w:t>
      </w:r>
      <w:r w:rsidR="00767F44" w:rsidRPr="00C761EA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Animation of 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>H</w:t>
      </w:r>
      <w:r w:rsidR="00767F44" w:rsidRPr="00C761EA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3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>O</w:t>
      </w:r>
      <w:r w:rsidR="00767F44" w:rsidRPr="00C761EA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+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units and H2 species within the cavity created by the framework constituted by SbO</w:t>
      </w:r>
      <w:r w:rsidR="00767F44" w:rsidRPr="00C761EA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6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corner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noBreakHyphen/>
        <w:t xml:space="preserve">sharing octahedra. Here, a clearer sight of the structure is displayed. Sb and O atoms of the covalent framework shape the pink octahedra, while the acid groups fit within its cavities with high atomic mobility. Statistically, 1.20(7) hydronium units and 0.77(9) H2 atoms are </w:t>
      </w:r>
      <w:proofErr w:type="gramStart"/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>actually present</w:t>
      </w:r>
      <w:proofErr w:type="gramEnd"/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 each cage. O2 atoms (green) are displaced off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noBreakHyphen/>
        <w:t>center trough the main diagonal (</w:t>
      </w:r>
      <w:proofErr w:type="spellStart"/>
      <w:proofErr w:type="gramStart"/>
      <w:r w:rsidR="00767F44" w:rsidRPr="00C761EA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x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="00767F44" w:rsidRPr="00C761EA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x</w:t>
      </w:r>
      <w:proofErr w:type="gramEnd"/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="00767F44" w:rsidRPr="00C761EA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x</w:t>
      </w:r>
      <w:proofErr w:type="spellEnd"/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>), bonded to three H1 atoms at 96</w:t>
      </w:r>
      <w:r w:rsidR="00767F44" w:rsidRPr="00C761EA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g 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Wyckoff sites with a mean distance of 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1.323(11) Å and in an almost tetrahedral arrangement, with 104.0(16)° angles. 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H2 atoms (golden) are bonded to the O1 species (red) at </w:t>
      </w:r>
      <w:proofErr w:type="gramStart"/>
      <w:r w:rsidR="00767F44" w:rsidRPr="00C761E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 distance of 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>1.12(4)</w:t>
      </w:r>
      <w:proofErr w:type="gramEnd"/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> Å, 1.400(10) Å away (on average) from the oxygen of the H</w:t>
      </w:r>
      <w:r w:rsidR="00767F44" w:rsidRPr="00C761EA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3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>O</w:t>
      </w:r>
      <w:r w:rsidR="00767F44" w:rsidRPr="00C761EA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+</w:t>
      </w:r>
      <w:r w:rsidR="00767F44" w:rsidRPr="00C761E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subunit.</w:t>
      </w:r>
    </w:p>
    <w:p w14:paraId="616343C7" w14:textId="7C5F17AB" w:rsidR="00B942C0" w:rsidRDefault="00B942C0">
      <w:pP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br w:type="page"/>
      </w:r>
    </w:p>
    <w:p w14:paraId="3EDAC450" w14:textId="77777777" w:rsidR="00B942C0" w:rsidRPr="004C0437" w:rsidRDefault="00B942C0" w:rsidP="00B942C0">
      <w:pPr>
        <w:pStyle w:val="NormalWeb"/>
        <w:spacing w:before="240" w:beforeAutospacing="0" w:after="240" w:afterAutospacing="0" w:line="480" w:lineRule="auto"/>
        <w:rPr>
          <w:b/>
        </w:rPr>
      </w:pPr>
      <w:r w:rsidRPr="004C0437">
        <w:rPr>
          <w:b/>
        </w:rPr>
        <w:lastRenderedPageBreak/>
        <w:t>REFERENCES</w:t>
      </w:r>
    </w:p>
    <w:p w14:paraId="672AE341" w14:textId="37EBD6E7" w:rsidR="00D66381" w:rsidRPr="00D37A5C" w:rsidRDefault="00B942C0" w:rsidP="00D66381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fldChar w:fldCharType="begin" w:fldLock="1"/>
      </w:r>
      <w: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instrText xml:space="preserve">ADDIN Mendeley Bibliography CSL_BIBLIOGRAPHY </w:instrText>
      </w:r>
      <w: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fldChar w:fldCharType="separate"/>
      </w:r>
      <w:r w:rsidR="00D66381"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1.</w:t>
      </w:r>
      <w:r w:rsidR="00D66381"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ab/>
        <w:t xml:space="preserve">Mayer, S., Falcón, H., Fernandez-Diaz, M. T., Campos-Martin, J. &amp; Alonso, J. A. Structure-properties relationship in the hydronium-containing pyrochlores (H3O)1+pSb1+pTe1-pO6 with catalytic activity in the fructose dehydration reaction. </w:t>
      </w:r>
      <w:r w:rsidR="00D66381" w:rsidRPr="00D37A5C">
        <w:rPr>
          <w:rFonts w:ascii="Times New Roman" w:hAnsi="Times New Roman" w:cs="Times New Roman"/>
          <w:i/>
          <w:iCs/>
          <w:noProof/>
          <w:sz w:val="20"/>
          <w:szCs w:val="24"/>
          <w:lang w:val="en-GB"/>
        </w:rPr>
        <w:t>Dalt. Trans.</w:t>
      </w:r>
      <w:r w:rsidR="00D66381"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 </w:t>
      </w:r>
      <w:r w:rsidR="00D66381" w:rsidRPr="00D37A5C">
        <w:rPr>
          <w:rFonts w:ascii="Times New Roman" w:hAnsi="Times New Roman" w:cs="Times New Roman"/>
          <w:b/>
          <w:bCs/>
          <w:noProof/>
          <w:sz w:val="20"/>
          <w:szCs w:val="24"/>
          <w:lang w:val="en-GB"/>
        </w:rPr>
        <w:t>49</w:t>
      </w:r>
      <w:r w:rsidR="00D66381"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, 11657–11667 (2020).</w:t>
      </w:r>
    </w:p>
    <w:p w14:paraId="735D230E" w14:textId="77777777" w:rsidR="00D66381" w:rsidRPr="00D37A5C" w:rsidRDefault="00D66381" w:rsidP="00D66381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2.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ab/>
        <w:t xml:space="preserve">Souhassou, M., Espinosa, E., Lecomte, C. &amp; Blessing, R. H. Experimental electron density in crystalline H3PO4. </w:t>
      </w:r>
      <w:r w:rsidRPr="00D37A5C">
        <w:rPr>
          <w:rFonts w:ascii="Times New Roman" w:hAnsi="Times New Roman" w:cs="Times New Roman"/>
          <w:i/>
          <w:iCs/>
          <w:noProof/>
          <w:sz w:val="20"/>
          <w:szCs w:val="24"/>
          <w:lang w:val="en-GB"/>
        </w:rPr>
        <w:t>Acta Crystallogr. Sect. B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 </w:t>
      </w:r>
      <w:r w:rsidRPr="00D37A5C">
        <w:rPr>
          <w:rFonts w:ascii="Times New Roman" w:hAnsi="Times New Roman" w:cs="Times New Roman"/>
          <w:b/>
          <w:bCs/>
          <w:noProof/>
          <w:sz w:val="20"/>
          <w:szCs w:val="24"/>
          <w:lang w:val="en-GB"/>
        </w:rPr>
        <w:t>51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, 661–668 (1995).</w:t>
      </w:r>
    </w:p>
    <w:p w14:paraId="5716C63F" w14:textId="77777777" w:rsidR="00D66381" w:rsidRPr="00D37A5C" w:rsidRDefault="00D66381" w:rsidP="00D66381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3.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ab/>
        <w:t xml:space="preserve">Orosel, D., Dinnebier, R. E., Balog, P. &amp; Jansen, M. The crystal structure of a new mixed valence arsenic(III,V)oxoacid H 6As3+7As5+7O31. </w:t>
      </w:r>
      <w:r w:rsidRPr="00D37A5C">
        <w:rPr>
          <w:rFonts w:ascii="Times New Roman" w:hAnsi="Times New Roman" w:cs="Times New Roman"/>
          <w:i/>
          <w:iCs/>
          <w:noProof/>
          <w:sz w:val="20"/>
          <w:szCs w:val="24"/>
          <w:lang w:val="en-GB"/>
        </w:rPr>
        <w:t>Zeitschrift fur Krist.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 </w:t>
      </w:r>
      <w:r w:rsidRPr="00D37A5C">
        <w:rPr>
          <w:rFonts w:ascii="Times New Roman" w:hAnsi="Times New Roman" w:cs="Times New Roman"/>
          <w:b/>
          <w:bCs/>
          <w:noProof/>
          <w:sz w:val="20"/>
          <w:szCs w:val="24"/>
          <w:lang w:val="en-GB"/>
        </w:rPr>
        <w:t>222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, 321–325 (2007).</w:t>
      </w:r>
    </w:p>
    <w:p w14:paraId="1FC049F6" w14:textId="77777777" w:rsidR="00D66381" w:rsidRPr="00D37A5C" w:rsidRDefault="00D66381" w:rsidP="00D66381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4.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ab/>
        <w:t xml:space="preserve">Graner, G. </w:t>
      </w:r>
      <w:r w:rsidRPr="00D37A5C">
        <w:rPr>
          <w:rFonts w:ascii="Times New Roman" w:hAnsi="Times New Roman" w:cs="Times New Roman"/>
          <w:i/>
          <w:iCs/>
          <w:noProof/>
          <w:sz w:val="20"/>
          <w:szCs w:val="24"/>
          <w:lang w:val="en-GB"/>
        </w:rPr>
        <w:t>et al.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 2 Inorganic Molecules. Part 4. in </w:t>
      </w:r>
      <w:r w:rsidRPr="00D37A5C">
        <w:rPr>
          <w:rFonts w:ascii="Times New Roman" w:hAnsi="Times New Roman" w:cs="Times New Roman"/>
          <w:i/>
          <w:iCs/>
          <w:noProof/>
          <w:sz w:val="20"/>
          <w:szCs w:val="24"/>
          <w:lang w:val="en-GB"/>
        </w:rPr>
        <w:t>Inorganic Molecules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 283–359 (Springer-Verlag, 2005). doi:10.1007/10529543_6.</w:t>
      </w:r>
    </w:p>
    <w:p w14:paraId="2EE22B80" w14:textId="77777777" w:rsidR="00D66381" w:rsidRPr="00D37A5C" w:rsidRDefault="00D66381" w:rsidP="00D66381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5.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ab/>
        <w:t xml:space="preserve">Slade, R. C. T., Hall, G. P., Ramanan, A. &amp; Prince, E. Structure and proton conduction in pyrochlore-type antimonic acid: A neutron diffraction study. </w:t>
      </w:r>
      <w:r w:rsidRPr="00D37A5C">
        <w:rPr>
          <w:rFonts w:ascii="Times New Roman" w:hAnsi="Times New Roman" w:cs="Times New Roman"/>
          <w:i/>
          <w:iCs/>
          <w:noProof/>
          <w:sz w:val="20"/>
          <w:szCs w:val="24"/>
          <w:lang w:val="en-GB"/>
        </w:rPr>
        <w:t>Solid State Ionics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 </w:t>
      </w:r>
      <w:r w:rsidRPr="00D37A5C">
        <w:rPr>
          <w:rFonts w:ascii="Times New Roman" w:hAnsi="Times New Roman" w:cs="Times New Roman"/>
          <w:b/>
          <w:bCs/>
          <w:noProof/>
          <w:sz w:val="20"/>
          <w:szCs w:val="24"/>
          <w:lang w:val="en-GB"/>
        </w:rPr>
        <w:t>92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, 171–181 (1996).</w:t>
      </w:r>
    </w:p>
    <w:p w14:paraId="35AB8BC4" w14:textId="77777777" w:rsidR="00D66381" w:rsidRPr="00D66381" w:rsidRDefault="00D66381" w:rsidP="00D66381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0"/>
        </w:rPr>
      </w:pP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>6.</w:t>
      </w:r>
      <w:r w:rsidRPr="00D37A5C">
        <w:rPr>
          <w:rFonts w:ascii="Times New Roman" w:hAnsi="Times New Roman" w:cs="Times New Roman"/>
          <w:noProof/>
          <w:sz w:val="20"/>
          <w:szCs w:val="24"/>
          <w:lang w:val="en-GB"/>
        </w:rPr>
        <w:tab/>
        <w:t xml:space="preserve">Ozawa, Y., Miura, N., Yamazoe, N. &amp; Seiyama, T. Proton Conduction in Thermally Treated Antimonic Acid Samples. </w:t>
      </w:r>
      <w:r w:rsidRPr="00D66381">
        <w:rPr>
          <w:rFonts w:ascii="Times New Roman" w:hAnsi="Times New Roman" w:cs="Times New Roman"/>
          <w:i/>
          <w:iCs/>
          <w:noProof/>
          <w:sz w:val="20"/>
          <w:szCs w:val="24"/>
        </w:rPr>
        <w:t>Chem. Lett.</w:t>
      </w:r>
      <w:r w:rsidRPr="00D66381">
        <w:rPr>
          <w:rFonts w:ascii="Times New Roman" w:hAnsi="Times New Roman" w:cs="Times New Roman"/>
          <w:noProof/>
          <w:sz w:val="20"/>
          <w:szCs w:val="24"/>
        </w:rPr>
        <w:t xml:space="preserve"> 1741–1742 (1982) doi:10.1246/cl.1982.1741.</w:t>
      </w:r>
    </w:p>
    <w:p w14:paraId="671BF866" w14:textId="69E50614" w:rsidR="002D2F9F" w:rsidRPr="00B942C0" w:rsidRDefault="00B942C0" w:rsidP="00B942C0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fldChar w:fldCharType="end"/>
      </w:r>
    </w:p>
    <w:sectPr w:rsidR="002D2F9F" w:rsidRPr="00B942C0" w:rsidSect="005778C7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4D"/>
    <w:rsid w:val="00006274"/>
    <w:rsid w:val="000145DE"/>
    <w:rsid w:val="000277DE"/>
    <w:rsid w:val="00030156"/>
    <w:rsid w:val="000307BD"/>
    <w:rsid w:val="0005266B"/>
    <w:rsid w:val="00055E32"/>
    <w:rsid w:val="00063E22"/>
    <w:rsid w:val="000C51DC"/>
    <w:rsid w:val="000D5FEB"/>
    <w:rsid w:val="000E1D9E"/>
    <w:rsid w:val="001058D2"/>
    <w:rsid w:val="0011394A"/>
    <w:rsid w:val="001146C3"/>
    <w:rsid w:val="00130368"/>
    <w:rsid w:val="00132DDE"/>
    <w:rsid w:val="001C7DDC"/>
    <w:rsid w:val="001D0EE5"/>
    <w:rsid w:val="001D2254"/>
    <w:rsid w:val="001E71CF"/>
    <w:rsid w:val="0021458E"/>
    <w:rsid w:val="002169A5"/>
    <w:rsid w:val="00251D12"/>
    <w:rsid w:val="002531A6"/>
    <w:rsid w:val="00257EDF"/>
    <w:rsid w:val="00274420"/>
    <w:rsid w:val="0027578A"/>
    <w:rsid w:val="00284982"/>
    <w:rsid w:val="002925A7"/>
    <w:rsid w:val="002B117C"/>
    <w:rsid w:val="002D2F9F"/>
    <w:rsid w:val="003133EA"/>
    <w:rsid w:val="003321E4"/>
    <w:rsid w:val="0034148A"/>
    <w:rsid w:val="00355018"/>
    <w:rsid w:val="00363EAC"/>
    <w:rsid w:val="00370992"/>
    <w:rsid w:val="003850B1"/>
    <w:rsid w:val="003A46DF"/>
    <w:rsid w:val="003E51C8"/>
    <w:rsid w:val="003E6889"/>
    <w:rsid w:val="003E7D4D"/>
    <w:rsid w:val="003F38DA"/>
    <w:rsid w:val="004066A4"/>
    <w:rsid w:val="00406AE7"/>
    <w:rsid w:val="00407AFF"/>
    <w:rsid w:val="00413E23"/>
    <w:rsid w:val="004249C5"/>
    <w:rsid w:val="00466C12"/>
    <w:rsid w:val="004752A1"/>
    <w:rsid w:val="00485C74"/>
    <w:rsid w:val="0049727E"/>
    <w:rsid w:val="004A4A20"/>
    <w:rsid w:val="004A7D79"/>
    <w:rsid w:val="004C39B9"/>
    <w:rsid w:val="004C5BBC"/>
    <w:rsid w:val="00500EA6"/>
    <w:rsid w:val="00505B46"/>
    <w:rsid w:val="00530521"/>
    <w:rsid w:val="00541725"/>
    <w:rsid w:val="00555F92"/>
    <w:rsid w:val="0056203A"/>
    <w:rsid w:val="005778C7"/>
    <w:rsid w:val="00582E03"/>
    <w:rsid w:val="00590388"/>
    <w:rsid w:val="005A1DF9"/>
    <w:rsid w:val="005A5C1B"/>
    <w:rsid w:val="005C2D41"/>
    <w:rsid w:val="005D513B"/>
    <w:rsid w:val="00626E28"/>
    <w:rsid w:val="00630736"/>
    <w:rsid w:val="006466F1"/>
    <w:rsid w:val="006474F8"/>
    <w:rsid w:val="0065195A"/>
    <w:rsid w:val="00652880"/>
    <w:rsid w:val="00655AE1"/>
    <w:rsid w:val="006E762E"/>
    <w:rsid w:val="00702EFC"/>
    <w:rsid w:val="00717FCB"/>
    <w:rsid w:val="00724222"/>
    <w:rsid w:val="00732CAE"/>
    <w:rsid w:val="00733220"/>
    <w:rsid w:val="00742640"/>
    <w:rsid w:val="00767F44"/>
    <w:rsid w:val="00775AA2"/>
    <w:rsid w:val="00790E0E"/>
    <w:rsid w:val="007B0278"/>
    <w:rsid w:val="007D121A"/>
    <w:rsid w:val="007D2CDC"/>
    <w:rsid w:val="007E3C2F"/>
    <w:rsid w:val="007F6953"/>
    <w:rsid w:val="0080223C"/>
    <w:rsid w:val="00807351"/>
    <w:rsid w:val="008132E3"/>
    <w:rsid w:val="008306C0"/>
    <w:rsid w:val="00831DFF"/>
    <w:rsid w:val="0089075E"/>
    <w:rsid w:val="008A7763"/>
    <w:rsid w:val="008B5456"/>
    <w:rsid w:val="008B6E00"/>
    <w:rsid w:val="008C1A55"/>
    <w:rsid w:val="008D4954"/>
    <w:rsid w:val="008F17DA"/>
    <w:rsid w:val="00935C49"/>
    <w:rsid w:val="00946A1A"/>
    <w:rsid w:val="00947169"/>
    <w:rsid w:val="009651E2"/>
    <w:rsid w:val="00971E25"/>
    <w:rsid w:val="00981919"/>
    <w:rsid w:val="00997BD4"/>
    <w:rsid w:val="009B3655"/>
    <w:rsid w:val="009C4B5B"/>
    <w:rsid w:val="00A10DB4"/>
    <w:rsid w:val="00A60B37"/>
    <w:rsid w:val="00A6704A"/>
    <w:rsid w:val="00B24B83"/>
    <w:rsid w:val="00B27857"/>
    <w:rsid w:val="00B322D9"/>
    <w:rsid w:val="00B35B52"/>
    <w:rsid w:val="00B373C4"/>
    <w:rsid w:val="00B41575"/>
    <w:rsid w:val="00B52A62"/>
    <w:rsid w:val="00B63F7D"/>
    <w:rsid w:val="00B71CE2"/>
    <w:rsid w:val="00B73D2E"/>
    <w:rsid w:val="00B7465A"/>
    <w:rsid w:val="00B7672A"/>
    <w:rsid w:val="00B926D4"/>
    <w:rsid w:val="00B942C0"/>
    <w:rsid w:val="00BC6F2C"/>
    <w:rsid w:val="00BC7295"/>
    <w:rsid w:val="00BD222B"/>
    <w:rsid w:val="00BD301F"/>
    <w:rsid w:val="00C14E8D"/>
    <w:rsid w:val="00C235D1"/>
    <w:rsid w:val="00C26D56"/>
    <w:rsid w:val="00C33592"/>
    <w:rsid w:val="00C613BF"/>
    <w:rsid w:val="00C936BB"/>
    <w:rsid w:val="00CF21AC"/>
    <w:rsid w:val="00D0756A"/>
    <w:rsid w:val="00D07679"/>
    <w:rsid w:val="00D272E7"/>
    <w:rsid w:val="00D325D0"/>
    <w:rsid w:val="00D3430C"/>
    <w:rsid w:val="00D37A5C"/>
    <w:rsid w:val="00D61DD5"/>
    <w:rsid w:val="00D66381"/>
    <w:rsid w:val="00D678A2"/>
    <w:rsid w:val="00D67D2A"/>
    <w:rsid w:val="00D8618C"/>
    <w:rsid w:val="00D87117"/>
    <w:rsid w:val="00DC0289"/>
    <w:rsid w:val="00DD1F28"/>
    <w:rsid w:val="00E05C93"/>
    <w:rsid w:val="00E06405"/>
    <w:rsid w:val="00E12C09"/>
    <w:rsid w:val="00E158CB"/>
    <w:rsid w:val="00E21350"/>
    <w:rsid w:val="00E40FC5"/>
    <w:rsid w:val="00E46474"/>
    <w:rsid w:val="00E57090"/>
    <w:rsid w:val="00E751F9"/>
    <w:rsid w:val="00E835A5"/>
    <w:rsid w:val="00EB30DA"/>
    <w:rsid w:val="00EB3BE8"/>
    <w:rsid w:val="00ED22AE"/>
    <w:rsid w:val="00F13ABE"/>
    <w:rsid w:val="00F14520"/>
    <w:rsid w:val="00F21940"/>
    <w:rsid w:val="00F26342"/>
    <w:rsid w:val="00F3724D"/>
    <w:rsid w:val="00F42B7C"/>
    <w:rsid w:val="00F44127"/>
    <w:rsid w:val="00F62FFF"/>
    <w:rsid w:val="00F63649"/>
    <w:rsid w:val="00F74AF0"/>
    <w:rsid w:val="00F774F7"/>
    <w:rsid w:val="00F86DC7"/>
    <w:rsid w:val="00F8794F"/>
    <w:rsid w:val="00FA7F1A"/>
    <w:rsid w:val="00FB48CD"/>
    <w:rsid w:val="00FC1B2A"/>
    <w:rsid w:val="00FD3B0C"/>
    <w:rsid w:val="00FD3FF5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96015"/>
  <w15:chartTrackingRefBased/>
  <w15:docId w15:val="{45A65F41-3418-406A-A1EB-4EE02975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3724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3724D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ar"/>
    <w:uiPriority w:val="99"/>
    <w:unhideWhenUsed/>
    <w:rsid w:val="00F3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customStyle="1" w:styleId="NormalWebCar">
    <w:name w:val="Normal (Web) Car"/>
    <w:basedOn w:val="Fuentedeprrafopredeter"/>
    <w:link w:val="NormalWeb"/>
    <w:uiPriority w:val="99"/>
    <w:rsid w:val="00F3724D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4752A1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57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mailto:s.mayer@csic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E47CF-88F7-4509-94F9-855F1ED9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8</Pages>
  <Words>3412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Federico Mayer</dc:creator>
  <cp:keywords/>
  <dc:description/>
  <cp:lastModifiedBy>Sergio Federico Mayer</cp:lastModifiedBy>
  <cp:revision>52</cp:revision>
  <dcterms:created xsi:type="dcterms:W3CDTF">2021-05-26T16:06:00Z</dcterms:created>
  <dcterms:modified xsi:type="dcterms:W3CDTF">2021-08-10T09:38:00Z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00d38dd3-c9e7-3549-902a-ac43422f33a9</vt:lpwstr>
  </property>
  <property fmtid="{D5CDD505-2E9C-101B-9397-08002B2CF9AE}" pid="4" name="Mendeley Citation Style_1">
    <vt:lpwstr>http://www.zotero.org/styles/scientific-reports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http://www.zotero.org/styles/scientific-reports</vt:lpwstr>
  </property>
  <property fmtid="{D5CDD505-2E9C-101B-9397-08002B2CF9AE}" pid="22" name="Mendeley Recent Style Name 8_1">
    <vt:lpwstr>Scientific Reports</vt:lpwstr>
  </property>
  <property fmtid="{D5CDD505-2E9C-101B-9397-08002B2CF9AE}" pid="23" name="Mendeley Recent Style Id 9_1">
    <vt:lpwstr>http://www.zotero.org/styles/sustainable-energy-and-fuels</vt:lpwstr>
  </property>
  <property fmtid="{D5CDD505-2E9C-101B-9397-08002B2CF9AE}" pid="24" name="Mendeley Recent Style Name 9_1">
    <vt:lpwstr>Sustainable Energy &amp; Fuels</vt:lpwstr>
  </property>
</Properties>
</file>