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05453" w14:textId="364C16F1" w:rsidR="00460651" w:rsidRDefault="00E95FF4">
      <w:pPr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Supplementary Material </w:t>
      </w:r>
      <w:r w:rsidR="006D5DB7">
        <w:rPr>
          <w:lang w:val="en-US"/>
        </w:rPr>
        <w:t>2</w:t>
      </w:r>
    </w:p>
    <w:p w14:paraId="63E089E8" w14:textId="77777777" w:rsidR="00E95FF4" w:rsidRDefault="00E95FF4" w:rsidP="00E95FF4">
      <w:pPr>
        <w:rPr>
          <w:lang w:val="en-US"/>
        </w:rPr>
      </w:pPr>
    </w:p>
    <w:p w14:paraId="57BC0C11" w14:textId="05A1BDBE" w:rsidR="00E95FF4" w:rsidRDefault="001C11D2">
      <w:pPr>
        <w:rPr>
          <w:lang w:val="en-US"/>
        </w:rPr>
      </w:pPr>
      <w:r>
        <w:rPr>
          <w:lang w:val="en-US"/>
        </w:rPr>
        <w:t>To verify how our model worked with differing numbers of electrodes, we down sampled the 92 electrodes to a smaller subset of 20.</w:t>
      </w:r>
      <w:r w:rsidR="006D5DB7">
        <w:rPr>
          <w:lang w:val="en-US"/>
        </w:rPr>
        <w:t xml:space="preserve"> Herein all of the same figures as the main text are presented for this smaller montage.</w:t>
      </w:r>
    </w:p>
    <w:p w14:paraId="31F7025D" w14:textId="6C226C52" w:rsidR="001C11D2" w:rsidRDefault="001C11D2">
      <w:pPr>
        <w:rPr>
          <w:lang w:val="en-US"/>
        </w:rPr>
      </w:pPr>
    </w:p>
    <w:p w14:paraId="108DA0D1" w14:textId="23E59062" w:rsidR="006D5DB7" w:rsidRDefault="001C11D2" w:rsidP="006D5DB7">
      <w:pPr>
        <w:keepNext/>
      </w:pPr>
      <w:r w:rsidRPr="007D4DEA">
        <w:rPr>
          <w:color w:val="000000" w:themeColor="text1"/>
          <w:lang w:val="en-US"/>
        </w:rPr>
        <w:t xml:space="preserve">We were able to confirm the result of the anterior tendency in rest when compared to task. This is clear from Figure </w:t>
      </w:r>
      <w:r w:rsidR="00CF281D" w:rsidRPr="007D4DEA">
        <w:rPr>
          <w:color w:val="000000" w:themeColor="text1"/>
          <w:lang w:val="en-US"/>
        </w:rPr>
        <w:t>S7</w:t>
      </w:r>
      <w:r w:rsidRPr="007D4DEA">
        <w:rPr>
          <w:color w:val="000000" w:themeColor="text1"/>
          <w:lang w:val="en-US"/>
        </w:rPr>
        <w:t>.</w:t>
      </w:r>
      <w:r>
        <w:rPr>
          <w:noProof/>
          <w:lang w:val="en-IN" w:eastAsia="en-IN"/>
        </w:rPr>
        <w:drawing>
          <wp:inline distT="0" distB="0" distL="0" distR="0" wp14:anchorId="0164FF0C" wp14:editId="15FCE79A">
            <wp:extent cx="5943600" cy="3158929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8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F2F98" w14:textId="468B4F9D" w:rsidR="006D5DB7" w:rsidRDefault="006D5DB7" w:rsidP="006D5DB7">
      <w:pPr>
        <w:pStyle w:val="Caption"/>
      </w:pPr>
      <w:r w:rsidRPr="007D4DEA">
        <w:rPr>
          <w:color w:val="000000" w:themeColor="text1"/>
        </w:rPr>
        <w:t xml:space="preserve">Figure </w:t>
      </w:r>
      <w:r w:rsidR="00CF281D" w:rsidRPr="007D4DEA">
        <w:rPr>
          <w:color w:val="000000" w:themeColor="text1"/>
        </w:rPr>
        <w:t>S7</w:t>
      </w:r>
      <w:r w:rsidRPr="007D4DEA">
        <w:rPr>
          <w:color w:val="000000" w:themeColor="text1"/>
        </w:rPr>
        <w:t xml:space="preserve"> </w:t>
      </w:r>
      <w:r w:rsidR="00CB6857">
        <w:rPr>
          <w:b/>
          <w:bCs/>
        </w:rPr>
        <w:t>A.</w:t>
      </w:r>
      <w:r w:rsidR="00CB6857">
        <w:t xml:space="preserve"> Electrode locations and their respective groups for the 20-electrode montage. </w:t>
      </w:r>
      <w:r w:rsidR="00CB6857">
        <w:rPr>
          <w:b/>
          <w:bCs/>
        </w:rPr>
        <w:t>B.</w:t>
      </w:r>
      <w:r w:rsidR="00CB6857">
        <w:t xml:space="preserve"> </w:t>
      </w:r>
      <w:r>
        <w:t>Integrated probability distribution in time for the down-sampled 20 electrode montage. The anterior tendency of rest is noted again in this smaller montage.</w:t>
      </w:r>
    </w:p>
    <w:p w14:paraId="7FA26B03" w14:textId="1ECE96DD" w:rsidR="001C11D2" w:rsidRPr="007D4DEA" w:rsidRDefault="004C6E6A">
      <w:pPr>
        <w:rPr>
          <w:color w:val="000000" w:themeColor="text1"/>
          <w:lang w:val="en-US"/>
        </w:rPr>
      </w:pPr>
      <w:r w:rsidRPr="007D4DEA">
        <w:rPr>
          <w:color w:val="000000" w:themeColor="text1"/>
          <w:lang w:val="en-US"/>
        </w:rPr>
        <w:t>Next</w:t>
      </w:r>
      <w:r w:rsidR="001C11D2" w:rsidRPr="007D4DEA">
        <w:rPr>
          <w:color w:val="000000" w:themeColor="text1"/>
          <w:lang w:val="en-US"/>
        </w:rPr>
        <w:t>, we turn</w:t>
      </w:r>
      <w:r w:rsidRPr="007D4DEA">
        <w:rPr>
          <w:color w:val="000000" w:themeColor="text1"/>
          <w:lang w:val="en-US"/>
        </w:rPr>
        <w:t>ed our attention back to the average-valued phase space of this system. Again, the same tendency for an anterior increase in rest, and momenta averaging to 0 was observed</w:t>
      </w:r>
      <w:r w:rsidR="006D5DB7" w:rsidRPr="007D4DEA">
        <w:rPr>
          <w:color w:val="000000" w:themeColor="text1"/>
          <w:lang w:val="en-US"/>
        </w:rPr>
        <w:t xml:space="preserve"> as demonstrated in Figure </w:t>
      </w:r>
      <w:r w:rsidR="00CF281D" w:rsidRPr="007D4DEA">
        <w:rPr>
          <w:color w:val="000000" w:themeColor="text1"/>
          <w:lang w:val="en-US"/>
        </w:rPr>
        <w:t>S8</w:t>
      </w:r>
      <w:r w:rsidR="006D5DB7" w:rsidRPr="007D4DEA">
        <w:rPr>
          <w:color w:val="000000" w:themeColor="text1"/>
          <w:lang w:val="en-US"/>
        </w:rPr>
        <w:t>.</w:t>
      </w:r>
    </w:p>
    <w:p w14:paraId="3724F2DE" w14:textId="63570F43" w:rsidR="004C6E6A" w:rsidRDefault="004C6E6A">
      <w:pPr>
        <w:rPr>
          <w:lang w:val="en-US"/>
        </w:rPr>
      </w:pPr>
    </w:p>
    <w:p w14:paraId="5E38460E" w14:textId="77777777" w:rsidR="006D5DB7" w:rsidRDefault="004C6E6A" w:rsidP="006D5DB7">
      <w:pPr>
        <w:keepNext/>
      </w:pPr>
      <w:r>
        <w:rPr>
          <w:noProof/>
          <w:lang w:val="en-IN" w:eastAsia="en-IN"/>
        </w:rPr>
        <w:lastRenderedPageBreak/>
        <w:drawing>
          <wp:inline distT="0" distB="0" distL="0" distR="0" wp14:anchorId="07C3777F" wp14:editId="24A25A9E">
            <wp:extent cx="5943600" cy="33432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16D5C" w14:textId="527E50B8" w:rsidR="004C6E6A" w:rsidRPr="00AC7EB8" w:rsidRDefault="006D5DB7" w:rsidP="00AC7EB8">
      <w:pPr>
        <w:pStyle w:val="Caption"/>
        <w:spacing w:line="480" w:lineRule="auto"/>
        <w:jc w:val="both"/>
        <w:rPr>
          <w:rFonts w:ascii="Times New Roman" w:eastAsiaTheme="minorEastAsia" w:hAnsi="Times New Roman"/>
        </w:rPr>
      </w:pPr>
      <w:r w:rsidRPr="007D4DEA">
        <w:rPr>
          <w:color w:val="000000" w:themeColor="text1"/>
        </w:rPr>
        <w:t xml:space="preserve">Figure </w:t>
      </w:r>
      <w:r w:rsidR="00CF281D" w:rsidRPr="007D4DEA">
        <w:rPr>
          <w:color w:val="000000" w:themeColor="text1"/>
        </w:rPr>
        <w:t>S8</w:t>
      </w:r>
      <w:r w:rsidRPr="007D4DEA">
        <w:rPr>
          <w:color w:val="000000" w:themeColor="text1"/>
        </w:rPr>
        <w:t xml:space="preserve"> </w:t>
      </w:r>
      <w:r w:rsidR="00CB6857" w:rsidRPr="00681323">
        <w:rPr>
          <w:rFonts w:ascii="Times New Roman" w:hAnsi="Times New Roman"/>
        </w:rPr>
        <w:t>Mean phase space centroids for each subject</w:t>
      </w:r>
      <w:r w:rsidR="00CB6857">
        <w:rPr>
          <w:rFonts w:ascii="Times New Roman" w:hAnsi="Times New Roman"/>
        </w:rPr>
        <w:t xml:space="preserve"> with the 20-electrode montage</w:t>
      </w:r>
      <w:r w:rsidR="00CB6857" w:rsidRPr="00681323">
        <w:rPr>
          <w:rFonts w:ascii="Times New Roman" w:hAnsi="Times New Roman"/>
        </w:rPr>
        <w:t xml:space="preserve">. Ellipses represent the 1 standard deviation confidence interval. </w:t>
      </w:r>
      <w:r w:rsidR="00E60555" w:rsidRPr="00681323">
        <w:rPr>
          <w:rFonts w:ascii="Times New Roman" w:hAnsi="Times New Roman"/>
          <w:b/>
          <w:bCs/>
        </w:rPr>
        <w:t>A:</w:t>
      </w:r>
      <w:r w:rsidR="00E60555" w:rsidRPr="00681323">
        <w:rPr>
          <w:rFonts w:ascii="Times New Roman" w:hAnsi="Times New Roman"/>
        </w:rPr>
        <w:t xml:space="preserve"> Centroids for “</w:t>
      </w:r>
      <w:r w:rsidR="00E60555" w:rsidRPr="00681323">
        <w:rPr>
          <w:rFonts w:ascii="Times New Roman" w:hAnsi="Times New Roman"/>
          <w:i w:val="0"/>
          <w:iCs w:val="0"/>
        </w:rPr>
        <w:t>Bang! You’re Dead”</w:t>
      </w:r>
      <w:r w:rsidR="00E60555" w:rsidRPr="00681323">
        <w:rPr>
          <w:rFonts w:ascii="Times New Roman" w:hAnsi="Times New Roman"/>
        </w:rPr>
        <w:t xml:space="preserve"> along the x direction. </w:t>
      </w:r>
      <w:r w:rsidR="00E60555" w:rsidRPr="00681323">
        <w:rPr>
          <w:rFonts w:ascii="Times New Roman" w:hAnsi="Times New Roman"/>
          <w:b/>
          <w:bCs/>
        </w:rPr>
        <w:t xml:space="preserve">B: </w:t>
      </w:r>
      <w:r w:rsidR="00E60555" w:rsidRPr="00681323">
        <w:rPr>
          <w:rFonts w:ascii="Times New Roman" w:hAnsi="Times New Roman"/>
        </w:rPr>
        <w:t>Centroids for “</w:t>
      </w:r>
      <w:r w:rsidR="00E60555" w:rsidRPr="00681323">
        <w:rPr>
          <w:rFonts w:ascii="Times New Roman" w:hAnsi="Times New Roman"/>
          <w:i w:val="0"/>
          <w:iCs w:val="0"/>
        </w:rPr>
        <w:t>Taken”</w:t>
      </w:r>
      <w:r w:rsidR="00E60555" w:rsidRPr="00681323">
        <w:rPr>
          <w:rFonts w:ascii="Times New Roman" w:hAnsi="Times New Roman"/>
        </w:rPr>
        <w:t xml:space="preserve"> along the x direction. </w:t>
      </w:r>
      <w:r w:rsidR="00E60555" w:rsidRPr="00681323">
        <w:rPr>
          <w:rFonts w:ascii="Times New Roman" w:hAnsi="Times New Roman"/>
          <w:b/>
          <w:bCs/>
        </w:rPr>
        <w:t>C:</w:t>
      </w:r>
      <w:r w:rsidR="00E60555" w:rsidRPr="00681323">
        <w:rPr>
          <w:rFonts w:ascii="Times New Roman" w:hAnsi="Times New Roman"/>
        </w:rPr>
        <w:t xml:space="preserve"> Centroids for “</w:t>
      </w:r>
      <w:r w:rsidR="00E60555" w:rsidRPr="00681323">
        <w:rPr>
          <w:rFonts w:ascii="Times New Roman" w:hAnsi="Times New Roman"/>
          <w:i w:val="0"/>
          <w:iCs w:val="0"/>
        </w:rPr>
        <w:t>Bang! You’re Dead”</w:t>
      </w:r>
      <w:r w:rsidR="00E60555" w:rsidRPr="00681323">
        <w:rPr>
          <w:rFonts w:ascii="Times New Roman" w:hAnsi="Times New Roman"/>
        </w:rPr>
        <w:t xml:space="preserve"> along the y direction. </w:t>
      </w:r>
      <w:r w:rsidR="00E60555" w:rsidRPr="00681323">
        <w:rPr>
          <w:rFonts w:ascii="Times New Roman" w:hAnsi="Times New Roman"/>
          <w:b/>
          <w:bCs/>
        </w:rPr>
        <w:t xml:space="preserve">D: </w:t>
      </w:r>
      <w:r w:rsidR="00E60555" w:rsidRPr="00681323">
        <w:rPr>
          <w:rFonts w:ascii="Times New Roman" w:hAnsi="Times New Roman"/>
        </w:rPr>
        <w:t>Centroids for “</w:t>
      </w:r>
      <w:r w:rsidR="00E60555" w:rsidRPr="00681323">
        <w:rPr>
          <w:rFonts w:ascii="Times New Roman" w:hAnsi="Times New Roman"/>
          <w:i w:val="0"/>
          <w:iCs w:val="0"/>
        </w:rPr>
        <w:t>Taken”</w:t>
      </w:r>
      <w:r w:rsidR="00E60555" w:rsidRPr="00681323">
        <w:rPr>
          <w:rFonts w:ascii="Times New Roman" w:hAnsi="Times New Roman"/>
        </w:rPr>
        <w:t xml:space="preserve"> along the y direction. Differences are only apparent in the y direction (</w:t>
      </w:r>
      <w:r w:rsidR="00E60555">
        <w:rPr>
          <w:rFonts w:ascii="Times New Roman" w:hAnsi="Times New Roman"/>
        </w:rPr>
        <w:t>P</w:t>
      </w:r>
      <m:oMath>
        <m:r>
          <w:rPr>
            <w:rFonts w:ascii="Cambria Math" w:hAnsi="Cambria Math"/>
          </w:rPr>
          <m:t>&lt;</m:t>
        </m:r>
      </m:oMath>
      <w:r w:rsidR="00E60555" w:rsidRPr="00681323">
        <w:rPr>
          <w:rFonts w:ascii="Times New Roman" w:hAnsi="Times New Roman"/>
        </w:rPr>
        <w:t>0.01, Tukey adjusted) indicative of the higher level of anterior activation as noted in Figure 1.</w:t>
      </w:r>
    </w:p>
    <w:p w14:paraId="26336EA8" w14:textId="22485965" w:rsidR="004C6E6A" w:rsidRDefault="004C6E6A">
      <w:pPr>
        <w:rPr>
          <w:lang w:val="en-US"/>
        </w:rPr>
      </w:pPr>
    </w:p>
    <w:p w14:paraId="4C9A446B" w14:textId="52EB71F8" w:rsidR="004C6E6A" w:rsidRDefault="00CA459B">
      <w:pPr>
        <w:rPr>
          <w:lang w:val="en-US"/>
        </w:rPr>
      </w:pPr>
      <w:r w:rsidRPr="007D4DEA">
        <w:rPr>
          <w:color w:val="000000" w:themeColor="text1"/>
          <w:lang w:val="en-US"/>
        </w:rPr>
        <w:t xml:space="preserve">Finally, we wanted to verify the presence of the constant. Results for this are summarized in Table </w:t>
      </w:r>
      <w:r w:rsidR="00CF281D" w:rsidRPr="007D4DEA">
        <w:rPr>
          <w:color w:val="000000" w:themeColor="text1"/>
          <w:lang w:val="en-US"/>
        </w:rPr>
        <w:t>S</w:t>
      </w:r>
      <w:r w:rsidRPr="007D4DEA">
        <w:rPr>
          <w:color w:val="000000" w:themeColor="text1"/>
          <w:lang w:val="en-US"/>
        </w:rPr>
        <w:t>1</w:t>
      </w:r>
      <w:r w:rsidR="00AC7EB8" w:rsidRPr="007D4DEA">
        <w:rPr>
          <w:color w:val="000000" w:themeColor="text1"/>
          <w:lang w:val="en-US"/>
        </w:rPr>
        <w:t xml:space="preserve">, </w:t>
      </w:r>
      <w:r w:rsidR="00AC7EB8">
        <w:rPr>
          <w:lang w:val="en-US"/>
        </w:rPr>
        <w:t xml:space="preserve">but a minimum uncertainty value of </w:t>
      </w:r>
      <m:oMath>
        <m:r>
          <m:rPr>
            <m:sty m:val="p"/>
          </m:rPr>
          <w:rPr>
            <w:rFonts w:ascii="Cambria Math" w:eastAsiaTheme="minorEastAsia" w:hAnsi="Cambria Math"/>
            <w:color w:val="000000" w:themeColor="text1"/>
          </w:rPr>
          <m:t>0.03</m:t>
        </m:r>
        <m:r>
          <w:rPr>
            <w:rFonts w:ascii="Cambria Math" w:eastAsiaTheme="minorEastAsia" w:hAnsi="Cambria Math"/>
            <w:color w:val="000000" w:themeColor="text1"/>
          </w:rPr>
          <m:t>± 0.</m:t>
        </m:r>
        <m:r>
          <m:rPr>
            <m:sty m:val="p"/>
          </m:rPr>
          <w:rPr>
            <w:rFonts w:ascii="Cambria Math" w:eastAsiaTheme="minorEastAsia" w:hAnsi="Cambria Math"/>
            <w:color w:val="000000" w:themeColor="text1"/>
          </w:rPr>
          <m:t>0</m:t>
        </m:r>
        <m:r>
          <w:rPr>
            <w:rFonts w:ascii="Cambria Math" w:eastAsiaTheme="minorEastAsia" w:hAnsi="Cambria Math"/>
            <w:color w:val="000000" w:themeColor="text1"/>
          </w:rPr>
          <m:t>1</m:t>
        </m:r>
        <m:f>
          <m:fPr>
            <m:ctrlPr>
              <w:rPr>
                <w:rFonts w:ascii="Cambria Math" w:eastAsiaTheme="minorEastAsia" w:hAnsi="Cambria Math" w:cs="Times New Roman"/>
                <w:color w:val="000000" w:themeColor="text1"/>
                <w:lang w:eastAsia="en-GB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</w:rPr>
              <m:t>c</m:t>
            </m:r>
            <m:sSup>
              <m:sSupPr>
                <m:ctrlPr>
                  <w:rPr>
                    <w:rFonts w:ascii="Cambria Math" w:eastAsiaTheme="minorEastAsia" w:hAnsi="Cambria Math"/>
                    <w:color w:val="000000" w:themeColor="text1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000000" w:themeColor="text1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  <w:color w:val="000000" w:themeColor="text1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color w:val="000000" w:themeColor="text1"/>
              </w:rPr>
              <m:t>4ms</m:t>
            </m:r>
          </m:den>
        </m:f>
      </m:oMath>
      <w:r w:rsidR="00AC7EB8">
        <w:rPr>
          <w:rFonts w:eastAsiaTheme="minorEastAsia"/>
          <w:lang w:eastAsia="en-GB"/>
        </w:rPr>
        <w:t xml:space="preserve"> is seen across all conditions.</w:t>
      </w:r>
    </w:p>
    <w:p w14:paraId="218F0DD5" w14:textId="77777777" w:rsidR="00241E00" w:rsidRDefault="00241E00">
      <w:pPr>
        <w:rPr>
          <w:lang w:val="en-US"/>
        </w:rPr>
      </w:pPr>
    </w:p>
    <w:p w14:paraId="7322D1C4" w14:textId="0ECB9607" w:rsidR="00244F8C" w:rsidRDefault="00244F8C" w:rsidP="00244F8C">
      <w:pPr>
        <w:pStyle w:val="Caption"/>
        <w:keepNext/>
      </w:pPr>
      <w:r w:rsidRPr="007D4DEA">
        <w:rPr>
          <w:color w:val="000000" w:themeColor="text1"/>
        </w:rPr>
        <w:t xml:space="preserve">Table </w:t>
      </w:r>
      <w:r w:rsidR="00CF281D" w:rsidRPr="007D4DEA">
        <w:rPr>
          <w:color w:val="000000" w:themeColor="text1"/>
        </w:rPr>
        <w:t>S</w:t>
      </w:r>
      <w:r w:rsidR="007D4DEA" w:rsidRPr="007D4DEA">
        <w:rPr>
          <w:color w:val="000000" w:themeColor="text1"/>
        </w:rPr>
        <w:fldChar w:fldCharType="begin"/>
      </w:r>
      <w:r w:rsidR="007D4DEA" w:rsidRPr="007D4DEA">
        <w:rPr>
          <w:color w:val="000000" w:themeColor="text1"/>
        </w:rPr>
        <w:instrText xml:space="preserve"> SEQ Table \* ARABIC </w:instrText>
      </w:r>
      <w:r w:rsidR="007D4DEA" w:rsidRPr="007D4DEA">
        <w:rPr>
          <w:color w:val="000000" w:themeColor="text1"/>
        </w:rPr>
        <w:fldChar w:fldCharType="separate"/>
      </w:r>
      <w:r w:rsidRPr="007D4DEA">
        <w:rPr>
          <w:noProof/>
          <w:color w:val="000000" w:themeColor="text1"/>
        </w:rPr>
        <w:t>1</w:t>
      </w:r>
      <w:r w:rsidR="007D4DEA" w:rsidRPr="007D4DEA">
        <w:rPr>
          <w:noProof/>
          <w:color w:val="000000" w:themeColor="text1"/>
        </w:rPr>
        <w:fldChar w:fldCharType="end"/>
      </w:r>
      <w:r>
        <w:t xml:space="preserve"> A constant minimum uncertainty </w:t>
      </w:r>
      <w:r w:rsidRPr="00681323">
        <w:rPr>
          <w:rFonts w:ascii="Times New Roman" w:hAnsi="Times New Roman"/>
        </w:rPr>
        <w:t xml:space="preserve">of </w:t>
      </w:r>
      <m:oMath>
        <m:r>
          <w:rPr>
            <w:rFonts w:ascii="Cambria Math" w:eastAsiaTheme="minorEastAsia" w:hAnsi="Cambria Math"/>
          </w:rPr>
          <m:t>0.03± 0.01</m:t>
        </m:r>
        <m:f>
          <m:fPr>
            <m:ctrlPr>
              <w:rPr>
                <w:rFonts w:ascii="Cambria Math" w:eastAsiaTheme="minorEastAsia" w:hAnsi="Cambria Math" w:cs="Times New Roman"/>
                <w:iCs w:val="0"/>
                <w:color w:val="auto"/>
                <w:sz w:val="24"/>
                <w:szCs w:val="24"/>
                <w:lang w:eastAsia="en-GB"/>
              </w:rPr>
            </m:ctrlPr>
          </m:fPr>
          <m:num>
            <m:r>
              <w:rPr>
                <w:rFonts w:ascii="Cambria Math" w:eastAsiaTheme="minorEastAsia" w:hAnsi="Cambria Math"/>
              </w:rPr>
              <m:t>c</m:t>
            </m:r>
            <m:sSup>
              <m:sSupPr>
                <m:ctrlPr>
                  <w:rPr>
                    <w:rFonts w:ascii="Cambria Math" w:eastAsiaTheme="minorEastAsia" w:hAnsi="Cambria Math"/>
                    <w:i w:val="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4ms</m:t>
            </m:r>
          </m:den>
        </m:f>
      </m:oMath>
      <w:r>
        <w:rPr>
          <w:rFonts w:ascii="Times New Roman" w:eastAsiaTheme="minorEastAsia" w:hAnsi="Times New Roman"/>
          <w:iCs w:val="0"/>
          <w:color w:val="auto"/>
          <w:sz w:val="24"/>
          <w:szCs w:val="24"/>
          <w:lang w:eastAsia="en-GB"/>
        </w:rPr>
        <w:t xml:space="preserve"> </w:t>
      </w:r>
      <w:r w:rsidRPr="00244F8C">
        <w:t>is observed. Different than the value of</w:t>
      </w:r>
      <w:r w:rsidRPr="00681323">
        <w:rPr>
          <w:rFonts w:ascii="Times New Roman" w:hAnsi="Times New Roman"/>
        </w:rPr>
        <w:t xml:space="preserve"> </w:t>
      </w:r>
      <m:oMath>
        <m:r>
          <w:rPr>
            <w:rFonts w:ascii="Cambria Math" w:eastAsiaTheme="minorEastAsia" w:hAnsi="Cambria Math"/>
          </w:rPr>
          <m:t>0.78 ± 0.41</m:t>
        </m:r>
        <m:f>
          <m:fPr>
            <m:ctrlPr>
              <w:rPr>
                <w:rFonts w:ascii="Cambria Math" w:eastAsiaTheme="minorEastAsia" w:hAnsi="Cambria Math" w:cs="Times New Roman"/>
                <w:iCs w:val="0"/>
                <w:color w:val="auto"/>
                <w:sz w:val="24"/>
                <w:szCs w:val="24"/>
                <w:lang w:eastAsia="en-GB"/>
              </w:rPr>
            </m:ctrlPr>
          </m:fPr>
          <m:num>
            <m:r>
              <w:rPr>
                <w:rFonts w:ascii="Cambria Math" w:eastAsiaTheme="minorEastAsia" w:hAnsi="Cambria Math"/>
              </w:rPr>
              <m:t>c</m:t>
            </m:r>
            <m:sSup>
              <m:sSupPr>
                <m:ctrlPr>
                  <w:rPr>
                    <w:rFonts w:ascii="Cambria Math" w:eastAsiaTheme="minorEastAsia" w:hAnsi="Cambria Math"/>
                    <w:i w:val="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4ms</m:t>
            </m:r>
          </m:den>
        </m:f>
      </m:oMath>
      <w:r>
        <w:rPr>
          <w:rFonts w:ascii="Times New Roman" w:eastAsiaTheme="minorEastAsia" w:hAnsi="Times New Roman"/>
          <w:iCs w:val="0"/>
          <w:color w:val="auto"/>
          <w:sz w:val="24"/>
          <w:szCs w:val="24"/>
          <w:lang w:eastAsia="en-GB"/>
        </w:rPr>
        <w:t xml:space="preserve"> </w:t>
      </w:r>
      <w:r w:rsidRPr="00244F8C">
        <w:t xml:space="preserve">reported for the 92-electrode montage in the main text, but a constant </w:t>
      </w:r>
      <w:r w:rsidR="00CB6857" w:rsidRPr="00244F8C">
        <w:t>value,</w:t>
      </w:r>
      <w:r w:rsidRPr="00244F8C">
        <w:t xml:space="preserve"> nonetheless.</w:t>
      </w:r>
    </w:p>
    <w:p w14:paraId="038595CB" w14:textId="04DAE141" w:rsidR="004C6E6A" w:rsidRDefault="00241E00">
      <w:pPr>
        <w:rPr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4E81B61E" wp14:editId="28237072">
            <wp:extent cx="5943600" cy="836295"/>
            <wp:effectExtent l="0" t="0" r="0" b="1905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01CEE" w14:textId="0B62B7A5" w:rsidR="00450165" w:rsidRDefault="00450165">
      <w:pPr>
        <w:rPr>
          <w:lang w:val="en-US"/>
        </w:rPr>
      </w:pPr>
    </w:p>
    <w:p w14:paraId="652BFEF8" w14:textId="4361B8CF" w:rsidR="00450165" w:rsidRPr="00E95FF4" w:rsidRDefault="00F72120" w:rsidP="00F72120">
      <w:pPr>
        <w:rPr>
          <w:lang w:val="en-US"/>
        </w:rPr>
      </w:pPr>
      <w:r>
        <w:rPr>
          <w:lang w:val="en-US"/>
        </w:rPr>
        <w:t>It is evident that we still have a constant value, although it is now smaller. If we believe that there is truly a constant value, somehow limiting the brain, then some form of normalization condition that is montage dependent is necessary</w:t>
      </w:r>
      <w:r w:rsidR="00AC7EB8">
        <w:rPr>
          <w:lang w:val="en-US"/>
        </w:rPr>
        <w:t>. It is still unclear what the significance of the constant is, although it is clear that this model has an inherent uncertainty as defined in the main text.</w:t>
      </w:r>
    </w:p>
    <w:sectPr w:rsidR="00450165" w:rsidRPr="00E95FF4" w:rsidSect="00887C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FF4"/>
    <w:rsid w:val="00070F5F"/>
    <w:rsid w:val="001C11D2"/>
    <w:rsid w:val="00241E00"/>
    <w:rsid w:val="00244F8C"/>
    <w:rsid w:val="00450165"/>
    <w:rsid w:val="00460651"/>
    <w:rsid w:val="004C6E6A"/>
    <w:rsid w:val="006D5DB7"/>
    <w:rsid w:val="007C46F1"/>
    <w:rsid w:val="007D4DEA"/>
    <w:rsid w:val="00887C47"/>
    <w:rsid w:val="00AC7EB8"/>
    <w:rsid w:val="00CA459B"/>
    <w:rsid w:val="00CB6857"/>
    <w:rsid w:val="00CC3566"/>
    <w:rsid w:val="00CF281D"/>
    <w:rsid w:val="00E60555"/>
    <w:rsid w:val="00E95FF4"/>
    <w:rsid w:val="00EA6331"/>
    <w:rsid w:val="00ED4D6B"/>
    <w:rsid w:val="00F7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0B249"/>
  <w15:chartTrackingRefBased/>
  <w15:docId w15:val="{7F5A555D-A5E7-8641-85F4-90553FC62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D5DB7"/>
    <w:pPr>
      <w:spacing w:after="200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605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Popiel</dc:creator>
  <cp:keywords/>
  <dc:description/>
  <cp:lastModifiedBy>Shiny Priyadharshini G.</cp:lastModifiedBy>
  <cp:revision>14</cp:revision>
  <dcterms:created xsi:type="dcterms:W3CDTF">2021-01-12T15:06:00Z</dcterms:created>
  <dcterms:modified xsi:type="dcterms:W3CDTF">2021-09-03T01:08:00Z</dcterms:modified>
</cp:coreProperties>
</file>