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5674F2" w14:textId="44E87C36" w:rsidR="00026C5C" w:rsidRPr="00932595" w:rsidRDefault="00026C5C" w:rsidP="00026C5C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b/>
          <w:lang w:val="en-US"/>
        </w:rPr>
        <w:t>Supplemental Figure 1</w:t>
      </w:r>
      <w:r w:rsidRPr="00932595">
        <w:rPr>
          <w:rFonts w:ascii="Times New Roman" w:hAnsi="Times New Roman" w:cs="Times New Roman"/>
          <w:b/>
          <w:lang w:val="en-US"/>
        </w:rPr>
        <w:t xml:space="preserve">. I-FABP </w:t>
      </w:r>
      <w:r w:rsidR="00316DA1" w:rsidRPr="00932595">
        <w:rPr>
          <w:rFonts w:ascii="Times New Roman" w:hAnsi="Times New Roman" w:cs="Times New Roman"/>
          <w:b/>
          <w:lang w:val="en-US"/>
        </w:rPr>
        <w:t>plasma</w:t>
      </w:r>
      <w:r w:rsidRPr="00932595">
        <w:rPr>
          <w:rFonts w:ascii="Times New Roman" w:hAnsi="Times New Roman" w:cs="Times New Roman"/>
          <w:b/>
          <w:lang w:val="en-US"/>
        </w:rPr>
        <w:t xml:space="preserve"> concentrations in AMI patients and controls using the R&amp;D Systems</w:t>
      </w:r>
      <w:r w:rsidRPr="00932595" w:rsidDel="00BF3897">
        <w:rPr>
          <w:rFonts w:ascii="Times New Roman" w:hAnsi="Times New Roman" w:cs="Times New Roman"/>
          <w:b/>
          <w:lang w:val="en-US"/>
        </w:rPr>
        <w:t xml:space="preserve"> </w:t>
      </w:r>
      <w:r w:rsidRPr="00932595">
        <w:rPr>
          <w:rFonts w:ascii="Times New Roman" w:hAnsi="Times New Roman" w:cs="Times New Roman"/>
          <w:b/>
          <w:lang w:val="en-US"/>
        </w:rPr>
        <w:t>ELISA kit</w:t>
      </w:r>
    </w:p>
    <w:p w14:paraId="12D15995" w14:textId="64043030" w:rsidR="00026C5C" w:rsidRPr="00932595" w:rsidRDefault="00747BE7" w:rsidP="00026C5C">
      <w:pPr>
        <w:spacing w:line="480" w:lineRule="auto"/>
        <w:jc w:val="both"/>
        <w:outlineLvl w:val="0"/>
        <w:rPr>
          <w:rFonts w:ascii="Times New Roman" w:hAnsi="Times New Roman" w:cs="Times New Roman"/>
          <w:b/>
          <w:lang w:val="en-US"/>
        </w:rPr>
      </w:pPr>
      <w:r w:rsidRPr="00932595">
        <w:rPr>
          <w:rFonts w:ascii="Times New Roman" w:hAnsi="Times New Roman" w:cs="Times New Roman"/>
          <w:b/>
          <w:noProof/>
          <w:lang w:val="en-IN" w:eastAsia="en-IN"/>
        </w:rPr>
        <w:drawing>
          <wp:inline distT="0" distB="0" distL="0" distR="0" wp14:anchorId="0FB98240" wp14:editId="0A2145EC">
            <wp:extent cx="5511800" cy="446808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51726" cy="4500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671AA" w14:textId="3DC0A942" w:rsidR="00026C5C" w:rsidRPr="00932595" w:rsidRDefault="00026C5C" w:rsidP="00026C5C">
      <w:pPr>
        <w:jc w:val="both"/>
        <w:outlineLvl w:val="0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932595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I-FABP concentrations were measured in </w:t>
      </w:r>
      <w:r w:rsidR="00316DA1" w:rsidRPr="00932595">
        <w:rPr>
          <w:rFonts w:ascii="Times New Roman" w:hAnsi="Times New Roman" w:cs="Times New Roman"/>
          <w:bCs/>
          <w:sz w:val="20"/>
          <w:szCs w:val="20"/>
          <w:lang w:val="en-US"/>
        </w:rPr>
        <w:t>plasma</w:t>
      </w:r>
      <w:r w:rsidRPr="00932595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using the ELISA Kits from R&amp;D Systems, </w:t>
      </w:r>
      <w:proofErr w:type="spellStart"/>
      <w:r w:rsidRPr="00932595">
        <w:rPr>
          <w:rFonts w:ascii="Times New Roman" w:hAnsi="Times New Roman" w:cs="Times New Roman"/>
          <w:bCs/>
          <w:sz w:val="20"/>
          <w:szCs w:val="20"/>
          <w:lang w:val="en-US"/>
        </w:rPr>
        <w:t>Liey</w:t>
      </w:r>
      <w:proofErr w:type="spellEnd"/>
      <w:r w:rsidRPr="00932595">
        <w:rPr>
          <w:rFonts w:ascii="Times New Roman" w:hAnsi="Times New Roman" w:cs="Times New Roman"/>
          <w:bCs/>
          <w:sz w:val="20"/>
          <w:szCs w:val="20"/>
          <w:lang w:val="en-US"/>
        </w:rPr>
        <w:t>, DY3078, (linearity range: 0 – 1000 ng/L).</w:t>
      </w:r>
    </w:p>
    <w:p w14:paraId="692333A3" w14:textId="181359D8" w:rsidR="00026C5C" w:rsidRPr="00932595" w:rsidRDefault="00026C5C" w:rsidP="00026C5C">
      <w:pPr>
        <w:jc w:val="both"/>
        <w:outlineLvl w:val="0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932595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No significant difference was found in </w:t>
      </w:r>
      <w:r w:rsidR="00316DA1" w:rsidRPr="00932595">
        <w:rPr>
          <w:rFonts w:ascii="Times New Roman" w:hAnsi="Times New Roman" w:cs="Times New Roman"/>
          <w:bCs/>
          <w:sz w:val="20"/>
          <w:szCs w:val="20"/>
          <w:lang w:val="en-US"/>
        </w:rPr>
        <w:t>plasma</w:t>
      </w:r>
      <w:r w:rsidRPr="00932595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I-FABP concentrations between AMI patients compared to the controls [220 ng/L (152-445) vs 258 ng/L (178-420), p=0.30]. </w:t>
      </w:r>
    </w:p>
    <w:p w14:paraId="0680ECDA" w14:textId="7BF55C11" w:rsidR="00026C5C" w:rsidRPr="00932595" w:rsidRDefault="00026C5C" w:rsidP="00026C5C">
      <w:pPr>
        <w:jc w:val="both"/>
        <w:outlineLvl w:val="0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932595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The area under the receiver operating curve (AUROC) for the diagnosis of AMI by </w:t>
      </w:r>
      <w:r w:rsidR="00316DA1" w:rsidRPr="00932595">
        <w:rPr>
          <w:rFonts w:ascii="Times New Roman" w:hAnsi="Times New Roman" w:cs="Times New Roman"/>
          <w:bCs/>
          <w:sz w:val="20"/>
          <w:szCs w:val="20"/>
          <w:lang w:val="en-US"/>
        </w:rPr>
        <w:t>plasma</w:t>
      </w:r>
      <w:r w:rsidRPr="00932595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I-FABP was 0.44 (95%CI = 0.33 – 0.56)</w:t>
      </w:r>
    </w:p>
    <w:p w14:paraId="1B0B2B9C" w14:textId="77777777" w:rsidR="00026C5C" w:rsidRPr="00932595" w:rsidRDefault="00026C5C" w:rsidP="00026C5C">
      <w:pPr>
        <w:spacing w:line="276" w:lineRule="auto"/>
        <w:jc w:val="both"/>
        <w:outlineLvl w:val="0"/>
        <w:rPr>
          <w:rFonts w:ascii="Times New Roman" w:hAnsi="Times New Roman" w:cs="Times New Roman"/>
          <w:lang w:val="en-US"/>
        </w:rPr>
      </w:pPr>
    </w:p>
    <w:p w14:paraId="1B503509" w14:textId="6E0B9485" w:rsidR="001D2F1A" w:rsidRPr="00932595" w:rsidRDefault="001D2F1A" w:rsidP="001D2F1A">
      <w:pPr>
        <w:spacing w:line="480" w:lineRule="auto"/>
        <w:jc w:val="both"/>
        <w:rPr>
          <w:rFonts w:ascii="Times New Roman" w:hAnsi="Times New Roman" w:cs="Times New Roman"/>
          <w:b/>
          <w:lang w:val="en-US"/>
        </w:rPr>
      </w:pPr>
      <w:r w:rsidRPr="00932595">
        <w:rPr>
          <w:rFonts w:ascii="Times New Roman" w:hAnsi="Times New Roman" w:cs="Times New Roman"/>
          <w:b/>
          <w:lang w:val="en-US"/>
        </w:rPr>
        <w:lastRenderedPageBreak/>
        <w:t xml:space="preserve">Supplemental Figure </w:t>
      </w:r>
      <w:r w:rsidR="00026C5C" w:rsidRPr="00932595">
        <w:rPr>
          <w:rFonts w:ascii="Times New Roman" w:hAnsi="Times New Roman" w:cs="Times New Roman"/>
          <w:b/>
          <w:lang w:val="en-US"/>
        </w:rPr>
        <w:t>2</w:t>
      </w:r>
      <w:r w:rsidRPr="00932595">
        <w:rPr>
          <w:rFonts w:ascii="Times New Roman" w:hAnsi="Times New Roman" w:cs="Times New Roman"/>
          <w:b/>
          <w:lang w:val="en-US"/>
        </w:rPr>
        <w:t xml:space="preserve">. Citrulline, I-FABP, and D-lactate </w:t>
      </w:r>
      <w:r w:rsidR="00EB5487" w:rsidRPr="00932595">
        <w:rPr>
          <w:rFonts w:ascii="Times New Roman" w:hAnsi="Times New Roman" w:cs="Times New Roman"/>
          <w:b/>
          <w:lang w:val="en-US"/>
        </w:rPr>
        <w:t>plasma</w:t>
      </w:r>
      <w:r w:rsidRPr="00932595">
        <w:rPr>
          <w:rFonts w:ascii="Times New Roman" w:hAnsi="Times New Roman" w:cs="Times New Roman"/>
          <w:b/>
          <w:lang w:val="en-US"/>
        </w:rPr>
        <w:t xml:space="preserve"> concentrations according to the origin of acute mesenteric ischemia (venous or arterial)</w:t>
      </w:r>
    </w:p>
    <w:p w14:paraId="4D4D9512" w14:textId="77777777" w:rsidR="00EB5487" w:rsidRPr="00932595" w:rsidRDefault="00EB5487" w:rsidP="00EB5487">
      <w:pPr>
        <w:spacing w:line="480" w:lineRule="auto"/>
        <w:ind w:left="-142" w:firstLine="142"/>
        <w:jc w:val="both"/>
        <w:rPr>
          <w:rFonts w:ascii="Times New Roman" w:hAnsi="Times New Roman" w:cs="Times New Roman"/>
          <w:b/>
          <w:lang w:val="en-US"/>
        </w:rPr>
      </w:pPr>
    </w:p>
    <w:p w14:paraId="6F0F5130" w14:textId="50837CC0" w:rsidR="001D2F1A" w:rsidRPr="00932595" w:rsidRDefault="00EB5487" w:rsidP="00EB5487">
      <w:pPr>
        <w:spacing w:line="480" w:lineRule="auto"/>
        <w:ind w:hanging="567"/>
        <w:jc w:val="both"/>
        <w:rPr>
          <w:rFonts w:ascii="Times New Roman" w:hAnsi="Times New Roman" w:cs="Times New Roman"/>
          <w:b/>
          <w:lang w:val="en-US"/>
        </w:rPr>
      </w:pPr>
      <w:r w:rsidRPr="00932595">
        <w:rPr>
          <w:rFonts w:ascii="Times New Roman" w:hAnsi="Times New Roman" w:cs="Times New Roman"/>
          <w:b/>
          <w:noProof/>
          <w:lang w:val="en-IN" w:eastAsia="en-IN"/>
        </w:rPr>
        <w:drawing>
          <wp:inline distT="0" distB="0" distL="0" distR="0" wp14:anchorId="5F55C271" wp14:editId="2339735E">
            <wp:extent cx="9534730" cy="2692400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545947" cy="2695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AA41C" w14:textId="66A4235F" w:rsidR="001D2F1A" w:rsidRPr="00932595" w:rsidRDefault="001D2F1A" w:rsidP="001D2F1A">
      <w:pPr>
        <w:spacing w:line="480" w:lineRule="auto"/>
        <w:ind w:hanging="900"/>
        <w:jc w:val="both"/>
        <w:rPr>
          <w:rFonts w:ascii="Times New Roman" w:hAnsi="Times New Roman" w:cs="Times New Roman"/>
          <w:b/>
          <w:lang w:val="en-US"/>
        </w:rPr>
      </w:pPr>
    </w:p>
    <w:p w14:paraId="4D8ECB13" w14:textId="77777777" w:rsidR="0063010E" w:rsidRPr="00932595" w:rsidRDefault="001D2F1A" w:rsidP="0063010E">
      <w:pPr>
        <w:spacing w:line="276" w:lineRule="auto"/>
        <w:jc w:val="both"/>
        <w:outlineLvl w:val="0"/>
        <w:rPr>
          <w:rFonts w:ascii="Times New Roman" w:hAnsi="Times New Roman" w:cs="Times New Roman"/>
          <w:sz w:val="20"/>
          <w:szCs w:val="20"/>
          <w:lang w:val="en-US"/>
        </w:rPr>
      </w:pPr>
      <w:r w:rsidRPr="00932595">
        <w:rPr>
          <w:rFonts w:ascii="Times New Roman" w:hAnsi="Times New Roman" w:cs="Times New Roman"/>
          <w:sz w:val="20"/>
          <w:szCs w:val="20"/>
          <w:lang w:val="en-US"/>
        </w:rPr>
        <w:t xml:space="preserve">Abbreviations: AMI: acute mesenteric ischemia; I-FABP: intestinal fatty-acid binding protein; </w:t>
      </w:r>
    </w:p>
    <w:p w14:paraId="43654554" w14:textId="2C9F47A4" w:rsidR="002A3DEA" w:rsidRPr="0063010E" w:rsidRDefault="0063010E" w:rsidP="0063010E">
      <w:pPr>
        <w:spacing w:line="276" w:lineRule="auto"/>
        <w:jc w:val="both"/>
        <w:outlineLvl w:val="0"/>
        <w:rPr>
          <w:rFonts w:ascii="Times New Roman" w:hAnsi="Times New Roman" w:cs="Times New Roman"/>
          <w:sz w:val="20"/>
          <w:szCs w:val="20"/>
          <w:lang w:val="en-US"/>
        </w:rPr>
      </w:pPr>
      <w:r w:rsidRPr="00932595">
        <w:rPr>
          <w:rFonts w:ascii="Times New Roman" w:hAnsi="Times New Roman" w:cs="Times New Roman"/>
          <w:sz w:val="20"/>
          <w:szCs w:val="20"/>
          <w:lang w:val="en-US"/>
        </w:rPr>
        <w:t xml:space="preserve">Comparison of acute abdominal pain controls (n=79) and patients with venous AMI (n=17), and arterial AMI (n=33). </w:t>
      </w:r>
      <w:r w:rsidR="00EB5487" w:rsidRPr="00932595">
        <w:rPr>
          <w:rFonts w:ascii="Times New Roman" w:hAnsi="Times New Roman" w:cs="Times New Roman"/>
          <w:sz w:val="20"/>
          <w:szCs w:val="20"/>
          <w:lang w:val="en-US"/>
        </w:rPr>
        <w:t xml:space="preserve">Analyses were performed with the use of the Kruskal-Wallis test. When the result of a global test was significant (p&lt;0.05), post hoc Bonferroni-corrected pairwise comparisons were performed. </w:t>
      </w:r>
      <w:r w:rsidR="001D2F1A" w:rsidRPr="00932595">
        <w:rPr>
          <w:rFonts w:ascii="Times New Roman" w:hAnsi="Times New Roman" w:cs="Times New Roman"/>
          <w:sz w:val="20"/>
          <w:szCs w:val="20"/>
          <w:lang w:val="en-US"/>
        </w:rPr>
        <w:t>The horizontal line in the boxes represents the median, and the bottom and top of the boxes, the 25</w:t>
      </w:r>
      <w:r w:rsidR="001D2F1A" w:rsidRPr="00932595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th</w:t>
      </w:r>
      <w:r w:rsidR="001D2F1A" w:rsidRPr="00932595">
        <w:rPr>
          <w:rFonts w:ascii="Times New Roman" w:hAnsi="Times New Roman" w:cs="Times New Roman"/>
          <w:sz w:val="20"/>
          <w:szCs w:val="20"/>
          <w:lang w:val="en-US"/>
        </w:rPr>
        <w:t xml:space="preserve"> and 75</w:t>
      </w:r>
      <w:r w:rsidR="001D2F1A" w:rsidRPr="00932595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th</w:t>
      </w:r>
      <w:r w:rsidR="001D2F1A" w:rsidRPr="00932595">
        <w:rPr>
          <w:rFonts w:ascii="Times New Roman" w:hAnsi="Times New Roman" w:cs="Times New Roman"/>
          <w:sz w:val="20"/>
          <w:szCs w:val="20"/>
          <w:lang w:val="en-US"/>
        </w:rPr>
        <w:t xml:space="preserve"> percentiles, respectively. I bars represent the upper adjacent value (75</w:t>
      </w:r>
      <w:r w:rsidR="001D2F1A" w:rsidRPr="00932595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th</w:t>
      </w:r>
      <w:r w:rsidR="001D2F1A" w:rsidRPr="00932595">
        <w:rPr>
          <w:rFonts w:ascii="Times New Roman" w:hAnsi="Times New Roman" w:cs="Times New Roman"/>
          <w:sz w:val="20"/>
          <w:szCs w:val="20"/>
          <w:lang w:val="en-US"/>
        </w:rPr>
        <w:t xml:space="preserve"> percentile plus 1.5 times the interquartile range) and the lower adjacent value (corresponding formula below the 25</w:t>
      </w:r>
      <w:r w:rsidR="001D2F1A" w:rsidRPr="00932595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th</w:t>
      </w:r>
      <w:r w:rsidR="001D2F1A" w:rsidRPr="00932595">
        <w:rPr>
          <w:rFonts w:ascii="Times New Roman" w:hAnsi="Times New Roman" w:cs="Times New Roman"/>
          <w:sz w:val="20"/>
          <w:szCs w:val="20"/>
          <w:lang w:val="en-US"/>
        </w:rPr>
        <w:t xml:space="preserve"> percentile)</w:t>
      </w:r>
      <w:r w:rsidR="00EB5487" w:rsidRPr="00932595">
        <w:rPr>
          <w:rFonts w:ascii="Times New Roman" w:hAnsi="Times New Roman" w:cs="Times New Roman"/>
          <w:sz w:val="20"/>
          <w:szCs w:val="20"/>
          <w:lang w:val="en-US"/>
        </w:rPr>
        <w:t>. Outliers are represented by d</w:t>
      </w:r>
      <w:r w:rsidR="001D2F1A" w:rsidRPr="00932595">
        <w:rPr>
          <w:rFonts w:ascii="Times New Roman" w:hAnsi="Times New Roman" w:cs="Times New Roman"/>
          <w:sz w:val="20"/>
          <w:szCs w:val="20"/>
          <w:lang w:val="en-US"/>
        </w:rPr>
        <w:t>ots</w:t>
      </w:r>
      <w:r w:rsidR="00EB5487" w:rsidRPr="00932595">
        <w:rPr>
          <w:rFonts w:ascii="Times New Roman" w:hAnsi="Times New Roman" w:cs="Times New Roman"/>
          <w:sz w:val="20"/>
          <w:szCs w:val="20"/>
          <w:lang w:val="en-US"/>
        </w:rPr>
        <w:t xml:space="preserve"> (outside of </w:t>
      </w:r>
      <w:proofErr w:type="gramStart"/>
      <w:r w:rsidR="00EB5487" w:rsidRPr="00932595">
        <w:rPr>
          <w:rFonts w:ascii="Times New Roman" w:hAnsi="Times New Roman" w:cs="Times New Roman"/>
          <w:sz w:val="20"/>
          <w:szCs w:val="20"/>
          <w:lang w:val="en-US"/>
        </w:rPr>
        <w:t>the I</w:t>
      </w:r>
      <w:proofErr w:type="gramEnd"/>
      <w:r w:rsidR="00EB5487" w:rsidRPr="00932595">
        <w:rPr>
          <w:rFonts w:ascii="Times New Roman" w:hAnsi="Times New Roman" w:cs="Times New Roman"/>
          <w:sz w:val="20"/>
          <w:szCs w:val="20"/>
          <w:lang w:val="en-US"/>
        </w:rPr>
        <w:t xml:space="preserve"> bars) and extreme outliers by </w:t>
      </w:r>
      <w:r w:rsidR="001D2F1A" w:rsidRPr="00932595">
        <w:rPr>
          <w:rFonts w:ascii="Times New Roman" w:hAnsi="Times New Roman" w:cs="Times New Roman"/>
          <w:sz w:val="20"/>
          <w:szCs w:val="20"/>
          <w:lang w:val="en-US"/>
        </w:rPr>
        <w:t>asterisks</w:t>
      </w:r>
      <w:r w:rsidR="00EB5487" w:rsidRPr="00932595">
        <w:rPr>
          <w:rFonts w:ascii="Times New Roman" w:hAnsi="Times New Roman" w:cs="Times New Roman"/>
          <w:sz w:val="20"/>
          <w:szCs w:val="20"/>
          <w:lang w:val="en-US"/>
        </w:rPr>
        <w:t xml:space="preserve"> (outside of the 75</w:t>
      </w:r>
      <w:r w:rsidR="00EB5487" w:rsidRPr="00932595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th</w:t>
      </w:r>
      <w:r w:rsidR="00EB5487" w:rsidRPr="00932595">
        <w:rPr>
          <w:rFonts w:ascii="Times New Roman" w:hAnsi="Times New Roman" w:cs="Times New Roman"/>
          <w:sz w:val="20"/>
          <w:szCs w:val="20"/>
          <w:lang w:val="en-US"/>
        </w:rPr>
        <w:t xml:space="preserve"> percentile plus 3 times the interquartile range, or the 25</w:t>
      </w:r>
      <w:r w:rsidR="00EB5487" w:rsidRPr="00932595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th</w:t>
      </w:r>
      <w:r w:rsidR="00EB5487" w:rsidRPr="00932595">
        <w:rPr>
          <w:rFonts w:ascii="Times New Roman" w:hAnsi="Times New Roman" w:cs="Times New Roman"/>
          <w:sz w:val="20"/>
          <w:szCs w:val="20"/>
          <w:lang w:val="en-US"/>
        </w:rPr>
        <w:t xml:space="preserve"> percentile minus 3 times the interquartile range).</w:t>
      </w:r>
    </w:p>
    <w:sectPr w:rsidR="002A3DEA" w:rsidRPr="0063010E" w:rsidSect="001D2F1A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F1A"/>
    <w:rsid w:val="000103E8"/>
    <w:rsid w:val="00026C5C"/>
    <w:rsid w:val="00054550"/>
    <w:rsid w:val="000B325C"/>
    <w:rsid w:val="00123FE0"/>
    <w:rsid w:val="001470FF"/>
    <w:rsid w:val="00164ECF"/>
    <w:rsid w:val="001D2F1A"/>
    <w:rsid w:val="002008F2"/>
    <w:rsid w:val="00212F92"/>
    <w:rsid w:val="002212E7"/>
    <w:rsid w:val="002A3DEA"/>
    <w:rsid w:val="00312607"/>
    <w:rsid w:val="00316DA1"/>
    <w:rsid w:val="00362332"/>
    <w:rsid w:val="003D725B"/>
    <w:rsid w:val="003E3CA4"/>
    <w:rsid w:val="004D606A"/>
    <w:rsid w:val="00591478"/>
    <w:rsid w:val="005C5DAF"/>
    <w:rsid w:val="005F4D57"/>
    <w:rsid w:val="0063010E"/>
    <w:rsid w:val="00642EBE"/>
    <w:rsid w:val="006525E4"/>
    <w:rsid w:val="00695B79"/>
    <w:rsid w:val="0069614A"/>
    <w:rsid w:val="0069768B"/>
    <w:rsid w:val="00747BE7"/>
    <w:rsid w:val="0081467E"/>
    <w:rsid w:val="008B2C46"/>
    <w:rsid w:val="00932595"/>
    <w:rsid w:val="00966AC4"/>
    <w:rsid w:val="009E49B2"/>
    <w:rsid w:val="00B44605"/>
    <w:rsid w:val="00BD5243"/>
    <w:rsid w:val="00BE0127"/>
    <w:rsid w:val="00C351C4"/>
    <w:rsid w:val="00E15CC5"/>
    <w:rsid w:val="00EB5487"/>
    <w:rsid w:val="00EC3430"/>
    <w:rsid w:val="00F32051"/>
    <w:rsid w:val="00F76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F7811"/>
  <w15:chartTrackingRefBased/>
  <w15:docId w15:val="{3FEB4147-15DB-E749-8A84-66BFF11B1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2F1A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244</Words>
  <Characters>1394</Characters>
  <Application>Microsoft Office Word</Application>
  <DocSecurity>0</DocSecurity>
  <Lines>11</Lines>
  <Paragraphs>3</Paragraphs>
  <ScaleCrop>false</ScaleCrop>
  <Company>Imperial College London</Company>
  <LinksUpToDate>false</LinksUpToDate>
  <CharactersWithSpaces>1635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Nuzzo</dc:creator>
  <cp:keywords/>
  <dc:description/>
  <cp:lastModifiedBy>Shiny Priyadharshini G.</cp:lastModifiedBy>
  <cp:revision>4</cp:revision>
  <dcterms:created xsi:type="dcterms:W3CDTF">2021-07-12T21:10:00Z</dcterms:created>
  <dcterms:modified xsi:type="dcterms:W3CDTF">2021-09-03T05:50:00Z</dcterms:modified>
</cp:coreProperties>
</file>