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C2" w:rsidRPr="008A4954" w:rsidRDefault="00BD19C2" w:rsidP="00BD19C2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8A4954">
        <w:rPr>
          <w:rFonts w:asciiTheme="majorBidi" w:hAnsiTheme="majorBidi" w:cstheme="majorBidi"/>
          <w:b/>
          <w:bCs/>
          <w:lang w:bidi="fa-IR"/>
        </w:rPr>
        <w:t xml:space="preserve">Title: Personalized diet study of </w:t>
      </w:r>
      <w:r w:rsidRPr="008A4954">
        <w:rPr>
          <w:rFonts w:asciiTheme="majorBidi" w:hAnsiTheme="majorBidi" w:cstheme="majorBidi"/>
          <w:b/>
          <w:bCs/>
        </w:rPr>
        <w:t>dietary advanced glycation end products (AGEs) and fatty acid desaturase 2 (FADS</w:t>
      </w:r>
      <w:r w:rsidRPr="008A4954">
        <w:rPr>
          <w:rFonts w:asciiTheme="majorBidi" w:hAnsiTheme="majorBidi" w:cstheme="majorBidi"/>
          <w:b/>
          <w:bCs/>
          <w:vertAlign w:val="subscript"/>
        </w:rPr>
        <w:t>2</w:t>
      </w:r>
      <w:r w:rsidRPr="008A4954">
        <w:rPr>
          <w:rFonts w:asciiTheme="majorBidi" w:hAnsiTheme="majorBidi" w:cstheme="majorBidi"/>
          <w:b/>
          <w:bCs/>
        </w:rPr>
        <w:t>) genotypes in obesity</w:t>
      </w:r>
    </w:p>
    <w:p w:rsidR="00BD19C2" w:rsidRPr="008A4954" w:rsidRDefault="00BD19C2" w:rsidP="00BD19C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</w:rPr>
      </w:pPr>
      <w:r w:rsidRPr="008A4954">
        <w:rPr>
          <w:rFonts w:asciiTheme="majorBidi" w:hAnsiTheme="majorBidi" w:cstheme="majorBidi"/>
          <w:b/>
          <w:bCs/>
        </w:rPr>
        <w:t xml:space="preserve">Authors: Mahsa Mahmoudinezhad </w:t>
      </w:r>
      <w:r w:rsidRPr="008A4954">
        <w:rPr>
          <w:rFonts w:asciiTheme="majorBidi" w:hAnsiTheme="majorBidi" w:cstheme="majorBidi"/>
          <w:b/>
          <w:bCs/>
          <w:vertAlign w:val="superscript"/>
        </w:rPr>
        <w:t>1</w:t>
      </w:r>
      <w:r w:rsidRPr="008A4954">
        <w:rPr>
          <w:rFonts w:asciiTheme="majorBidi" w:hAnsiTheme="majorBidi" w:cstheme="majorBidi"/>
          <w:b/>
          <w:bCs/>
        </w:rPr>
        <w:t xml:space="preserve">, Mahdieh Abbasalizad Farhangi </w:t>
      </w:r>
      <w:r w:rsidRPr="008A4954">
        <w:rPr>
          <w:rFonts w:asciiTheme="majorBidi" w:hAnsiTheme="majorBidi" w:cstheme="majorBidi"/>
          <w:b/>
          <w:bCs/>
          <w:vertAlign w:val="superscript"/>
        </w:rPr>
        <w:t>1*</w:t>
      </w:r>
      <w:r w:rsidRPr="008A4954">
        <w:rPr>
          <w:rFonts w:asciiTheme="majorBidi" w:hAnsiTheme="majorBidi" w:cstheme="majorBidi"/>
          <w:b/>
          <w:bCs/>
        </w:rPr>
        <w:t xml:space="preserve">, Houman Kahroba </w:t>
      </w:r>
      <w:r w:rsidRPr="008A4954">
        <w:rPr>
          <w:rFonts w:asciiTheme="majorBidi" w:hAnsiTheme="majorBidi" w:cstheme="majorBidi"/>
          <w:b/>
          <w:bCs/>
          <w:vertAlign w:val="superscript"/>
        </w:rPr>
        <w:t>2</w:t>
      </w:r>
      <w:r w:rsidRPr="008A4954">
        <w:rPr>
          <w:rFonts w:asciiTheme="majorBidi" w:hAnsiTheme="majorBidi" w:cstheme="majorBidi"/>
          <w:b/>
          <w:bCs/>
        </w:rPr>
        <w:t xml:space="preserve">, Parvin Dehghan </w:t>
      </w:r>
      <w:r w:rsidRPr="008A4954">
        <w:rPr>
          <w:rFonts w:asciiTheme="majorBidi" w:hAnsiTheme="majorBidi" w:cstheme="majorBidi"/>
          <w:b/>
          <w:bCs/>
          <w:vertAlign w:val="superscript"/>
        </w:rPr>
        <w:t>3*</w:t>
      </w:r>
    </w:p>
    <w:p w:rsidR="00BD19C2" w:rsidRPr="008A4954" w:rsidRDefault="00BD19C2" w:rsidP="00BD19C2">
      <w:pPr>
        <w:spacing w:after="0" w:line="480" w:lineRule="auto"/>
        <w:jc w:val="both"/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  <w:vertAlign w:val="superscript"/>
        </w:rPr>
        <w:t xml:space="preserve">1 </w:t>
      </w:r>
      <w:r w:rsidRPr="008A4954">
        <w:rPr>
          <w:rFonts w:asciiTheme="majorBidi" w:hAnsiTheme="majorBidi" w:cstheme="majorBidi"/>
        </w:rPr>
        <w:t>Department of Community Nutrition, Faculty of Nutrition, Tabriz University of Medical Sciences, Tabriz, Iran</w:t>
      </w:r>
    </w:p>
    <w:p w:rsidR="00BD19C2" w:rsidRPr="008A4954" w:rsidRDefault="00BD19C2" w:rsidP="00BD19C2">
      <w:pPr>
        <w:spacing w:after="0" w:line="480" w:lineRule="auto"/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  <w:vertAlign w:val="superscript"/>
        </w:rPr>
        <w:t xml:space="preserve">2 </w:t>
      </w:r>
      <w:r w:rsidRPr="008A4954">
        <w:rPr>
          <w:rFonts w:asciiTheme="majorBidi" w:hAnsiTheme="majorBidi" w:cstheme="majorBidi"/>
        </w:rPr>
        <w:t>Molecular Medicine Research Center, Tabriz University of Medical Sciences, Tabriz, Iran</w:t>
      </w:r>
    </w:p>
    <w:p w:rsidR="00BD19C2" w:rsidRPr="008A4954" w:rsidRDefault="00BD19C2" w:rsidP="00BD19C2">
      <w:pPr>
        <w:spacing w:after="0" w:line="480" w:lineRule="auto"/>
        <w:jc w:val="both"/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  <w:vertAlign w:val="superscript"/>
        </w:rPr>
        <w:t>3</w:t>
      </w:r>
      <w:r w:rsidRPr="008A4954">
        <w:rPr>
          <w:rFonts w:asciiTheme="majorBidi" w:hAnsiTheme="majorBidi" w:cstheme="majorBidi"/>
        </w:rPr>
        <w:t xml:space="preserve"> Department of Biochemistry and Nutrition, Faculty of Nutrition, Tabriz University of Medical Sciences, Tabriz, Iran</w:t>
      </w:r>
    </w:p>
    <w:p w:rsidR="00BD19C2" w:rsidRPr="008A4954" w:rsidRDefault="00BD19C2" w:rsidP="00BD19C2">
      <w:pPr>
        <w:spacing w:after="0" w:line="480" w:lineRule="auto"/>
        <w:jc w:val="both"/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</w:rPr>
        <w:t xml:space="preserve">*First Corresponding author e-mail: </w:t>
      </w:r>
      <w:hyperlink r:id="rId6" w:history="1">
        <w:r w:rsidRPr="008A4954">
          <w:rPr>
            <w:rStyle w:val="Hyperlink"/>
            <w:rFonts w:asciiTheme="majorBidi" w:hAnsiTheme="majorBidi" w:cstheme="majorBidi"/>
          </w:rPr>
          <w:t>abbasalizad_m@yahoo.com</w:t>
        </w:r>
      </w:hyperlink>
      <w:r w:rsidRPr="008A4954">
        <w:rPr>
          <w:rFonts w:asciiTheme="majorBidi" w:hAnsiTheme="majorBidi" w:cstheme="majorBidi"/>
        </w:rPr>
        <w:t xml:space="preserve">; </w:t>
      </w:r>
      <w:hyperlink r:id="rId7" w:history="1">
        <w:r w:rsidRPr="008A4954">
          <w:rPr>
            <w:rStyle w:val="Hyperlink"/>
            <w:rFonts w:asciiTheme="majorBidi" w:hAnsiTheme="majorBidi" w:cstheme="majorBidi"/>
          </w:rPr>
          <w:t>abbasalizadm@tbzmed.ac.ir</w:t>
        </w:r>
      </w:hyperlink>
      <w:r w:rsidRPr="008A4954">
        <w:rPr>
          <w:rFonts w:asciiTheme="majorBidi" w:hAnsiTheme="majorBidi" w:cstheme="majorBidi"/>
        </w:rPr>
        <w:t xml:space="preserve">; Second corresponding author: </w:t>
      </w:r>
      <w:hyperlink r:id="rId8" w:history="1">
        <w:r w:rsidRPr="008A4954">
          <w:rPr>
            <w:rStyle w:val="Hyperlink"/>
            <w:rFonts w:asciiTheme="majorBidi" w:hAnsiTheme="majorBidi" w:cstheme="majorBidi"/>
          </w:rPr>
          <w:t>dehghan.nut@gmail.com</w:t>
        </w:r>
      </w:hyperlink>
      <w:r w:rsidRPr="008A4954">
        <w:rPr>
          <w:rFonts w:asciiTheme="majorBidi" w:hAnsiTheme="majorBidi" w:cstheme="majorBidi"/>
        </w:rPr>
        <w:t>; Postal code: 5165665931</w:t>
      </w:r>
    </w:p>
    <w:p w:rsidR="00075972" w:rsidRPr="008A4954" w:rsidRDefault="00BD19C2" w:rsidP="00BD19C2">
      <w:pPr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</w:rPr>
        <w:t>Attar-Neishabouri Ave, Golgasht St, Tabriz, Iran. Phone: +04133357584</w:t>
      </w:r>
    </w:p>
    <w:p w:rsidR="00075972" w:rsidRPr="008A4954" w:rsidRDefault="00075972" w:rsidP="00075972">
      <w:pPr>
        <w:rPr>
          <w:rFonts w:asciiTheme="majorBidi" w:hAnsiTheme="majorBidi" w:cstheme="majorBidi"/>
        </w:rPr>
      </w:pPr>
    </w:p>
    <w:p w:rsidR="00075972" w:rsidRPr="008A4954" w:rsidRDefault="00075972" w:rsidP="00075972">
      <w:pPr>
        <w:jc w:val="center"/>
        <w:rPr>
          <w:rFonts w:asciiTheme="majorBidi" w:hAnsiTheme="majorBidi" w:cstheme="majorBidi"/>
        </w:rPr>
      </w:pPr>
      <w:r w:rsidRPr="008A4954">
        <w:rPr>
          <w:rFonts w:asciiTheme="majorBidi" w:hAnsiTheme="majorBidi" w:cstheme="majorBidi"/>
        </w:rPr>
        <w:tab/>
      </w:r>
    </w:p>
    <w:p w:rsidR="00075972" w:rsidRPr="008A4954" w:rsidRDefault="00075972" w:rsidP="00075972">
      <w:pPr>
        <w:jc w:val="center"/>
        <w:rPr>
          <w:rFonts w:asciiTheme="majorBidi" w:hAnsiTheme="majorBidi" w:cstheme="majorBidi"/>
          <w:b/>
          <w:sz w:val="44"/>
        </w:rPr>
      </w:pPr>
      <w:r w:rsidRPr="008A4954">
        <w:rPr>
          <w:rFonts w:asciiTheme="majorBidi" w:hAnsiTheme="majorBidi" w:cstheme="majorBidi"/>
          <w:b/>
          <w:sz w:val="44"/>
        </w:rPr>
        <w:t>Supplementary Material</w:t>
      </w:r>
    </w:p>
    <w:p w:rsidR="00075972" w:rsidRPr="008A4954" w:rsidRDefault="00075972">
      <w:pPr>
        <w:spacing w:after="200"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8A4954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:rsidR="00286949" w:rsidRPr="008A4954" w:rsidRDefault="00075972" w:rsidP="00AE1511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A4954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Supplementary </w:t>
      </w:r>
      <w:r w:rsidR="00AE1511" w:rsidRPr="008A4954">
        <w:rPr>
          <w:rFonts w:asciiTheme="majorBidi" w:hAnsiTheme="majorBidi" w:cstheme="majorBidi"/>
          <w:b/>
          <w:bCs/>
          <w:sz w:val="20"/>
          <w:szCs w:val="20"/>
        </w:rPr>
        <w:t>T</w:t>
      </w:r>
      <w:r w:rsidRPr="008A4954">
        <w:rPr>
          <w:rFonts w:asciiTheme="majorBidi" w:hAnsiTheme="majorBidi" w:cstheme="majorBidi"/>
          <w:b/>
          <w:bCs/>
          <w:sz w:val="20"/>
          <w:szCs w:val="20"/>
        </w:rPr>
        <w:t>able 1</w:t>
      </w:r>
      <w:r w:rsidR="00286949" w:rsidRPr="008A4954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8A4954">
        <w:rPr>
          <w:rFonts w:asciiTheme="majorBidi" w:hAnsiTheme="majorBidi" w:cstheme="majorBidi"/>
          <w:szCs w:val="20"/>
          <w:lang w:bidi="fa-IR"/>
        </w:rPr>
        <w:t>Comparison of biochemical values in AGEs tertiles in a sex stratified model.</w:t>
      </w:r>
    </w:p>
    <w:tbl>
      <w:tblPr>
        <w:tblStyle w:val="TableGrid"/>
        <w:tblW w:w="96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36"/>
        <w:gridCol w:w="1084"/>
        <w:gridCol w:w="1170"/>
        <w:gridCol w:w="1202"/>
        <w:gridCol w:w="709"/>
        <w:gridCol w:w="1239"/>
        <w:gridCol w:w="1080"/>
        <w:gridCol w:w="1080"/>
        <w:gridCol w:w="630"/>
      </w:tblGrid>
      <w:tr w:rsidR="00A37729" w:rsidRPr="008A4954" w:rsidTr="005B455F">
        <w:trPr>
          <w:trHeight w:val="98"/>
        </w:trPr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</w:tcPr>
          <w:p w:rsidR="00A37729" w:rsidRPr="008A4954" w:rsidRDefault="00A37729" w:rsidP="00C45E4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4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7729" w:rsidRPr="008A4954" w:rsidRDefault="00A37729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40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7729" w:rsidRPr="008A4954" w:rsidRDefault="00286949" w:rsidP="00286949">
            <w:pPr>
              <w:tabs>
                <w:tab w:val="center" w:pos="2007"/>
                <w:tab w:val="left" w:pos="3041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A37729"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</w:t>
            </w: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</w:p>
        </w:tc>
      </w:tr>
      <w:tr w:rsidR="00AE1511" w:rsidRPr="008A4954" w:rsidTr="005B455F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Pr="008A495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511" w:rsidRPr="008A4954" w:rsidRDefault="00AE1511" w:rsidP="00C45E4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Pr="008A495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*</w:t>
            </w:r>
          </w:p>
        </w:tc>
      </w:tr>
      <w:tr w:rsidR="00F64E13" w:rsidRPr="008A4954" w:rsidTr="005B455F"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(y)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43.94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8.82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41.07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9.31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39.50 ± 9.63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41.14 ± 8.38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39.31 ± 8.34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38.75 ± 9.35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0.30</w:t>
            </w:r>
          </w:p>
        </w:tc>
      </w:tr>
      <w:tr w:rsidR="00F64E13" w:rsidRPr="008A4954" w:rsidTr="005B455F"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 (kg/m</w:t>
            </w: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34.47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5.80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33.02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5.31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34.22 ± 4.94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31.82 ± 4.61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31.91 ± 3.70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31.33 ± 4.30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0.69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39.44 ± 8.57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36.11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6.73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40.00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8.91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32.60 ± 8.33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27.84 ± 5.48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28.51 ± 8.26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0.03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WC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105.07 ± 10.41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102.28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9.34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103.09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10.24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109.51 ± 9.35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109.82 ± 8.07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107.59 ± 8.44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0.28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SBP(mmHg)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121.46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14.97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117.85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15.64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121.24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15.71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>0.46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128.39 ± 16.01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120.81 ± 13.54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124.38 ± 19.06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0.03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DBP(mmHg)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83.23 ± 10.99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78.78 ± 11.80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80.44 ± 11.07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83.83 ± 11.03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80.13 ± 10.66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82.56 ± 13.98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0.19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Glucose</w:t>
            </w:r>
            <w:r w:rsidR="009D39C8"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(mg/dl)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93.05 ± 13.29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89.11 ± 11.95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93.22 ± 12.15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94.55 ± 21.57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90.52 ± 11.29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95.75 ± 33.39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0.39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9D39C8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</w:t>
            </w:r>
            <w:r w:rsidR="00F64E13"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(mg/dl)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128.45 ± 37.79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123.57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38.40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color w:val="010205"/>
                <w:sz w:val="14"/>
                <w:szCs w:val="14"/>
              </w:rPr>
              <w:t xml:space="preserve">118.37 </w:t>
            </w:r>
            <w:r w:rsidRPr="008A4954">
              <w:rPr>
                <w:rFonts w:asciiTheme="majorBidi" w:hAnsiTheme="majorBidi" w:cstheme="majorBidi"/>
                <w:sz w:val="14"/>
                <w:szCs w:val="14"/>
              </w:rPr>
              <w:t>± 31.41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122.15 ± 30.16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125.17 ± 27.46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123.02 ± 30.21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0.82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9D39C8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HDL</w:t>
            </w:r>
            <w:r w:rsidR="00F64E13"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(mg/dl)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45.54 ± 10.49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46.76 ± 9.57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48.38 ± 10.04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41.14 ± 8.98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41.89 ± 8.29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40.08 ± 7.71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0.45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9D39C8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Cholesterol</w:t>
            </w:r>
            <w:r w:rsidR="00F64E13"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(mg/dl)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197.27 ± 38.82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190.47 ± 41.99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186.84 ± 38.25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191.82 ± 38.02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192.35 ± 31.72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191.35 ± 35.96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0.98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TG, (mg/dl)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141.78 ± 80.98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119.09 ± 49.07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132.90 ± 83.48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184.82 ± 125.64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146.28 ± 77.89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169.20 ± 106.37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0.10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Insulin</w:t>
            </w:r>
            <w:r w:rsidR="00075972" w:rsidRPr="008A49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075972" w:rsidRPr="008A4954"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  <w:t>(U/mL)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18.73 ± 10.01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15.40 ± 11.31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16.10 ± 11.68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0.41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14.68 ± 13.17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14.89 ± 8.42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16.59 ± 22.01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0.81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HOMA-IR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4.32 ± 2.32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3.55 ± 3.15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3.83 ± 3.11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0.53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3.41 ± 2.70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3.37 ± 2.01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3.99 ± 5.16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0.64</w:t>
            </w:r>
          </w:p>
        </w:tc>
      </w:tr>
      <w:tr w:rsidR="00F64E13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495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QUICKI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0.32 ± 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0.33 ± 0.03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0.33 ± 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0.33 ± 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0.33 ± 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F64E13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0.33 ± 0.04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64E13" w:rsidRPr="008A4954" w:rsidRDefault="00033C06" w:rsidP="00F64E13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0.95</w:t>
            </w:r>
          </w:p>
        </w:tc>
      </w:tr>
      <w:tr w:rsidR="00075972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276" w:lineRule="auto"/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8A4954"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  <w:t>Ag-RP (pg/ml)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28.13 ± 14.28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23.75 ± 9.07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30.25 ± 21.65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31.35 ± 14.43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32.54 ± 20.09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39.36 ± 23.80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0.29</w:t>
            </w:r>
          </w:p>
        </w:tc>
      </w:tr>
      <w:tr w:rsidR="00075972" w:rsidRPr="008A4954" w:rsidTr="005B455F"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B351EE" w:rsidP="00075972">
            <w:pPr>
              <w:spacing w:line="276" w:lineRule="auto"/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8A4954"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  <w:t>α</w:t>
            </w:r>
            <w:r w:rsidR="00075972" w:rsidRPr="008A4954">
              <w:rPr>
                <w:rStyle w:val="A3"/>
                <w:rFonts w:asciiTheme="majorBidi" w:hAnsiTheme="majorBidi" w:cstheme="majorBidi"/>
                <w:color w:val="auto"/>
                <w:sz w:val="18"/>
                <w:szCs w:val="18"/>
              </w:rPr>
              <w:t>-MSH (ng/L)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211. ± 150.21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163.44 ± 96.10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228.66 ± 193.54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182.62 ± 116.85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225.28 ± 171.99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277.90 ± 209.41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75972" w:rsidRPr="008A4954" w:rsidRDefault="00075972" w:rsidP="00075972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8A4954">
              <w:rPr>
                <w:rFonts w:asciiTheme="majorBidi" w:hAnsiTheme="majorBidi" w:cstheme="majorBidi"/>
                <w:sz w:val="14"/>
                <w:szCs w:val="14"/>
              </w:rPr>
              <w:t>0.17</w:t>
            </w:r>
          </w:p>
        </w:tc>
      </w:tr>
    </w:tbl>
    <w:p w:rsidR="00D64964" w:rsidRPr="008A4954" w:rsidRDefault="00A37729" w:rsidP="000759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</w:rPr>
      </w:pPr>
      <w:r w:rsidRPr="008A4954">
        <w:rPr>
          <w:rFonts w:asciiTheme="majorBidi" w:hAnsiTheme="majorBidi" w:cstheme="majorBidi"/>
          <w:sz w:val="18"/>
          <w:szCs w:val="18"/>
        </w:rPr>
        <w:t>Data are presented as mean (SD).</w:t>
      </w:r>
      <w:r w:rsidRPr="008A4954">
        <w:rPr>
          <w:rFonts w:ascii="AdvOT863180fb" w:hAnsi="AdvOT863180fb" w:cs="AdvOT863180fb"/>
          <w:sz w:val="18"/>
          <w:szCs w:val="18"/>
        </w:rPr>
        <w:t>*</w:t>
      </w:r>
      <w:r w:rsidRPr="008A4954">
        <w:rPr>
          <w:rFonts w:asciiTheme="majorBidi" w:hAnsiTheme="majorBidi" w:cstheme="majorBidi"/>
          <w:sz w:val="18"/>
          <w:szCs w:val="18"/>
        </w:rPr>
        <w:t>Analysis of variance for continuous variables and χ</w:t>
      </w:r>
      <w:r w:rsidRPr="008A4954">
        <w:rPr>
          <w:rFonts w:asciiTheme="majorBidi" w:hAnsiTheme="majorBidi" w:cstheme="majorBidi"/>
          <w:sz w:val="18"/>
          <w:szCs w:val="18"/>
          <w:vertAlign w:val="superscript"/>
        </w:rPr>
        <w:t xml:space="preserve">2 </w:t>
      </w:r>
      <w:r w:rsidRPr="008A4954">
        <w:rPr>
          <w:rFonts w:asciiTheme="majorBidi" w:hAnsiTheme="majorBidi" w:cstheme="majorBidi"/>
          <w:sz w:val="18"/>
          <w:szCs w:val="18"/>
        </w:rPr>
        <w:t>test for categorical variables. Abbreviations: BMI, body mass index; WC, waist circumference;</w:t>
      </w:r>
      <w:r w:rsidR="002F7A4A" w:rsidRPr="008A4954">
        <w:rPr>
          <w:rFonts w:asciiTheme="majorBidi" w:hAnsiTheme="majorBidi" w:cstheme="majorBidi"/>
          <w:sz w:val="18"/>
          <w:szCs w:val="18"/>
        </w:rPr>
        <w:t xml:space="preserve"> </w:t>
      </w:r>
      <w:r w:rsidRPr="008A4954">
        <w:rPr>
          <w:rFonts w:asciiTheme="majorBidi" w:hAnsiTheme="majorBidi" w:cstheme="majorBidi"/>
          <w:sz w:val="18"/>
          <w:szCs w:val="18"/>
        </w:rPr>
        <w:t xml:space="preserve">SBP, systolic blood pressure; DBP, diastolic blood pressure; LDL-C, low density lipoprotein cholesterol; HDL, high-density lipoprotein; TG, triglyceride; HOMA-IR, homeostasis model assessment of insulin resistance; QUICKI, quantitative insulin sensitivity check index; AgRP, agouti-related protein; α-MSH, alpha </w:t>
      </w:r>
      <w:r w:rsidR="00286949" w:rsidRPr="008A4954">
        <w:rPr>
          <w:rFonts w:asciiTheme="majorBidi" w:hAnsiTheme="majorBidi" w:cstheme="majorBidi"/>
          <w:sz w:val="18"/>
          <w:szCs w:val="18"/>
        </w:rPr>
        <w:t>melanocyte stimulating hormone.</w:t>
      </w:r>
    </w:p>
    <w:p w:rsidR="00D64964" w:rsidRPr="008A4954" w:rsidRDefault="00D64964">
      <w:pPr>
        <w:spacing w:after="200" w:line="276" w:lineRule="auto"/>
        <w:rPr>
          <w:rFonts w:asciiTheme="majorBidi" w:hAnsiTheme="majorBidi" w:cstheme="majorBidi"/>
          <w:sz w:val="18"/>
          <w:szCs w:val="18"/>
        </w:rPr>
      </w:pPr>
      <w:r w:rsidRPr="008A4954">
        <w:rPr>
          <w:rFonts w:asciiTheme="majorBidi" w:hAnsiTheme="majorBidi" w:cstheme="majorBidi"/>
          <w:sz w:val="18"/>
          <w:szCs w:val="18"/>
        </w:rPr>
        <w:br w:type="page"/>
      </w:r>
    </w:p>
    <w:p w:rsidR="00B65BED" w:rsidRPr="008A4954" w:rsidRDefault="00D64964" w:rsidP="00D649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</w:rPr>
      </w:pPr>
      <w:r w:rsidRPr="008A4954">
        <w:rPr>
          <w:rFonts w:asciiTheme="majorBidi" w:hAnsiTheme="majorBidi" w:cstheme="majorBidi"/>
          <w:noProof/>
          <w:sz w:val="18"/>
          <w:szCs w:val="18"/>
        </w:rPr>
        <w:lastRenderedPageBreak/>
        <w:drawing>
          <wp:inline distT="0" distB="0" distL="0" distR="0" wp14:anchorId="1711A2BE" wp14:editId="1A9D12DD">
            <wp:extent cx="2405799" cy="2011164"/>
            <wp:effectExtent l="0" t="0" r="0" b="8255"/>
            <wp:docPr id="3" name="Picture 3" descr="C:\Users\Mahmoudi\OneDrive\Desktop\20210219_15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hmoudi\OneDrive\Desktop\20210219_151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47" cy="203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4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16E978D6" wp14:editId="15CD6756">
            <wp:extent cx="2351100" cy="2017725"/>
            <wp:effectExtent l="0" t="0" r="0" b="1905"/>
            <wp:docPr id="2" name="Picture 2" descr="C:\Users\Mahmoudi\OneDrive\Desktop\20210219_15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hmoudi\OneDrive\Desktop\20210219_151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06" cy="203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4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1EEDAA38" wp14:editId="1EA7F792">
            <wp:extent cx="2405380" cy="2010069"/>
            <wp:effectExtent l="0" t="0" r="0" b="9525"/>
            <wp:docPr id="1" name="Picture 1" descr="C:\Users\Mahmoudi\OneDrive\Desktop\20210219_15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moudi\OneDrive\Desktop\20210219_151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41" cy="205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4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3267C5C4" wp14:editId="521ABA02">
            <wp:extent cx="2381250" cy="2018768"/>
            <wp:effectExtent l="0" t="0" r="0" b="635"/>
            <wp:docPr id="4" name="Picture 4" descr="C:\Users\Mahmoudi\OneDrive\Desktop\20210219_15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hmoudi\OneDrive\Desktop\20210219_1515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27" cy="20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BED" w:rsidRPr="008A4954" w:rsidRDefault="00B65BED" w:rsidP="00B65BED">
      <w:pPr>
        <w:rPr>
          <w:rFonts w:asciiTheme="majorBidi" w:hAnsiTheme="majorBidi" w:cstheme="majorBidi"/>
          <w:sz w:val="18"/>
          <w:szCs w:val="18"/>
        </w:rPr>
      </w:pPr>
    </w:p>
    <w:p w:rsidR="00B65BED" w:rsidRPr="005B455F" w:rsidRDefault="00B65BED" w:rsidP="00B65B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8A4954">
        <w:rPr>
          <w:rFonts w:asciiTheme="majorBidi" w:hAnsiTheme="majorBidi" w:cstheme="majorBidi"/>
          <w:b/>
          <w:bCs/>
        </w:rPr>
        <w:t xml:space="preserve">Supplementary Figure 1. </w:t>
      </w:r>
      <w:r w:rsidR="005B455F" w:rsidRPr="008A4954">
        <w:rPr>
          <w:rFonts w:asciiTheme="majorBidi" w:hAnsiTheme="majorBidi" w:cstheme="majorBidi"/>
          <w:b/>
          <w:bCs/>
        </w:rPr>
        <w:t xml:space="preserve">PCR analysis of multiple exposures for </w:t>
      </w:r>
      <w:r w:rsidR="005B455F" w:rsidRPr="008A4954">
        <w:rPr>
          <w:rFonts w:asciiTheme="majorBidi" w:hAnsiTheme="majorBidi" w:cstheme="majorBidi"/>
          <w:lang w:bidi="fa-IR"/>
        </w:rPr>
        <w:t>rs174583 polymorphism</w:t>
      </w:r>
      <w:bookmarkStart w:id="0" w:name="_GoBack"/>
      <w:bookmarkEnd w:id="0"/>
      <w:r w:rsidR="005B455F" w:rsidRPr="005B455F">
        <w:rPr>
          <w:rFonts w:asciiTheme="majorBidi" w:hAnsiTheme="majorBidi" w:cstheme="majorBidi"/>
          <w:lang w:bidi="fa-IR"/>
        </w:rPr>
        <w:t xml:space="preserve"> </w:t>
      </w:r>
    </w:p>
    <w:p w:rsidR="00D64964" w:rsidRPr="00B65BED" w:rsidRDefault="00D64964" w:rsidP="00B65BED">
      <w:pPr>
        <w:rPr>
          <w:rFonts w:asciiTheme="majorBidi" w:hAnsiTheme="majorBidi" w:cstheme="majorBidi"/>
          <w:sz w:val="18"/>
          <w:szCs w:val="18"/>
        </w:rPr>
      </w:pPr>
    </w:p>
    <w:sectPr w:rsidR="00D64964" w:rsidRPr="00B65BED" w:rsidSect="00C040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8AC" w:rsidRDefault="00F268AC" w:rsidP="00286949">
      <w:pPr>
        <w:spacing w:after="0" w:line="240" w:lineRule="auto"/>
      </w:pPr>
      <w:r>
        <w:separator/>
      </w:r>
    </w:p>
  </w:endnote>
  <w:endnote w:type="continuationSeparator" w:id="0">
    <w:p w:rsidR="00F268AC" w:rsidRDefault="00F268AC" w:rsidP="0028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8AC" w:rsidRDefault="00F268AC" w:rsidP="00286949">
      <w:pPr>
        <w:spacing w:after="0" w:line="240" w:lineRule="auto"/>
      </w:pPr>
      <w:r>
        <w:separator/>
      </w:r>
    </w:p>
  </w:footnote>
  <w:footnote w:type="continuationSeparator" w:id="0">
    <w:p w:rsidR="00F268AC" w:rsidRDefault="00F268AC" w:rsidP="00286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29"/>
    <w:rsid w:val="00033C06"/>
    <w:rsid w:val="00075972"/>
    <w:rsid w:val="00091F15"/>
    <w:rsid w:val="0020120B"/>
    <w:rsid w:val="002127E7"/>
    <w:rsid w:val="00286949"/>
    <w:rsid w:val="002A3935"/>
    <w:rsid w:val="002D6EFE"/>
    <w:rsid w:val="002F7A4A"/>
    <w:rsid w:val="00397444"/>
    <w:rsid w:val="003E335B"/>
    <w:rsid w:val="003E35CE"/>
    <w:rsid w:val="00417A44"/>
    <w:rsid w:val="004C27A5"/>
    <w:rsid w:val="004D03ED"/>
    <w:rsid w:val="00524A48"/>
    <w:rsid w:val="005A7528"/>
    <w:rsid w:val="005B455F"/>
    <w:rsid w:val="00611C73"/>
    <w:rsid w:val="00630FBA"/>
    <w:rsid w:val="00681D1D"/>
    <w:rsid w:val="006E6BC1"/>
    <w:rsid w:val="007375F0"/>
    <w:rsid w:val="00746244"/>
    <w:rsid w:val="00746978"/>
    <w:rsid w:val="008A4954"/>
    <w:rsid w:val="008B5178"/>
    <w:rsid w:val="008C0715"/>
    <w:rsid w:val="00930EDE"/>
    <w:rsid w:val="00946FB6"/>
    <w:rsid w:val="009D39C8"/>
    <w:rsid w:val="00A37729"/>
    <w:rsid w:val="00A91A16"/>
    <w:rsid w:val="00A93752"/>
    <w:rsid w:val="00AE1511"/>
    <w:rsid w:val="00B351EE"/>
    <w:rsid w:val="00B65BED"/>
    <w:rsid w:val="00BC0414"/>
    <w:rsid w:val="00BD19C2"/>
    <w:rsid w:val="00C040DF"/>
    <w:rsid w:val="00CC171E"/>
    <w:rsid w:val="00CD2C4F"/>
    <w:rsid w:val="00CE780B"/>
    <w:rsid w:val="00D64964"/>
    <w:rsid w:val="00DC765A"/>
    <w:rsid w:val="00E516DF"/>
    <w:rsid w:val="00EE523E"/>
    <w:rsid w:val="00F268AC"/>
    <w:rsid w:val="00F64E13"/>
    <w:rsid w:val="00F85DF7"/>
    <w:rsid w:val="00FC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746BD4-10E4-420C-B9D8-82D9136F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72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72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86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949"/>
  </w:style>
  <w:style w:type="paragraph" w:styleId="Footer">
    <w:name w:val="footer"/>
    <w:basedOn w:val="Normal"/>
    <w:link w:val="FooterChar"/>
    <w:uiPriority w:val="99"/>
    <w:semiHidden/>
    <w:unhideWhenUsed/>
    <w:rsid w:val="00286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949"/>
  </w:style>
  <w:style w:type="character" w:customStyle="1" w:styleId="A3">
    <w:name w:val="A3"/>
    <w:uiPriority w:val="99"/>
    <w:rsid w:val="00075972"/>
    <w:rPr>
      <w:rFonts w:cs="Helvetica Neue"/>
      <w:b/>
      <w:bCs/>
      <w:color w:val="8070B4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D19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hghan.nut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bbasalizadm@tbzmed.ac.ir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basalizad_m@yahoo.com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10</cp:revision>
  <dcterms:created xsi:type="dcterms:W3CDTF">2021-06-10T19:53:00Z</dcterms:created>
  <dcterms:modified xsi:type="dcterms:W3CDTF">2021-06-26T07:01:00Z</dcterms:modified>
</cp:coreProperties>
</file>