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054FDC" w14:textId="4AF4B143" w:rsidR="004A10BE" w:rsidRPr="00FD2DD0" w:rsidRDefault="00382687" w:rsidP="0098320F">
      <w:pPr>
        <w:jc w:val="center"/>
        <w:rPr>
          <w:rFonts w:ascii="Arial" w:hAnsi="Arial" w:cs="Arial"/>
          <w:b/>
          <w:sz w:val="24"/>
          <w:szCs w:val="24"/>
        </w:rPr>
      </w:pPr>
      <w:r w:rsidRPr="00FD2DD0">
        <w:rPr>
          <w:rFonts w:ascii="Arial" w:hAnsi="Arial" w:cs="Arial"/>
          <w:b/>
          <w:sz w:val="24"/>
          <w:szCs w:val="24"/>
        </w:rPr>
        <w:t>SUPPLEMENTARY MATERIALS FOR</w:t>
      </w:r>
    </w:p>
    <w:p w14:paraId="17B5CAF8" w14:textId="77777777" w:rsidR="00382687" w:rsidRPr="00FD2DD0" w:rsidRDefault="00382687" w:rsidP="0098320F">
      <w:pPr>
        <w:jc w:val="both"/>
        <w:rPr>
          <w:rFonts w:ascii="Arial" w:hAnsi="Arial" w:cs="Arial"/>
          <w:b/>
          <w:sz w:val="24"/>
          <w:szCs w:val="24"/>
        </w:rPr>
      </w:pPr>
    </w:p>
    <w:p w14:paraId="0B58673D" w14:textId="571279BA" w:rsidR="004A10BE" w:rsidRDefault="00BE28B9" w:rsidP="0098320F">
      <w:pPr>
        <w:pStyle w:val="Head"/>
        <w:spacing w:before="0" w:after="0"/>
        <w:jc w:val="left"/>
        <w:rPr>
          <w:rFonts w:ascii="Arial" w:hAnsi="Arial" w:cs="Arial"/>
          <w:b w:val="0"/>
          <w:sz w:val="24"/>
          <w:szCs w:val="24"/>
        </w:rPr>
      </w:pPr>
      <w:r w:rsidRPr="00BE28B9">
        <w:rPr>
          <w:rFonts w:ascii="Arial" w:hAnsi="Arial" w:cs="Arial"/>
          <w:b w:val="0"/>
          <w:sz w:val="24"/>
          <w:szCs w:val="24"/>
        </w:rPr>
        <w:t xml:space="preserve">Elexacaftor </w:t>
      </w:r>
      <w:r w:rsidR="00186DCD">
        <w:rPr>
          <w:rFonts w:ascii="Arial" w:hAnsi="Arial" w:cs="Arial"/>
          <w:b w:val="0"/>
          <w:sz w:val="24"/>
          <w:szCs w:val="24"/>
        </w:rPr>
        <w:t>is</w:t>
      </w:r>
      <w:r w:rsidR="00186DCD" w:rsidRPr="00BE28B9">
        <w:rPr>
          <w:rFonts w:ascii="Arial" w:hAnsi="Arial" w:cs="Arial"/>
          <w:b w:val="0"/>
          <w:sz w:val="24"/>
          <w:szCs w:val="24"/>
        </w:rPr>
        <w:t xml:space="preserve"> </w:t>
      </w:r>
      <w:r w:rsidRPr="00BE28B9">
        <w:rPr>
          <w:rFonts w:ascii="Arial" w:hAnsi="Arial" w:cs="Arial"/>
          <w:b w:val="0"/>
          <w:sz w:val="24"/>
          <w:szCs w:val="24"/>
        </w:rPr>
        <w:t>a CFTR potentiator</w:t>
      </w:r>
      <w:r w:rsidR="00E97871">
        <w:rPr>
          <w:rFonts w:ascii="Arial" w:hAnsi="Arial" w:cs="Arial"/>
          <w:b w:val="0"/>
          <w:sz w:val="24"/>
          <w:szCs w:val="24"/>
        </w:rPr>
        <w:t xml:space="preserve"> </w:t>
      </w:r>
      <w:r w:rsidR="00B81F5B">
        <w:rPr>
          <w:rFonts w:ascii="Arial" w:hAnsi="Arial" w:cs="Arial"/>
          <w:b w:val="0"/>
          <w:sz w:val="24"/>
          <w:szCs w:val="24"/>
        </w:rPr>
        <w:t>and</w:t>
      </w:r>
      <w:r w:rsidR="00E97871">
        <w:rPr>
          <w:rFonts w:ascii="Arial" w:hAnsi="Arial" w:cs="Arial"/>
          <w:b w:val="0"/>
          <w:sz w:val="24"/>
          <w:szCs w:val="24"/>
        </w:rPr>
        <w:t xml:space="preserve"> acts synergistically </w:t>
      </w:r>
      <w:r w:rsidRPr="00BE28B9">
        <w:rPr>
          <w:rFonts w:ascii="Arial" w:hAnsi="Arial" w:cs="Arial"/>
          <w:b w:val="0"/>
          <w:sz w:val="24"/>
          <w:szCs w:val="24"/>
        </w:rPr>
        <w:t xml:space="preserve">with ivacaftor during acute and chronic </w:t>
      </w:r>
      <w:r w:rsidR="00186DCD">
        <w:rPr>
          <w:rFonts w:ascii="Arial" w:hAnsi="Arial" w:cs="Arial"/>
          <w:b w:val="0"/>
          <w:sz w:val="24"/>
          <w:szCs w:val="24"/>
        </w:rPr>
        <w:t>treatment</w:t>
      </w:r>
    </w:p>
    <w:p w14:paraId="3A04B197" w14:textId="77777777" w:rsidR="00BE28B9" w:rsidRPr="00FD2DD0" w:rsidRDefault="00BE28B9" w:rsidP="0098320F">
      <w:pPr>
        <w:pStyle w:val="Head"/>
        <w:spacing w:before="0" w:after="0"/>
        <w:jc w:val="left"/>
        <w:rPr>
          <w:rFonts w:ascii="Arial" w:hAnsi="Arial" w:cs="Arial"/>
          <w:sz w:val="24"/>
          <w:szCs w:val="24"/>
        </w:rPr>
      </w:pPr>
    </w:p>
    <w:p w14:paraId="597D354C" w14:textId="37F103FD" w:rsidR="004A10BE" w:rsidRPr="00FD2DD0" w:rsidRDefault="00521E20" w:rsidP="0098320F">
      <w:pPr>
        <w:pStyle w:val="Teaser"/>
        <w:spacing w:before="0"/>
        <w:rPr>
          <w:rFonts w:ascii="Arial" w:hAnsi="Arial" w:cs="Arial"/>
        </w:rPr>
      </w:pPr>
      <w:r w:rsidRPr="00FD2DD0">
        <w:rPr>
          <w:rFonts w:ascii="Arial" w:hAnsi="Arial" w:cs="Arial"/>
        </w:rPr>
        <w:t>Ciaran A. Shaughnessy</w:t>
      </w:r>
      <w:r w:rsidR="004A10BE" w:rsidRPr="00FD2DD0">
        <w:rPr>
          <w:rFonts w:ascii="Arial" w:hAnsi="Arial" w:cs="Arial"/>
          <w:vertAlign w:val="superscript"/>
        </w:rPr>
        <w:t>1</w:t>
      </w:r>
      <w:r w:rsidR="00552069" w:rsidRPr="00FD2DD0">
        <w:rPr>
          <w:rFonts w:ascii="Arial" w:hAnsi="Arial" w:cs="Arial"/>
        </w:rPr>
        <w:t xml:space="preserve">*, </w:t>
      </w:r>
      <w:r w:rsidRPr="00FD2DD0">
        <w:rPr>
          <w:rFonts w:ascii="Arial" w:hAnsi="Arial" w:cs="Arial"/>
        </w:rPr>
        <w:t>Pamela L. Zeitlin</w:t>
      </w:r>
      <w:r w:rsidR="004A10BE" w:rsidRPr="00FD2DD0">
        <w:rPr>
          <w:rFonts w:ascii="Arial" w:hAnsi="Arial" w:cs="Arial"/>
          <w:vertAlign w:val="superscript"/>
        </w:rPr>
        <w:t>1,2</w:t>
      </w:r>
      <w:r w:rsidR="00552069" w:rsidRPr="00FD2DD0">
        <w:rPr>
          <w:rFonts w:ascii="Arial" w:hAnsi="Arial" w:cs="Arial"/>
        </w:rPr>
        <w:t xml:space="preserve">, </w:t>
      </w:r>
      <w:r w:rsidRPr="00FD2DD0">
        <w:rPr>
          <w:rFonts w:ascii="Arial" w:hAnsi="Arial" w:cs="Arial"/>
        </w:rPr>
        <w:t>Preston E. Bratcher</w:t>
      </w:r>
      <w:r w:rsidRPr="00FD2DD0">
        <w:rPr>
          <w:rFonts w:ascii="Arial" w:hAnsi="Arial" w:cs="Arial"/>
          <w:vertAlign w:val="superscript"/>
        </w:rPr>
        <w:t>1,2</w:t>
      </w:r>
    </w:p>
    <w:p w14:paraId="1ED271E7" w14:textId="77777777" w:rsidR="00382687" w:rsidRPr="00FD2DD0" w:rsidRDefault="00382687" w:rsidP="0098320F">
      <w:pPr>
        <w:pStyle w:val="Paragraph"/>
        <w:spacing w:before="0"/>
        <w:ind w:firstLine="0"/>
        <w:rPr>
          <w:rFonts w:ascii="Arial" w:hAnsi="Arial" w:cs="Arial"/>
          <w:b/>
        </w:rPr>
      </w:pPr>
    </w:p>
    <w:p w14:paraId="1460B578" w14:textId="5F96E652" w:rsidR="00AE3304" w:rsidRPr="00FD2DD0" w:rsidRDefault="004A10BE" w:rsidP="0098320F">
      <w:pPr>
        <w:pStyle w:val="Paragraph"/>
        <w:spacing w:before="0"/>
        <w:ind w:firstLine="0"/>
        <w:rPr>
          <w:rFonts w:ascii="Arial" w:hAnsi="Arial" w:cs="Arial"/>
        </w:rPr>
      </w:pPr>
      <w:r w:rsidRPr="00FD2DD0">
        <w:rPr>
          <w:rFonts w:ascii="Arial" w:hAnsi="Arial" w:cs="Arial"/>
          <w:vertAlign w:val="superscript"/>
        </w:rPr>
        <w:t>1</w:t>
      </w:r>
      <w:r w:rsidR="00521E20" w:rsidRPr="00FD2DD0">
        <w:rPr>
          <w:rFonts w:ascii="Arial" w:hAnsi="Arial" w:cs="Arial"/>
        </w:rPr>
        <w:t>Department of Pediatrics, National Jewish Health; Denver, CO.</w:t>
      </w:r>
    </w:p>
    <w:p w14:paraId="4F3B2867" w14:textId="23C3D031" w:rsidR="00521E20" w:rsidRPr="00FD2DD0" w:rsidRDefault="004A10BE" w:rsidP="0098320F">
      <w:pPr>
        <w:pStyle w:val="Paragraph"/>
        <w:spacing w:before="0"/>
        <w:ind w:firstLine="0"/>
        <w:rPr>
          <w:rFonts w:ascii="Arial" w:hAnsi="Arial" w:cs="Arial"/>
        </w:rPr>
      </w:pPr>
      <w:r w:rsidRPr="00FD2DD0">
        <w:rPr>
          <w:rFonts w:ascii="Arial" w:hAnsi="Arial" w:cs="Arial"/>
          <w:vertAlign w:val="superscript"/>
        </w:rPr>
        <w:t>2</w:t>
      </w:r>
      <w:r w:rsidR="00521E20" w:rsidRPr="00FD2DD0">
        <w:rPr>
          <w:rFonts w:ascii="Arial" w:hAnsi="Arial" w:cs="Arial"/>
        </w:rPr>
        <w:t xml:space="preserve"> Department of Pediatrics, University of Colorado Anschutz Medical Center; Aurora, CO</w:t>
      </w:r>
    </w:p>
    <w:p w14:paraId="7EF9E7DC" w14:textId="5069B25F" w:rsidR="00382687" w:rsidRPr="00FD2DD0" w:rsidRDefault="004A10BE" w:rsidP="0098320F">
      <w:pPr>
        <w:pStyle w:val="Paragraph"/>
        <w:spacing w:before="0"/>
        <w:ind w:firstLine="0"/>
        <w:rPr>
          <w:rFonts w:ascii="Arial" w:hAnsi="Arial" w:cs="Arial"/>
        </w:rPr>
      </w:pPr>
      <w:r w:rsidRPr="00FD2DD0">
        <w:rPr>
          <w:rFonts w:ascii="Arial" w:hAnsi="Arial" w:cs="Arial"/>
        </w:rPr>
        <w:t>*</w:t>
      </w:r>
      <w:r w:rsidR="007B2757" w:rsidRPr="00FD2DD0">
        <w:rPr>
          <w:rFonts w:ascii="Arial" w:hAnsi="Arial" w:cs="Arial"/>
        </w:rPr>
        <w:t>Corresponding author. Email</w:t>
      </w:r>
      <w:r w:rsidR="00521E20" w:rsidRPr="00FD2DD0">
        <w:rPr>
          <w:rFonts w:ascii="Arial" w:hAnsi="Arial" w:cs="Arial"/>
        </w:rPr>
        <w:t>: ShaughnessyC@NJHealth.org</w:t>
      </w:r>
      <w:r w:rsidRPr="00FD2DD0">
        <w:rPr>
          <w:rFonts w:ascii="Arial" w:hAnsi="Arial" w:cs="Arial"/>
        </w:rPr>
        <w:t>.</w:t>
      </w:r>
      <w:r w:rsidR="00382687" w:rsidRPr="00FD2DD0">
        <w:rPr>
          <w:rFonts w:ascii="Arial" w:hAnsi="Arial" w:cs="Arial"/>
          <w:b/>
        </w:rPr>
        <w:br w:type="page"/>
      </w:r>
    </w:p>
    <w:p w14:paraId="21F94727" w14:textId="607DF652" w:rsidR="008573F1" w:rsidRDefault="00FD2DD0" w:rsidP="0098320F">
      <w:pPr>
        <w:pStyle w:val="Paragraph"/>
        <w:spacing w:before="0"/>
        <w:ind w:firstLine="0"/>
        <w:jc w:val="center"/>
        <w:rPr>
          <w:rFonts w:ascii="Arial" w:hAnsi="Arial" w:cs="Arial"/>
          <w:b/>
        </w:rPr>
      </w:pPr>
      <w:r>
        <w:rPr>
          <w:rFonts w:ascii="Arial" w:hAnsi="Arial" w:cs="Arial"/>
          <w:b/>
        </w:rPr>
        <w:lastRenderedPageBreak/>
        <w:t xml:space="preserve">LIST OF </w:t>
      </w:r>
      <w:r w:rsidR="006359E6" w:rsidRPr="00FD2DD0">
        <w:rPr>
          <w:rFonts w:ascii="Arial" w:hAnsi="Arial" w:cs="Arial"/>
          <w:b/>
        </w:rPr>
        <w:t>SUPPLEMENTARY MATERIALS</w:t>
      </w:r>
    </w:p>
    <w:p w14:paraId="5B5FA3CB" w14:textId="77777777" w:rsidR="0098320F" w:rsidRPr="00FD2DD0" w:rsidRDefault="0098320F" w:rsidP="0098320F">
      <w:pPr>
        <w:pStyle w:val="Paragraph"/>
        <w:spacing w:before="0"/>
        <w:ind w:firstLine="0"/>
        <w:jc w:val="both"/>
        <w:rPr>
          <w:rFonts w:ascii="Arial" w:hAnsi="Arial" w:cs="Arial"/>
          <w:b/>
        </w:rPr>
      </w:pPr>
    </w:p>
    <w:p w14:paraId="42C4251F" w14:textId="295AFEFA" w:rsidR="001A3BF2" w:rsidRPr="00FD2DD0" w:rsidRDefault="001A3BF2" w:rsidP="0098320F">
      <w:pPr>
        <w:pStyle w:val="Paragraph"/>
        <w:spacing w:before="0"/>
        <w:ind w:firstLine="0"/>
        <w:rPr>
          <w:rFonts w:ascii="Arial" w:hAnsi="Arial" w:cs="Arial"/>
        </w:rPr>
      </w:pPr>
      <w:r w:rsidRPr="00FD2DD0">
        <w:rPr>
          <w:rFonts w:ascii="Arial" w:hAnsi="Arial" w:cs="Arial"/>
        </w:rPr>
        <w:t xml:space="preserve">Supplementary </w:t>
      </w:r>
      <w:r w:rsidR="00FD2DD0">
        <w:rPr>
          <w:rFonts w:ascii="Arial" w:hAnsi="Arial" w:cs="Arial"/>
        </w:rPr>
        <w:t>Text</w:t>
      </w:r>
    </w:p>
    <w:p w14:paraId="6356CAB4" w14:textId="22EFADE7" w:rsidR="00C917E9" w:rsidRPr="00FD2DD0" w:rsidRDefault="001A3BF2" w:rsidP="0098320F">
      <w:pPr>
        <w:pStyle w:val="Paragraph"/>
        <w:spacing w:before="0"/>
        <w:ind w:firstLine="0"/>
        <w:rPr>
          <w:rFonts w:ascii="Arial" w:hAnsi="Arial" w:cs="Arial"/>
        </w:rPr>
      </w:pPr>
      <w:r w:rsidRPr="00FD2DD0">
        <w:rPr>
          <w:rFonts w:ascii="Arial" w:hAnsi="Arial" w:cs="Arial"/>
        </w:rPr>
        <w:t xml:space="preserve">Supplementary </w:t>
      </w:r>
      <w:r w:rsidR="008573F1" w:rsidRPr="00FD2DD0">
        <w:rPr>
          <w:rFonts w:ascii="Arial" w:hAnsi="Arial" w:cs="Arial"/>
        </w:rPr>
        <w:t>Materials and Methods</w:t>
      </w:r>
    </w:p>
    <w:p w14:paraId="542BEDED" w14:textId="77777777" w:rsidR="001A3BF2" w:rsidRPr="00FD2DD0" w:rsidRDefault="001A3BF2" w:rsidP="0098320F">
      <w:pPr>
        <w:pStyle w:val="Paragraph"/>
        <w:spacing w:before="0"/>
        <w:ind w:firstLine="0"/>
        <w:rPr>
          <w:rFonts w:ascii="Arial" w:hAnsi="Arial" w:cs="Arial"/>
        </w:rPr>
      </w:pPr>
      <w:r w:rsidRPr="00FD2DD0">
        <w:rPr>
          <w:rFonts w:ascii="Arial" w:hAnsi="Arial" w:cs="Arial"/>
        </w:rPr>
        <w:t>Figure S1: Dose-response curve of I</w:t>
      </w:r>
      <w:r w:rsidRPr="00FD2DD0">
        <w:rPr>
          <w:rFonts w:ascii="Arial" w:hAnsi="Arial" w:cs="Arial"/>
          <w:vertAlign w:val="subscript"/>
        </w:rPr>
        <w:t>t</w:t>
      </w:r>
      <w:r w:rsidRPr="00FD2DD0">
        <w:rPr>
          <w:rFonts w:ascii="Arial" w:hAnsi="Arial" w:cs="Arial"/>
        </w:rPr>
        <w:t xml:space="preserve"> in non-CF HNE acutely titrated with elexacaftor (VX-445) or other established CFTR potentiators. </w:t>
      </w:r>
    </w:p>
    <w:p w14:paraId="6D9F03AF" w14:textId="75254D6F" w:rsidR="001A3BF2" w:rsidRPr="00FD2DD0" w:rsidRDefault="001A3BF2" w:rsidP="0098320F">
      <w:pPr>
        <w:pStyle w:val="Paragraph"/>
        <w:spacing w:before="0"/>
        <w:ind w:firstLine="0"/>
        <w:rPr>
          <w:rFonts w:ascii="Arial" w:hAnsi="Arial" w:cs="Arial"/>
        </w:rPr>
      </w:pPr>
      <w:r w:rsidRPr="00FD2DD0">
        <w:rPr>
          <w:rFonts w:ascii="Arial" w:hAnsi="Arial" w:cs="Arial"/>
        </w:rPr>
        <w:t>Figure S2: Supporting data corresponding to main text Fig. 1.</w:t>
      </w:r>
    </w:p>
    <w:p w14:paraId="33189323" w14:textId="5F836AFD" w:rsidR="001A3BF2" w:rsidRPr="00FD2DD0" w:rsidRDefault="001A3BF2" w:rsidP="0098320F">
      <w:pPr>
        <w:pStyle w:val="Paragraph"/>
        <w:spacing w:before="0"/>
        <w:ind w:firstLine="0"/>
        <w:rPr>
          <w:rFonts w:ascii="Arial" w:hAnsi="Arial" w:cs="Arial"/>
        </w:rPr>
      </w:pPr>
      <w:r w:rsidRPr="00FD2DD0">
        <w:rPr>
          <w:rFonts w:ascii="Arial" w:hAnsi="Arial" w:cs="Arial"/>
        </w:rPr>
        <w:t>Figure S3: Supporting data corresponding to main text Fig. 2.</w:t>
      </w:r>
    </w:p>
    <w:p w14:paraId="4FAC448D" w14:textId="63743CDF" w:rsidR="001A3BF2" w:rsidRPr="00FD2DD0" w:rsidRDefault="001A3BF2" w:rsidP="0098320F">
      <w:pPr>
        <w:pStyle w:val="Paragraph"/>
        <w:spacing w:before="0"/>
        <w:ind w:firstLine="0"/>
        <w:rPr>
          <w:rFonts w:ascii="Arial" w:hAnsi="Arial" w:cs="Arial"/>
        </w:rPr>
      </w:pPr>
      <w:r w:rsidRPr="00FD2DD0">
        <w:rPr>
          <w:rFonts w:ascii="Arial" w:hAnsi="Arial" w:cs="Arial"/>
        </w:rPr>
        <w:t>Figure S4: Acute and chronic actions of elexacaftor (VX-445) in WT- and F508del-FRT cell cultures.</w:t>
      </w:r>
    </w:p>
    <w:p w14:paraId="7D50315E" w14:textId="6A7C7E05" w:rsidR="001A3BF2" w:rsidRPr="00FD2DD0" w:rsidRDefault="001A3BF2" w:rsidP="0098320F">
      <w:pPr>
        <w:pStyle w:val="Paragraph"/>
        <w:spacing w:before="0"/>
        <w:ind w:firstLine="0"/>
        <w:rPr>
          <w:rFonts w:ascii="Arial" w:hAnsi="Arial" w:cs="Arial"/>
        </w:rPr>
      </w:pPr>
      <w:r w:rsidRPr="00FD2DD0">
        <w:rPr>
          <w:rFonts w:ascii="Arial" w:hAnsi="Arial" w:cs="Arial"/>
        </w:rPr>
        <w:t>Figure S5: Supporting data corresponding to main text Fig. 3.</w:t>
      </w:r>
    </w:p>
    <w:p w14:paraId="44FB6460" w14:textId="2E05122D" w:rsidR="001A3BF2" w:rsidRPr="00FD2DD0" w:rsidRDefault="001A3BF2" w:rsidP="0098320F">
      <w:pPr>
        <w:pStyle w:val="Paragraph"/>
        <w:spacing w:before="0"/>
        <w:ind w:firstLine="0"/>
        <w:rPr>
          <w:rFonts w:ascii="Arial" w:hAnsi="Arial" w:cs="Arial"/>
        </w:rPr>
      </w:pPr>
      <w:r w:rsidRPr="00FD2DD0">
        <w:rPr>
          <w:rFonts w:ascii="Arial" w:hAnsi="Arial" w:cs="Arial"/>
        </w:rPr>
        <w:t>Figure S6: Ivacaftor (VX-770) and elexacaftor (VX-445) potentiate R117H-CFTR expressed in FRT cells.</w:t>
      </w:r>
    </w:p>
    <w:p w14:paraId="139706C4" w14:textId="20A8733E" w:rsidR="001A3BF2" w:rsidRPr="00FD2DD0" w:rsidRDefault="001A3BF2" w:rsidP="0098320F">
      <w:pPr>
        <w:pStyle w:val="Paragraph"/>
        <w:spacing w:before="0"/>
        <w:ind w:firstLine="0"/>
        <w:rPr>
          <w:rFonts w:ascii="Arial" w:hAnsi="Arial" w:cs="Arial"/>
        </w:rPr>
      </w:pPr>
      <w:r w:rsidRPr="00FD2DD0">
        <w:rPr>
          <w:rFonts w:ascii="Arial" w:hAnsi="Arial" w:cs="Arial"/>
        </w:rPr>
        <w:t>Figure S7: Supporting data corresponding to main text Fig. 4.</w:t>
      </w:r>
    </w:p>
    <w:p w14:paraId="7959C5F8" w14:textId="79723644" w:rsidR="001A3BF2" w:rsidRPr="00FD2DD0" w:rsidRDefault="001A3BF2" w:rsidP="0098320F">
      <w:pPr>
        <w:pStyle w:val="Paragraph"/>
        <w:spacing w:before="0"/>
        <w:ind w:firstLine="0"/>
        <w:rPr>
          <w:rFonts w:ascii="Arial" w:hAnsi="Arial" w:cs="Arial"/>
        </w:rPr>
      </w:pPr>
      <w:r w:rsidRPr="00FD2DD0">
        <w:rPr>
          <w:rFonts w:ascii="Arial" w:hAnsi="Arial" w:cs="Arial"/>
        </w:rPr>
        <w:t>Figure S8: Chronic treatment with the combination of ivacaftor (VX-770) and elexacaftor (VX-445) increases G551D-CFTR mediated I</w:t>
      </w:r>
      <w:r w:rsidRPr="00FD2DD0">
        <w:rPr>
          <w:rFonts w:ascii="Arial" w:hAnsi="Arial" w:cs="Arial"/>
          <w:vertAlign w:val="subscript"/>
        </w:rPr>
        <w:t>t</w:t>
      </w:r>
      <w:r w:rsidRPr="00FD2DD0">
        <w:rPr>
          <w:rFonts w:ascii="Arial" w:hAnsi="Arial" w:cs="Arial"/>
        </w:rPr>
        <w:t xml:space="preserve"> in HNE.</w:t>
      </w:r>
    </w:p>
    <w:p w14:paraId="264A5FDE" w14:textId="77777777" w:rsidR="00BE28B9" w:rsidRDefault="001A3BF2" w:rsidP="0098320F">
      <w:pPr>
        <w:pStyle w:val="Paragraph"/>
        <w:spacing w:before="0"/>
        <w:ind w:firstLine="0"/>
        <w:rPr>
          <w:rFonts w:ascii="Arial" w:hAnsi="Arial" w:cs="Arial"/>
        </w:rPr>
      </w:pPr>
      <w:r w:rsidRPr="00FD2DD0">
        <w:rPr>
          <w:rFonts w:ascii="Arial" w:hAnsi="Arial" w:cs="Arial"/>
        </w:rPr>
        <w:t>Figure S9: Differences in baseline and amiloride-responsive transepithelial potential between non-CF and F508del-HNE are attenuated by CFTR modulators.</w:t>
      </w:r>
    </w:p>
    <w:p w14:paraId="2848EC3A" w14:textId="7CA48233" w:rsidR="00FD2DD0" w:rsidRDefault="00BE28B9" w:rsidP="0098320F">
      <w:pPr>
        <w:pStyle w:val="Paragraph"/>
        <w:spacing w:before="0"/>
        <w:ind w:firstLine="0"/>
        <w:rPr>
          <w:rFonts w:ascii="Arial" w:hAnsi="Arial" w:cs="Arial"/>
        </w:rPr>
      </w:pPr>
      <w:r>
        <w:rPr>
          <w:rFonts w:ascii="Arial" w:hAnsi="Arial" w:cs="Arial"/>
        </w:rPr>
        <w:t>Supplementary Bibliography</w:t>
      </w:r>
      <w:r w:rsidR="00FD2DD0">
        <w:rPr>
          <w:rFonts w:ascii="Arial" w:hAnsi="Arial" w:cs="Arial"/>
        </w:rPr>
        <w:br w:type="page"/>
      </w:r>
    </w:p>
    <w:p w14:paraId="3DBB3A23" w14:textId="53F8ADE7" w:rsidR="006359E6" w:rsidRDefault="006359E6" w:rsidP="0098320F">
      <w:pPr>
        <w:pStyle w:val="Refhead"/>
        <w:spacing w:before="0" w:after="0"/>
        <w:jc w:val="center"/>
        <w:rPr>
          <w:rFonts w:ascii="Arial" w:hAnsi="Arial" w:cs="Arial"/>
          <w:caps/>
        </w:rPr>
      </w:pPr>
      <w:r w:rsidRPr="00FD2DD0">
        <w:rPr>
          <w:rFonts w:ascii="Arial" w:hAnsi="Arial" w:cs="Arial"/>
          <w:caps/>
        </w:rPr>
        <w:lastRenderedPageBreak/>
        <w:t xml:space="preserve">Supplementary </w:t>
      </w:r>
      <w:r w:rsidR="00FE47AD">
        <w:rPr>
          <w:rFonts w:ascii="Arial" w:hAnsi="Arial" w:cs="Arial"/>
          <w:caps/>
        </w:rPr>
        <w:t>TEXT</w:t>
      </w:r>
    </w:p>
    <w:p w14:paraId="0634600C" w14:textId="77777777" w:rsidR="0098320F" w:rsidRPr="00FD2DD0" w:rsidRDefault="0098320F" w:rsidP="0098320F">
      <w:pPr>
        <w:pStyle w:val="Refhead"/>
        <w:spacing w:before="0" w:after="0"/>
        <w:jc w:val="both"/>
        <w:rPr>
          <w:rFonts w:ascii="Arial" w:hAnsi="Arial" w:cs="Arial"/>
          <w:caps/>
        </w:rPr>
      </w:pPr>
    </w:p>
    <w:p w14:paraId="3CAE8733" w14:textId="30BB1993" w:rsidR="006359E6" w:rsidRDefault="006359E6" w:rsidP="0098320F">
      <w:pPr>
        <w:pStyle w:val="Refhead"/>
        <w:spacing w:before="0" w:after="0"/>
        <w:jc w:val="both"/>
        <w:rPr>
          <w:rFonts w:ascii="Arial" w:hAnsi="Arial" w:cs="Arial"/>
        </w:rPr>
      </w:pPr>
      <w:r w:rsidRPr="00FD2DD0">
        <w:rPr>
          <w:rFonts w:ascii="Arial" w:hAnsi="Arial" w:cs="Arial"/>
        </w:rPr>
        <w:t xml:space="preserve">Translatability of </w:t>
      </w:r>
      <w:r w:rsidRPr="00FD2DD0">
        <w:rPr>
          <w:rFonts w:ascii="Arial" w:hAnsi="Arial" w:cs="Arial"/>
          <w:i/>
        </w:rPr>
        <w:t xml:space="preserve">in vitro </w:t>
      </w:r>
      <w:r w:rsidRPr="00FD2DD0">
        <w:rPr>
          <w:rFonts w:ascii="Arial" w:hAnsi="Arial" w:cs="Arial"/>
        </w:rPr>
        <w:t xml:space="preserve">CFTR functional </w:t>
      </w:r>
      <w:r w:rsidR="0098320F">
        <w:rPr>
          <w:rFonts w:ascii="Arial" w:hAnsi="Arial" w:cs="Arial"/>
        </w:rPr>
        <w:t>studies using electrophysiology</w:t>
      </w:r>
    </w:p>
    <w:p w14:paraId="285DE164" w14:textId="77777777" w:rsidR="0098320F" w:rsidRDefault="0098320F" w:rsidP="0098320F">
      <w:pPr>
        <w:pStyle w:val="Refhead"/>
        <w:spacing w:before="0" w:after="0"/>
        <w:jc w:val="both"/>
        <w:rPr>
          <w:rFonts w:ascii="Arial" w:hAnsi="Arial" w:cs="Arial"/>
        </w:rPr>
      </w:pPr>
    </w:p>
    <w:p w14:paraId="34E521F5" w14:textId="5D866E81" w:rsidR="006359E6" w:rsidRPr="00FD2DD0" w:rsidRDefault="006359E6" w:rsidP="0098320F">
      <w:pPr>
        <w:pStyle w:val="Refhead"/>
        <w:spacing w:before="0" w:after="0"/>
        <w:jc w:val="both"/>
        <w:rPr>
          <w:rFonts w:ascii="Arial" w:hAnsi="Arial" w:cs="Arial"/>
          <w:b w:val="0"/>
        </w:rPr>
      </w:pPr>
      <w:r w:rsidRPr="00FD2DD0">
        <w:rPr>
          <w:rFonts w:ascii="Arial" w:hAnsi="Arial" w:cs="Arial"/>
          <w:b w:val="0"/>
        </w:rPr>
        <w:t xml:space="preserve">The high translatability of </w:t>
      </w:r>
      <w:r w:rsidRPr="00FD2DD0">
        <w:rPr>
          <w:rFonts w:ascii="Arial" w:hAnsi="Arial" w:cs="Arial"/>
          <w:b w:val="0"/>
          <w:i/>
          <w:iCs/>
        </w:rPr>
        <w:t xml:space="preserve">in vitro </w:t>
      </w:r>
      <w:r w:rsidRPr="00FD2DD0">
        <w:rPr>
          <w:rFonts w:ascii="Arial" w:hAnsi="Arial" w:cs="Arial"/>
          <w:b w:val="0"/>
        </w:rPr>
        <w:t xml:space="preserve">CFTR functional analyses has led to the U.S. Food and Drug Administration to expand drug labels for CF modulators to include treatment of individuals with rarer CF-causing CFTR mutations on the basis of </w:t>
      </w:r>
      <w:r w:rsidRPr="00FD2DD0">
        <w:rPr>
          <w:rFonts w:ascii="Arial" w:hAnsi="Arial" w:cs="Arial"/>
          <w:b w:val="0"/>
          <w:i/>
        </w:rPr>
        <w:t xml:space="preserve">in vitro </w:t>
      </w:r>
      <w:r w:rsidRPr="00FD2DD0">
        <w:rPr>
          <w:rFonts w:ascii="Arial" w:hAnsi="Arial" w:cs="Arial"/>
          <w:b w:val="0"/>
        </w:rPr>
        <w:t xml:space="preserve">studies alone, in place of further clinical testing </w:t>
      </w:r>
      <w:r w:rsidRPr="00FD2DD0">
        <w:rPr>
          <w:rFonts w:ascii="Arial" w:hAnsi="Arial" w:cs="Arial"/>
          <w:b w:val="0"/>
        </w:rPr>
        <w:fldChar w:fldCharType="begin" w:fldLock="1"/>
      </w:r>
      <w:r w:rsidR="003B01C2">
        <w:rPr>
          <w:rFonts w:ascii="Arial" w:hAnsi="Arial" w:cs="Arial"/>
          <w:b w:val="0"/>
        </w:rPr>
        <w:instrText>ADDIN CSL_CITATION {"citationItems":[{"id":"ITEM-1","itemData":{"DOI":"10.1038/nrd.2017.140","ISSN":"14741784","PMID":"28860581","author":[{"dropping-particle":"","family":"Kingwell","given":"Katie","non-dropping-particle":"","parse-names":false,"suffix":""}],"container-title":"Nature Reviews Drug Discovery","id":"ITEM-1","issue":"9","issued":{"date-parts":[["2017"]]},"page":"591-592","publisher":"Nature Publishing Group","title":"FDA OKs first in vitro route to expanded approval","type":"article-journal","volume":"16"},"uris":["http://www.mendeley.com/documents/?uuid=8219c9ed-169c-4dd7-934e-15b2234a3bd8"]},{"id":"ITEM-2","itemData":{"URL":"https://www.fda.gov/Drugs/NewsEvents/ucm559051.htm","author":[{"dropping-particle":"","family":"Durmowicz","given":"T.","non-dropping-particle":"","parse-names":false,"suffix":""},{"dropping-particle":"","family":"Pacanowski","given":"M.","non-dropping-particle":"","parse-names":false,"suffix":""}],"container-title":"FDA News &amp; Events","id":"ITEM-2","issued":{"date-parts":[["2017"]]},"title":"Novel Approach Allows Expansion of Indication for Cystic Fibrosis Drug","type":"webpage"},"uris":["http://www.mendeley.com/documents/?uuid=6f74232e-ef2b-4d1b-aa67-f0f771d8cc5f"]},{"id":"ITEM-3","itemData":{"DOI":"10.1513/AnnalsATS.201708-668PS","ISSN":"23256621","PMID":"29020455","abstract":"On May 17, 2017, the U.S. Food and Drug Administration expanded the patient population for use of ivacaftor to include patients with cystic fibrosis with relatively rare mutations in the cystic fibrosis transmembrane conductance regulator gene. The label expansion is unique in that clinical efficacy was not based on clinical data but on in vitro assay data demonstrating increased chloride ion transport across cells in response to ivacaftor. Such an approach provides a pathway for adding difficult-to-study mutation-based cystic fibrosis subpopulations to the indication as well as defining mutations unresponsive to ivacaftor and has important implications for cystic fibrosis drug development and other rare genetic diseases whose genetics and disease pathophysiology are well understood.","author":[{"dropping-particle":"","family":"Durmowicz","given":"Anthony G.","non-dropping-particle":"","parse-names":false,"suffix":""},{"dropping-particle":"","family":"Lim","given":"Robert","non-dropping-particle":"","parse-names":false,"suffix":""},{"dropping-particle":"","family":"Rogers","given":"Hobart","non-dropping-particle":"","parse-names":false,"suffix":""},{"dropping-particle":"","family":"Rosebraugh","given":"Curtis J.","non-dropping-particle":"","parse-names":false,"suffix":""},{"dropping-particle":"","family":"Chowdhury","given":"Badrul A.","non-dropping-particle":"","parse-names":false,"suffix":""}],"container-title":"Annals of the American Thoracic Society","id":"ITEM-3","issue":"1","issued":{"date-parts":[["2018"]]},"page":"1-2","title":"The U.S. food and drug administration's experience with ivacaftor in cystic fibrosis: Establishing efficacy using in vitro data in lieu of a clinical trial","type":"article-journal","volume":"15"},"uris":["http://www.mendeley.com/documents/?uuid=41f3f044-d7d8-4a5c-a540-4122ac28d89b"]},{"id":"ITEM-4","itemData":{"author":[{"dropping-particle":"","family":"Vertex Pharmaceuticals Incorporated","given":"","non-dropping-particle":"","parse-names":false,"suffix":""}],"id":"ITEM-4","issued":{"date-parts":[["2020"]]},"publisher":"Vertex Pharmaceuticals Incorporated","title":"Prescribing Information: KALYDECO® (ivacaftor) tablets, for oral use","type":"article"},"uris":["http://www.mendeley.com/documents/?uuid=47465f0c-4f02-4df1-a689-a8a2733d1c0d"]},{"id":"ITEM-5","itemData":{"author":[{"dropping-particle":"","family":"Vertex Pharmaceuticals Incorporated","given":"","non-dropping-particle":"","parse-names":false,"suffix":""}],"id":"ITEM-5","issued":{"date-parts":[["2019"]]},"publisher":"Vertex Pharmaceuticals Incorporated","title":"Prescribing Information: SYMDEKO® (tezacaftor/ivacaftor) tablets; (ivacaftor) tablets, for oral use","type":"article"},"uris":["http://www.mendeley.com/documents/?uuid=8ced1791-d2ed-4426-bb7b-2d73a3f8ea37"]},{"id":"ITEM-6","itemData":{"author":[{"dropping-particle":"","family":"Vertex Pharmaceuticals Incorporated","given":"","non-dropping-particle":"","parse-names":false,"suffix":""}],"id":"ITEM-6","issued":{"date-parts":[["2021"]]},"publisher":"Vertex Pharmaceuticals Incorporated","title":"Prescribing Information: TRIKAFTA® (elexacaftor, tezacaftor, and ivacaftor tablets; ivacaftor tablets), co-packaged for oral use","type":"article"},"uris":["http://www.mendeley.com/documents/?uuid=12567978-1dc4-428f-b5de-969a0b466fcb"]}],"mendeley":{"formattedCitation":"[1–6]","plainTextFormattedCitation":"[1–6]","previouslyFormattedCitation":"[1–6]"},"properties":{"noteIndex":0},"schema":"https://github.com/citation-style-language/schema/raw/master/csl-citation.json"}</w:instrText>
      </w:r>
      <w:r w:rsidRPr="00FD2DD0">
        <w:rPr>
          <w:rFonts w:ascii="Arial" w:hAnsi="Arial" w:cs="Arial"/>
          <w:b w:val="0"/>
        </w:rPr>
        <w:fldChar w:fldCharType="separate"/>
      </w:r>
      <w:r w:rsidR="00BE28B9" w:rsidRPr="00BE28B9">
        <w:rPr>
          <w:rFonts w:ascii="Arial" w:hAnsi="Arial" w:cs="Arial"/>
          <w:b w:val="0"/>
          <w:noProof/>
        </w:rPr>
        <w:t>[1–6]</w:t>
      </w:r>
      <w:r w:rsidRPr="00FD2DD0">
        <w:rPr>
          <w:rFonts w:ascii="Arial" w:hAnsi="Arial" w:cs="Arial"/>
          <w:b w:val="0"/>
        </w:rPr>
        <w:fldChar w:fldCharType="end"/>
      </w:r>
      <w:r w:rsidRPr="00FD2DD0">
        <w:rPr>
          <w:rFonts w:ascii="Arial" w:hAnsi="Arial" w:cs="Arial"/>
          <w:b w:val="0"/>
        </w:rPr>
        <w:t xml:space="preserve">. Much of the translational work with CFTR modulators has centered around the development of CFTR correctors to stabilize misfolded F508del-CFTR and enhance its trafficking to the cell surface. A common experimental endpoint </w:t>
      </w:r>
      <w:r w:rsidRPr="00FD2DD0">
        <w:rPr>
          <w:rFonts w:ascii="Arial" w:hAnsi="Arial" w:cs="Arial"/>
          <w:b w:val="0"/>
          <w:i/>
          <w:iCs/>
        </w:rPr>
        <w:t>in vitro</w:t>
      </w:r>
      <w:r w:rsidRPr="00FD2DD0">
        <w:rPr>
          <w:rFonts w:ascii="Arial" w:hAnsi="Arial" w:cs="Arial"/>
          <w:b w:val="0"/>
        </w:rPr>
        <w:t xml:space="preserve"> to gauge the efficacy of rescue of F508del-CFTR by CFTR correctors is the differential banding pattern of CFTR in Western blotting analyses―rescue of F508del-CFTR processing can be quantified by comparing banding of B-type (immature) to C-type (mature, past-Golgi) CFTR </w:t>
      </w:r>
      <w:r w:rsidRPr="00FD2DD0">
        <w:rPr>
          <w:rFonts w:ascii="Arial" w:hAnsi="Arial" w:cs="Arial"/>
          <w:b w:val="0"/>
        </w:rPr>
        <w:fldChar w:fldCharType="begin" w:fldLock="1"/>
      </w:r>
      <w:r w:rsidR="003B01C2">
        <w:rPr>
          <w:rFonts w:ascii="Arial" w:hAnsi="Arial" w:cs="Arial"/>
          <w:b w:val="0"/>
        </w:rPr>
        <w:instrText>ADDIN CSL_CITATION {"citationItems":[{"id":"ITEM-1","itemData":{"DOI":"10.1073/pnas.1105787108","ISSN":"00278424","abstract":"Cystic fibrosis (CF) is caused by mutations in the CF transmembrane conductance regulator (CFTR) gene that impair the function of CFTR, an epithelial chloride channel required for proper function of the lung, pancreas, and other organs. Most patients with CF carry the F508del CFTR mutation, which causes defective CFTR protein folding and processing in the endoplasmic reticulum, resulting in minimal amounts of CFTR at the cell surface. One strategy to treat these patients is to correct the processing of F508del-CFTR with small molecules. Here we describe the in vitro pharmacology of VX-809, a CFTR corrector that was advanced into clinical development for the treatment of CF. In cultured human bronchial epithelial cells isolated from patients with CF homozygous for F508del, VX-809 improved F508del-CFTR processing in the endoplasmic reticulum and enhanced chloride secretion to approximately 14% of non-CF human bronchial epithelial cells (EC 50, 81 ±19 nM), a level associated with mild CF in patients with less disruptive CFTR mutations. F508del-CFTR corrected by VX-809 exhibited biochemical and functional characteristics similar to normal CFTR, including biochemical susceptibility to proteolysis, residence time in the plasma membrane, and single-channel open probability. VX-809 was more efficacious and selective for CFTR than previously reported CFTR correctors. VX-809 represents a class of CFTR corrector that specifically addresses the underlying processing defect in F508del-CFTR.","author":[{"dropping-particle":"","family":"Goor","given":"Fredrick","non-dropping-particle":"Van","parse-names":false,"suffix":""},{"dropping-particle":"","family":"Hadida","given":"Sabine","non-dropping-particle":"","parse-names":false,"suffix":""},{"dropping-particle":"","family":"Grootenhuis","given":"Peter D.J.","non-dropping-particle":"","parse-names":false,"suffix":""},{"dropping-particle":"","family":"Burton","given":"Bill","non-dropping-particle":"","parse-names":false,"suffix":""},{"dropping-particle":"","family":"Stack","given":"Jeffrey H.","non-dropping-particle":"","parse-names":false,"suffix":""},{"dropping-particle":"","family":"Straley","given":"Kimberly S.","non-dropping-particle":"","parse-names":false,"suffix":""},{"dropping-particle":"","family":"Decker","given":"Caroline J.","non-dropping-particle":"","parse-names":false,"suffix":""},{"dropping-particle":"","family":"Miller","given":"Mark","non-dropping-particle":"","parse-names":false,"suffix":""},{"dropping-particle":"","family":"McCartney","given":"Jason","non-dropping-particle":"","parse-names":false,"suffix":""},{"dropping-particle":"","family":"Olson","given":"Eric R.","non-dropping-particle":"","parse-names":false,"suffix":""},{"dropping-particle":"","family":"Wine","given":"Jeffrey J.","non-dropping-particle":"","parse-names":false,"suffix":""},{"dropping-particle":"","family":"Frizzell","given":"Ray A.","non-dropping-particle":"","parse-names":false,"suffix":""},{"dropping-particle":"","family":"Ashlock","given":"Melissa","non-dropping-particle":"","parse-names":false,"suffix":""},{"dropping-particle":"","family":"Negulescu","given":"Paul A.","non-dropping-particle":"","parse-names":false,"suffix":""}],"container-title":"Proceedings of the National Academy of Sciences of the United States of America","id":"ITEM-1","issue":"46","issued":{"date-parts":[["2011"]]},"page":"18843-18848","title":"Correction of the F508del-CFTR protein processing defect in vitro by the investigational drug VX-809","type":"article-journal","volume":"108"},"uris":["http://www.mendeley.com/documents/?uuid=56a60268-80bb-478d-8545-6b33f3d7dccd"]},{"id":"ITEM-2","itemData":{"DOI":"10.1056/NEJMoa1409547","ISSN":"15334406","abstract":"BACKGROUND: Cystic fibrosis is a life-limiting disease that is caused by defective or deficient cystic fibrosis transmembrane conductance regulator (CFTR) protein activity. Phe508del is the most common CFTR mutation. METHODS: We conducted two phase 3, randomized, double-blind, placebo-controlled studies that were designed to assess the effects of lumacaftor (VX-809), a CFTR corrector, in combination with ivacaftor (VX-770), a CFTR potentiator, in patients 12 years of age or older who had cystic fibrosis and were homozygous for the Phe508del CFTR mutation. In both studies, patients were randomly assigned to receive either lumacaftor (600 mg once daily or 400 mg every 12 hours) in combination with ivacaftor (250 mg every 12 hours) or matched placebo for 24 weeks. The primary end point was the absolute change from baseline in the percentage of predicted forced expiratory volume in 1 second (FEV1) at week 24. RESULTS: A total of 1108 patients underwent randomization and received study drug. The mean baseline FEV1 was 61% of the predicted value. In both studies, there were significant improvements in the primary end point in both lumacaftor-ivacaftor dose groups; the difference between active treatment and placebo with respect to the mean absolute improvement in the percentage of predicted FEV1 ranged from 2.6 to 4.0 percentage points (P&lt;0.001), which corresponded to a mean relative treatment difference of 4.3 to 6.7% (P&lt;0.001). Pooled analyses showed that the rate of pulmonary exacerbations was 30 to 39% lower in the lumacaftor-ivacaftor groups than in the placebo group; the rate of events leading to hospitalization or the use of intravenous antibiotics was lower in the lumacaftor-ivacaftor groups as well. The incidence of adverse events was generally similar in the lumacaftor-ivacaftor and placebo groups. The rate of discontinuation due to an adverse event was 4.2% among patients who received lumacaftor-ivacaftor versus 1.6% among those who received placebo. CONCLUSIONS: These data show that lumacaftor in combination with ivacaftor provided a benefit for patients with cystic fibrosis homozygous for the Phe508del CFTR mutation.","author":[{"dropping-particle":"","family":"Wainwright","given":"C. E.","non-dropping-particle":"","parse-names":false,"suffix":""},{"dropping-particle":"","family":"Elborn","given":"J. S.","non-dropping-particle":"","parse-names":false,"suffix":""},{"dropping-particle":"","family":"Ramsey","given":"B. W.","non-dropping-particle":"","parse-names":false,"suffix":""},{"dropping-particle":"","family":"Marigowda","given":"G.","non-dropping-particle":"","parse-names":false,"suffix":""},{"dropping-particle":"","family":"Huang","given":"X.","non-dropping-particle":"","parse-names":false,"suffix":""},{"dropping-particle":"","family":"Cipolli","given":"M.","non-dropping-particle":"","parse-names":false,"suffix":""},{"dropping-particle":"","family":"Colombo","given":"C.","non-dropping-particle":"","parse-names":false,"suffix":""},{"dropping-particle":"","family":"Davies","given":"J. C.","non-dropping-particle":"","parse-names":false,"suffix":""},{"dropping-particle":"","family":"Boeck","given":"K.","non-dropping-particle":"De","parse-names":false,"suffix":""},{"dropping-particle":"","family":"Flume","given":"P. A.","non-dropping-particle":"","parse-names":false,"suffix":""},{"dropping-particle":"","family":"Konstan","given":"M. W.","non-dropping-particle":"","parse-names":false,"suffix":""},{"dropping-particle":"","family":"McColley","given":"S. A.","non-dropping-particle":"","parse-names":false,"suffix":""},{"dropping-particle":"","family":"McCoy","given":"K.","non-dropping-particle":"","parse-names":false,"suffix":""},{"dropping-particle":"","family":"McKone","given":"E. F.","non-dropping-particle":"","parse-names":false,"suffix":""},{"dropping-particle":"","family":"Munck","given":"A.","non-dropping-particle":"","parse-names":false,"suffix":""},{"dropping-particle":"","family":"Ratjen","given":"F.","non-dropping-particle":"","parse-names":false,"suffix":""},{"dropping-particle":"","family":"Rowe","given":"S. M.","non-dropping-particle":"","parse-names":false,"suffix":""},{"dropping-particle":"","family":"Waltz","given":"D.","non-dropping-particle":"","parse-names":false,"suffix":""},{"dropping-particle":"","family":"Boyle","given":"M. P.","non-dropping-particle":"","parse-names":false,"suffix":""}],"container-title":"New England Journal of Medicine","id":"ITEM-2","issue":"3","issued":{"date-parts":[["2015"]]},"page":"220-231","title":"Lumacaftor-ivacaftor in patients with cystic fibrosis homozygous for phe508del CFTR","type":"article-journal","volume":"373"},"uris":["http://www.mendeley.com/documents/?uuid=44e3250b-4b0b-4740-9eb1-3857c0ee9dae"]},{"id":"ITEM-3","itemData":{"DOI":"10.1056/NEJMoa1709846","ISSN":"15334406","PMID":"29099344","abstract":"BACKGROUND: Combination treatment with the cystic fibrosis transmembrane conductance regulator (CFTR) modulators tezacaftor (VX-661) and ivacaftor (VX-770) was designed to target the underlying cause of disease in patients with cystic fibrosis. METHODS: In this phase 3, randomized, double-blind, multicenter, placebo-controlled, parallel-group trial, we evaluated combination therapy with tezacaftor and ivacaftor in patients 12 years of age or older who had cystic fibrosis and were homozygous for the CFTR Phe508del mutation. Patients were randomly assigned in a 1:1 ratio to receive either 100 mg of tezacaftor once daily and 150 mg of ivacaftor twice daily or matched placebo for 24 weeks. The primary end point was the absolute change in the percentage of the predicted forced expiratory volume in 1 second (FEV1) through week 24 (calculated in percentage points); relative change in the percentage of the predicted FEV1 through week 24 (calculated as a percentage) was a key secondary end point. RESULTS: Of the 510 patients who underwent randomization, 509 received tezacaftor–ivacaftor or placebo, and 475 completed 24 weeks of the trial regimen. The mean FEV1 at baseline was 60.0% of the predicted value. The effects on the absolute and relative changes in the percentage of the predicted FEV1 in favor of tezacaftor–ivacaftor over placebo were 4.0 percentage points and 6.8%, respectively (P&lt;0.001 for both comparisons). The rate of pulmonary exacerbation was 35% lower in the tezacaftor–ivacaftor group than in the placebo group (P=0.005). The incidence of adverse events was similar in the two groups. Most adverse events were of mild severity (in 41.8% of patients overall) or moderate severity (in 40.9% overall), and serious adverse events were less frequent with tezacaftor–ivacaftor (12.4%) than with placebo (18.2%). A total of 2.9% of patients discontinued the assigned regimen owing to adverse events. Fewer patients in the tezacaftor–ivacaftor group than in the placebo group had respiratory adverse events, none of which led to discontinuation. CONCLUSIONS: The combination of tezacaftor and ivacaftor was efficacious and safe in patients 12 years of age or older who had cystic fibrosis and were homozygous for the CFTR Phe508del mutation.","author":[{"dropping-particle":"","family":"Taylor-Cousar","given":"Jennifer L.","non-dropping-particle":"","parse-names":false,"suffix":""},{"dropping-particle":"","family":"Munck","given":"Anne","non-dropping-particle":"","parse-names":false,"suffix":""},{"dropping-particle":"","family":"McKone","given":"Edward F.","non-dropping-particle":"","parse-names":false,"suffix":""},{"dropping-particle":"","family":"Ent","given":"Cornelis K.","non-dropping-particle":"Van Der","parse-names":false,"suffix":""},{"dropping-particle":"","family":"Moeller","given":"Alexander","non-dropping-particle":"","parse-names":false,"suffix":""},{"dropping-particle":"","family":"Simard","given":"Christopher","non-dropping-particle":"","parse-names":false,"suffix":""},{"dropping-particle":"","family":"Wang","given":"Linda T.","non-dropping-particle":"","parse-names":false,"suffix":""},{"dropping-particle":"","family":"Ingenito","given":"Edward P.","non-dropping-particle":"","parse-names":false,"suffix":""},{"dropping-particle":"","family":"McKee","given":"Charlotte","non-dropping-particle":"","parse-names":false,"suffix":""},{"dropping-particle":"","family":"Lu","given":"Yimeng","non-dropping-particle":"","parse-names":false,"suffix":""},{"dropping-particle":"","family":"Lekstrom-Himes","given":"Julie","non-dropping-particle":"","parse-names":false,"suffix":""},{"dropping-particle":"","family":"Elborn","given":"J. Stuart","non-dropping-particle":"","parse-names":false,"suffix":""}],"container-title":"New England Journal of Medicine","id":"ITEM-3","issue":"21","issued":{"date-parts":[["2017"]]},"page":"2013-2023","title":"Tezacaftor–ivacaftor in patients with cystic fibrosis homozygous for Phe508del","type":"article-journal","volume":"377"},"uris":["http://www.mendeley.com/documents/?uuid=80cfe010-6a20-4743-9b60-26695c60d21f"]},{"id":"ITEM-4","itemData":{"DOI":"10.1164/rccm.201704-0717OC","ISSN":"15354970","PMID":"28930490","abstract":"Rationale: Tezacaftor (formerly VX-661) is an investigational small molecule that improves processing and trafficking of the cystic fibrosis transmembrane conductance regulator (CFTR) in vitro, and improves CFTR function alone and in combination with ivacaftor. Objectives: To evaluate the safety and efficacy of tezacaftor monotherapy and of tezacaftor/ivacaftor combination therapy in subjects with cystic fibrosis homozygous for F508del or compound heterozygous for F508del and G551D. Methods: This was a randomized, placebo-controlled, double-blind, multicenter, phase 2 study (NCT01531673). Subjects homozygous for F508del received tezacaftor (10 to 150 mg) every day alone or in combination with ivacaftor (150 mg every 12 h) in a dose escalation phase, as well as in a dosage regimen testing phase. Subjects compound heterozygous for F508del and G551D, taking physician-prescribed ivacaftor, received tezacaftor (100 mg every day). Measurements and Main Results: Primary endpoints were safety through Day 56 and change in sweat chloride from baseline through Day 28. Secondary endpoints included change in percent predicted FEV1 (ppFEV1) from baseline through Day 28 and pharmacokinetics. The incidence of adverse events was similar across treatment arms. Tezacaftor (100 mg every day)/ivacaftor (150 mg every 12 h) resulted in a 6.04 mmol/L decrease in sweat chloride and 3.75 percentage point increase in ppFEV1 in subjects homozygous for F508del, and a 7.02 mmol/L decrease in sweat chloride and 4.60 percentage point increase in ppFEV1 in subjects compound heterozygous for F508del and G551D from baseline through Day 28 (P &lt; 0.05 for all). Conclusions: These results support continued clinical development of tezacaftor (100 mg every day) in combination with ivacaftor (150 mg every 12 h) in subjects with cystic fibrosis. Clinical trial registered with www.clinicaltrials.gov (NCT01531673).","author":[{"dropping-particle":"","family":"Donaldson","given":"Scott H.","non-dropping-particle":"","parse-names":false,"suffix":""},{"dropping-particle":"","family":"Pilewski","given":"Joseph M.","non-dropping-particle":"","parse-names":false,"suffix":""},{"dropping-particle":"","family":"Griese","given":"Matthias","non-dropping-particle":"","parse-names":false,"suffix":""},{"dropping-particle":"","family":"Cooke","given":"Jon","non-dropping-particle":"","parse-names":false,"suffix":""},{"dropping-particle":"","family":"Viswanathan","given":"Lakshmi","non-dropping-particle":"","parse-names":false,"suffix":""},{"dropping-particle":"","family":"Tullis","given":"Elizabeth","non-dropping-particle":"","parse-names":false,"suffix":""},{"dropping-particle":"","family":"Davies","given":"Jane C.","non-dropping-particle":"","parse-names":false,"suffix":""},{"dropping-particle":"","family":"Lekstrom-Himes","given":"Julie A.","non-dropping-particle":"","parse-names":false,"suffix":""},{"dropping-particle":"","family":"Wang","given":"Linda T.","non-dropping-particle":"","parse-names":false,"suffix":""}],"container-title":"American Journal of Respiratory and Critical Care Medicine","id":"ITEM-4","issue":"2","issued":{"date-parts":[["2018"]]},"page":"214-224","title":"Tezacaftor/ivacaftor in subjects with cystic fibrosis and F508del/F508del-CFTR or F508del/G551D-CFTR","type":"article-journal","volume":"197"},"uris":["http://www.mendeley.com/documents/?uuid=0a153eb2-67d7-4d11-90ee-7266800a9242"]},{"id":"ITEM-5","itemData":{"DOI":"10.1056/NEJMoa1807120","ISSN":"15334406","PMID":"30334692","abstract":"Background: VX-445 is a next-generation cystic fibrosis transmembrane conductance regulator (CFTR) corrector designed to restore Phe508del CFTR protein function in patients with cystic fibrosis when administered with tezacaftor and ivacaftor (VX-445-tezacaftor-ivacaftor). Methods: We evaluated the effects of VX-445-tezacaftor-ivacaftor on Phe508del CFTR protein processing, trafficking, and chloride transport in human bronchial epithelial cells. On the basis of in vitro activity, a randomized, placebo-controlled, double-blind, dose-ranging, phase 2 trial was conducted to evaluate oral VX-445-tezacaftor-ivacaftor in patients heterozygous for the Phe508del CFTR mutation and a minimal-function mutation (Phe508del- MF) and in patients homozygous for the Phe508del CFTR mutation (Phe508del-Phe508del) after tezacaftor-ivacaftor run-in. Primary end points were safety and absolute change in percentage of predicted forced expiratory volume in 1 second (FEV1) from baseline. Results: In vitro, VX-445-tezacaftor-ivacaftor significantly improved Phe508del CFTR protein processing, trafficking, and chloride transport to a greater extent than any two of these agents in dual combination. In patients with cystic fibrosis, VX-445-tezacaftor-ivacaftor had an acceptable safety and side-effect profile. Most adverse events were mild or moderate. The treatment also resulted in an increased percentage of predicted FEV1 of up to 13.8 points in the Phe508del-MF group (P&lt;0.001). In patients in the Phe508del-Phe508del group, who were already receiving tezacaftor-ivacaftor, the addition of VX-445 resulted in an 11.0-point increase in the percentage of predicted FEV1 (P&lt;0.001). In both groups, there was a decrease in sweat chloride concentrations and improvement in the respiratory domain score on the Cystic Fibrosis Questionnaire-Revised. Conclusions: The use of VX-445-tezacaftor-ivacaftor to target Phe508del CFTR protein resulted in increased CFTR function in vitro and translated to improvements in patients with cystic fibrosis with one or two Phe508del alleles. This approach has the potential to treat the underlying cause of cystic fibrosis in approximately 90% of patients.","author":[{"dropping-particle":"","family":"Keating","given":"Dominic","non-dropping-particle":"","parse-names":false,"suffix":""},{"dropping-particle":"","family":"Marigowda","given":"Gautham","non-dropping-particle":"","parse-names":false,"suffix":""},{"dropping-particle":"","family":"Burr","given":"Lucy","non-dropping-particle":"","parse-names":false,"suffix":""},{"dropping-particle":"","family":"Daines","given":"Cori","non-dropping-particle":"","parse-names":false,"suffix":""},{"dropping-particle":"","family":"Mall","given":"Marcus A.","non-dropping-particle":"","parse-names":false,"suffix":""},{"dropping-particle":"","family":"McKone","given":"Edward F.","non-dropping-particle":"","parse-names":false,"suffix":""},{"dropping-particle":"","family":"Ramsey","given":"Bonnie W.","non-dropping-particle":"","parse-names":false,"suffix":""},{"dropping-particle":"","family":"Rowe","given":"Steven M.","non-dropping-particle":"","parse-names":false,"suffix":""},{"dropping-particle":"","family":"Sass","given":"Laura A.","non-dropping-particle":"","parse-names":false,"suffix":""},{"dropping-particle":"","family":"Tullis","given":"Elizabeth","non-dropping-particle":"","parse-names":false,"suffix":""},{"dropping-particle":"","family":"McKee","given":"Charlotte M.","non-dropping-particle":"","parse-names":false,"suffix":""},{"dropping-particle":"","family":"Moskowitz","given":"Samuel M.","non-dropping-particle":"","parse-names":false,"suffix":""},{"dropping-particle":"","family":"Robertson","given":"Sarah","non-dropping-particle":"","parse-names":false,"suffix":""},{"dropping-particle":"","family":"Savage","given":"Jessica","non-dropping-particle":"","parse-names":false,"suffix":""},{"dropping-particle":"","family":"Simard","given":"Christopher","non-dropping-particle":"","parse-names":false,"suffix":""},{"dropping-particle":"","family":"Goor","given":"Fredrick","non-dropping-particle":"Van","parse-names":false,"suffix":""},{"dropping-particle":"","family":"Waltz","given":"David","non-dropping-particle":"","parse-names":false,"suffix":""},{"dropping-particle":"","family":"Xuan","given":"Fengjuan","non-dropping-particle":"","parse-names":false,"suffix":""},{"dropping-particle":"","family":"Young","given":"Tim","non-dropping-particle":"","parse-names":false,"suffix":""},{"dropping-particle":"","family":"Taylor-Cousar","given":"Jennifer L.","non-dropping-particle":"","parse-names":false,"suffix":""}],"container-title":"New England Journal of Medicine","id":"ITEM-5","issue":"17","issued":{"date-parts":[["2018"]]},"page":"1612-1620","title":"VX-445-tezacaftor-ivacaftor in patients with cystic fibrosis and one or two Phe508del alleles","type":"article-journal","volume":"379"},"uris":["http://www.mendeley.com/documents/?uuid=bf325a76-1873-41c6-8e8f-c0e506386b5b"]}],"mendeley":{"formattedCitation":"[7–11]","plainTextFormattedCitation":"[7–11]","previouslyFormattedCitation":"[7–11]"},"properties":{"noteIndex":0},"schema":"https://github.com/citation-style-language/schema/raw/master/csl-citation.json"}</w:instrText>
      </w:r>
      <w:r w:rsidRPr="00FD2DD0">
        <w:rPr>
          <w:rFonts w:ascii="Arial" w:hAnsi="Arial" w:cs="Arial"/>
          <w:b w:val="0"/>
        </w:rPr>
        <w:fldChar w:fldCharType="separate"/>
      </w:r>
      <w:r w:rsidR="00BE28B9" w:rsidRPr="00BE28B9">
        <w:rPr>
          <w:rFonts w:ascii="Arial" w:hAnsi="Arial" w:cs="Arial"/>
          <w:b w:val="0"/>
          <w:noProof/>
        </w:rPr>
        <w:t>[7–11]</w:t>
      </w:r>
      <w:r w:rsidRPr="00FD2DD0">
        <w:rPr>
          <w:rFonts w:ascii="Arial" w:hAnsi="Arial" w:cs="Arial"/>
          <w:b w:val="0"/>
        </w:rPr>
        <w:fldChar w:fldCharType="end"/>
      </w:r>
      <w:r w:rsidRPr="00FD2DD0">
        <w:rPr>
          <w:rFonts w:ascii="Arial" w:hAnsi="Arial" w:cs="Arial"/>
          <w:b w:val="0"/>
        </w:rPr>
        <w:t xml:space="preserve">. However, in the development of VX-770, which is a CFTR potentiator not a CFTR corrector, comparison of bands B and C in Western blotting was not a relevant endpoint to measure, and so these studies relied more heavily on electrophysiological investigations </w:t>
      </w:r>
      <w:r w:rsidRPr="00FD2DD0">
        <w:rPr>
          <w:rFonts w:ascii="Arial" w:hAnsi="Arial" w:cs="Arial"/>
          <w:b w:val="0"/>
        </w:rPr>
        <w:fldChar w:fldCharType="begin" w:fldLock="1"/>
      </w:r>
      <w:r w:rsidR="003B01C2">
        <w:rPr>
          <w:rFonts w:ascii="Arial" w:hAnsi="Arial" w:cs="Arial"/>
          <w:b w:val="0"/>
        </w:rPr>
        <w:instrText>ADDIN CSL_CITATION {"citationItems":[{"id":"ITEM-1","itemData":{"DOI":"10.1073/pnas.0904709106","ISSN":"00278424","abstract":"Cystic fibrosis (CF) is a fatal genetic disease caused by mutations in the gene encoding the CF transmembrane conductance regulator (CFTR), a protein kinase A (PKA)-activated epithelial anion channel involved in salt and fluid transport in multiple organs, including the lung. Most CF mutations either reduce the number of CFTR channels at the cell surface (e.g., synthesis or processing mutations) or impair channel function (e.g., gating or conductance mutations) or both. There are currently no approved therapies that target CFTR. Here we describe the in vitro pharmacology of VX-770, an orally bioavailable CFTR potentiator in clinical development for the treatment of CF. In recombinant cells VX-770 increased CFTR channel open probability (Po) in both the F508del processing mutation and the G551D gating mutation. VX-770 also increased Cl - secretion in cultured human CF bronchial epithelia (HBE) carrying the G551D gating mutation on one allele and the F508del processing mutation on the other allele by ≈10-fold, to ≈50% of that observed in HBE isolated from individuals without CF. Furthermore, VX-770 reduced excessive Na+ and fluid absorption to prevent dehydration of the apical surface and increased cilia beating in these epithelial cultures. These results support the hypothesis that pharmacological agents that restore or increase CFTR function can rescue epithelial cell function in human CF airway.","author":[{"dropping-particle":"","family":"Goor","given":"Fredrick","non-dropping-particle":"Van","parse-names":false,"suffix":""},{"dropping-particle":"","family":"Hadida","given":"Sabine","non-dropping-particle":"","parse-names":false,"suffix":""},{"dropping-particle":"","family":"Grootenhuis","given":"Peter D.J.","non-dropping-particle":"","parse-names":false,"suffix":""},{"dropping-particle":"","family":"Burton","given":"Bill","non-dropping-particle":"","parse-names":false,"suffix":""},{"dropping-particle":"","family":"Cao","given":"Dong","non-dropping-particle":"","parse-names":false,"suffix":""},{"dropping-particle":"","family":"Neuberger","given":"Tim","non-dropping-particle":"","parse-names":false,"suffix":""},{"dropping-particle":"","family":"Turnbull","given":"Amanda","non-dropping-particle":"","parse-names":false,"suffix":""},{"dropping-particle":"","family":"Singh","given":"Ashvani","non-dropping-particle":"","parse-names":false,"suffix":""},{"dropping-particle":"","family":"Joubran","given":"John","non-dropping-particle":"","parse-names":false,"suffix":""},{"dropping-particle":"","family":"Hazlewood","given":"Anna","non-dropping-particle":"","parse-names":false,"suffix":""},{"dropping-particle":"","family":"Zhou","given":"Jinglan","non-dropping-particle":"","parse-names":false,"suffix":""},{"dropping-particle":"","family":"McCartney","given":"Jason","non-dropping-particle":"","parse-names":false,"suffix":""},{"dropping-particle":"","family":"Arumugam","given":"Vijayalaksmi","non-dropping-particle":"","parse-names":false,"suffix":""},{"dropping-particle":"","family":"Decker","given":"Caroline","non-dropping-particle":"","parse-names":false,"suffix":""},{"dropping-particle":"","family":"Yang","given":"Jennifer","non-dropping-particle":"","parse-names":false,"suffix":""},{"dropping-particle":"","family":"Young","given":"Chris","non-dropping-particle":"","parse-names":false,"suffix":""},{"dropping-particle":"","family":"Olson","given":"Eric R.","non-dropping-particle":"","parse-names":false,"suffix":""},{"dropping-particle":"","family":"Wine","given":"Jeffery J.","non-dropping-particle":"","parse-names":false,"suffix":""},{"dropping-particle":"","family":"Frizzell","given":"Raymond A.","non-dropping-particle":"","parse-names":false,"suffix":""},{"dropping-particle":"","family":"Ashlock","given":"Melissa","non-dropping-particle":"","parse-names":false,"suffix":""},{"dropping-particle":"","family":"Negulescu","given":"Paul","non-dropping-particle":"","parse-names":false,"suffix":""}],"container-title":"Proceedings of the National Academy of Sciences of the United States of America","id":"ITEM-1","issue":"44","issued":{"date-parts":[["2009"]]},"page":"18825-18830","title":"Rescue of CF airway epithelial cell function in vitro by a CFTR potentiator, VX-770","type":"article-journal","volume":"106"},"uris":["http://www.mendeley.com/documents/?uuid=a17077bb-28ed-4d63-ab42-e2c0bffdff27"]},{"id":"ITEM-2","itemData":{"DOI":"10.1056/nejmoa0909825","ISSN":"0028-4793","abstract":"BACKGROUND: A new approach in the treatment of cystic fibrosis involves improving the function of mutant cystic fibrosis transmembrane conductance regulator (CFTR). VX-770, a CFTR potentiator, has been shown to increase the activity of wild-type and defective cellsurface CFTR in vitro. METHODS: We randomly assigned 39 adults with cystic fibrosis and at least one G551D-CFTR allele to receive oral VX-770 every 12 hours at a dose of 25, 75, or 150 mg or placebo for 14 days (in part 1 of the study) or VX-770 every 12 hours at a dose of 150 or 250 mg or placebo for 28 days (in part 2 of the study). RESULTS: At day 28, in the group of subjects who received 150 mg of VX-770, the median change in the nasal potential difference (in response to the administration of a chloride-free isoproterenol solution) from baseline was -3.5 mV (range, -8.3 to 0.5; P = 0.02 for the within-subject comparison, P = 0.13 vs. placebo), and the median change in the level of sweat chloride was -59.5 mmol per liter (range, -66.0 to -19.0; P = 0.008 within-subject, P = 0.02 vs. placebo). The median change from baseline in the percent of predicted forced expiratory volume in 1 second was 8.7% (range, 2.3 to 31.3; P = 0.008 for the within-subject comparison, P = 0.56 vs. placebo). None of the subjects withdrew from the study. Six severe adverse events occurred in two subjects (diffuse macular rash in one subject and five incidents of elevated blood and urine glucose levels in one subject with diabetes). All severe adverse events resolved without the discontinuation of VX-770. CONCLUSIONS: This study to evaluate the safety and adverse-event profile of VX-770 showed that VX-770 was associated with within-subject improvements in CFTR and lung function. These findings provide support for further studies of pharmacologic potentiation of CFTR as a means to treat cystic fibrosis. (Funded by Vertex Pharmaceuticals and others; ClinicalTrials.gov number, NCT00457821.) Copyright © 2010 Massachusetts Medical Society.","author":[{"dropping-particle":"","family":"Accurso","given":"Frank J.","non-dropping-particle":"","parse-names":false,"suffix":""},{"dropping-particle":"","family":"Rowe","given":"Steven M.","non-dropping-particle":"","parse-names":false,"suffix":""},{"dropping-particle":"","family":"Clancy","given":"J.P.","non-dropping-particle":"","parse-names":false,"suffix":""},{"dropping-particle":"","family":"Boyle","given":"Michael P.","non-dropping-particle":"","parse-names":false,"suffix":""},{"dropping-particle":"","family":"Dunitz","given":"Jordan M.","non-dropping-particle":"","parse-names":false,"suffix":""},{"dropping-particle":"","family":"Durie","given":"Peter R.","non-dropping-particle":"","parse-names":false,"suffix":""},{"dropping-particle":"","family":"Sagel","given":"Scott D.","non-dropping-particle":"","parse-names":false,"suffix":""},{"dropping-particle":"","family":"Hornick","given":"Douglas B.","non-dropping-particle":"","parse-names":false,"suffix":""},{"dropping-particle":"","family":"Konstan","given":"Michael W.","non-dropping-particle":"","parse-names":false,"suffix":""},{"dropping-particle":"","family":"Donaldson","given":"Scott H.","non-dropping-particle":"","parse-names":false,"suffix":""},{"dropping-particle":"","family":"Moss","given":"Richard B.","non-dropping-particle":"","parse-names":false,"suffix":""},{"dropping-particle":"","family":"Pilewski","given":"Joseph M.","non-dropping-particle":"","parse-names":false,"suffix":""},{"dropping-particle":"","family":"Rubenstein","given":"Ronald C.","non-dropping-particle":"","parse-names":false,"suffix":""},{"dropping-particle":"","family":"Uluer","given":"Ahmet Z.","non-dropping-particle":"","parse-names":false,"suffix":""},{"dropping-particle":"","family":"Aitken","given":"Moira L.","non-dropping-particle":"","parse-names":false,"suffix":""},{"dropping-particle":"","family":"Freedman","given":"Steven D.","non-dropping-particle":"","parse-names":false,"suffix":""},{"dropping-particle":"","family":"Rose","given":"Lynn M.","non-dropping-particle":"","parse-names":false,"suffix":""},{"dropping-particle":"","family":"Mayer-Hamblett","given":"Nicole","non-dropping-particle":"","parse-names":false,"suffix":""},{"dropping-particle":"","family":"Dong","given":"Qunming","non-dropping-particle":"","parse-names":false,"suffix":""},{"dropping-particle":"","family":"Zha","given":"Jiuhong","non-dropping-particle":"","parse-names":false,"suffix":""},{"dropping-particle":"","family":"Stone","given":"Anne J.","non-dropping-particle":"","parse-names":false,"suffix":""},{"dropping-particle":"","family":"Olson","given":"Eric R.","non-dropping-particle":"","parse-names":false,"suffix":""},{"dropping-particle":"","family":"Ordoñez","given":"Claudia L.","non-dropping-particle":"","parse-names":false,"suffix":""},{"dropping-particle":"","family":"Campbell","given":"Preston W.","non-dropping-particle":"","parse-names":false,"suffix":""},{"dropping-particle":"","family":"Ashlock","given":"Melissa A.","non-dropping-particle":"","parse-names":false,"suffix":""},{"dropping-particle":"","family":"Ramsey","given":"Bonnie W.","non-dropping-particle":"","parse-names":false,"suffix":""}],"container-title":"New England Journal of Medicine","id":"ITEM-2","issue":"21","issued":{"date-parts":[["2010"]]},"page":"1991-2003","title":"Effect of VX-770 in Persons with Cystic Fibrosis and the G551D- CFTR Mutation","type":"article-journal","volume":"363"},"uris":["http://www.mendeley.com/documents/?uuid=c70b56f6-90e4-4d47-9b9d-c6ffdb2cc347"]}],"mendeley":{"formattedCitation":"[12,13]","plainTextFormattedCitation":"[12,13]","previouslyFormattedCitation":"[12,13]"},"properties":{"noteIndex":0},"schema":"https://github.com/citation-style-language/schema/raw/master/csl-citation.json"}</w:instrText>
      </w:r>
      <w:r w:rsidRPr="00FD2DD0">
        <w:rPr>
          <w:rFonts w:ascii="Arial" w:hAnsi="Arial" w:cs="Arial"/>
          <w:b w:val="0"/>
        </w:rPr>
        <w:fldChar w:fldCharType="separate"/>
      </w:r>
      <w:r w:rsidR="00BE28B9" w:rsidRPr="00BE28B9">
        <w:rPr>
          <w:rFonts w:ascii="Arial" w:hAnsi="Arial" w:cs="Arial"/>
          <w:b w:val="0"/>
          <w:noProof/>
        </w:rPr>
        <w:t>[12,13]</w:t>
      </w:r>
      <w:r w:rsidRPr="00FD2DD0">
        <w:rPr>
          <w:rFonts w:ascii="Arial" w:hAnsi="Arial" w:cs="Arial"/>
          <w:b w:val="0"/>
        </w:rPr>
        <w:fldChar w:fldCharType="end"/>
      </w:r>
      <w:r w:rsidRPr="00FD2DD0">
        <w:rPr>
          <w:rFonts w:ascii="Arial" w:hAnsi="Arial" w:cs="Arial"/>
          <w:b w:val="0"/>
        </w:rPr>
        <w:t xml:space="preserve">. As the present study is seeking to characterize the potentiating actions of VX-445, electrophysiological investigations have played a similarly important role. Thus, it is important to further discuss the translatability of electrophysiological analysis and offer concrete examples for how our results </w:t>
      </w:r>
      <w:r w:rsidRPr="00FD2DD0">
        <w:rPr>
          <w:rFonts w:ascii="Arial" w:hAnsi="Arial" w:cs="Arial"/>
          <w:b w:val="0"/>
          <w:i/>
        </w:rPr>
        <w:t>in vitro</w:t>
      </w:r>
      <w:r w:rsidRPr="00FD2DD0">
        <w:rPr>
          <w:rFonts w:ascii="Arial" w:hAnsi="Arial" w:cs="Arial"/>
          <w:b w:val="0"/>
        </w:rPr>
        <w:t xml:space="preserve"> may translate </w:t>
      </w:r>
      <w:r w:rsidRPr="00FD2DD0">
        <w:rPr>
          <w:rFonts w:ascii="Arial" w:hAnsi="Arial" w:cs="Arial"/>
          <w:b w:val="0"/>
          <w:i/>
        </w:rPr>
        <w:t>in vivo</w:t>
      </w:r>
      <w:r w:rsidRPr="00FD2DD0">
        <w:rPr>
          <w:rFonts w:ascii="Arial" w:hAnsi="Arial" w:cs="Arial"/>
          <w:b w:val="0"/>
        </w:rPr>
        <w:t>.</w:t>
      </w:r>
    </w:p>
    <w:p w14:paraId="5F459938" w14:textId="77777777" w:rsidR="0098320F" w:rsidRDefault="0098320F" w:rsidP="0098320F">
      <w:pPr>
        <w:pStyle w:val="Refhead"/>
        <w:spacing w:before="0" w:after="0"/>
        <w:jc w:val="both"/>
        <w:rPr>
          <w:rFonts w:ascii="Arial" w:hAnsi="Arial" w:cs="Arial"/>
          <w:b w:val="0"/>
        </w:rPr>
      </w:pPr>
    </w:p>
    <w:p w14:paraId="279EAB78" w14:textId="016C157E" w:rsidR="006359E6" w:rsidRPr="00FD2DD0" w:rsidRDefault="006359E6" w:rsidP="0098320F">
      <w:pPr>
        <w:pStyle w:val="Refhead"/>
        <w:spacing w:before="0" w:after="0"/>
        <w:jc w:val="both"/>
        <w:rPr>
          <w:rFonts w:ascii="Arial" w:hAnsi="Arial" w:cs="Arial"/>
          <w:b w:val="0"/>
        </w:rPr>
      </w:pPr>
      <w:r w:rsidRPr="00FD2DD0">
        <w:rPr>
          <w:rFonts w:ascii="Arial" w:hAnsi="Arial" w:cs="Arial"/>
          <w:b w:val="0"/>
        </w:rPr>
        <w:t xml:space="preserve">Nasal potential difference (NPD) testing is a tool used by clinicians to diagnose CF. In this test, a Ringer’s solution is perfused against the nasal inferior turbinate and the PD across the nasal epithelium can be measured </w:t>
      </w:r>
      <w:r w:rsidRPr="00FD2DD0">
        <w:rPr>
          <w:rFonts w:ascii="Arial" w:hAnsi="Arial" w:cs="Arial"/>
          <w:b w:val="0"/>
          <w:i/>
        </w:rPr>
        <w:t>in vivo</w:t>
      </w:r>
      <w:r w:rsidRPr="00FD2DD0">
        <w:rPr>
          <w:rFonts w:ascii="Arial" w:hAnsi="Arial" w:cs="Arial"/>
          <w:b w:val="0"/>
        </w:rPr>
        <w:t xml:space="preserve">. The PD at baseline, as well as the ΔPD in response to the additions of amiloride (reflective of ENaC function) and isoproterenol (reflective of CFTR function) to the Ringer’s perfusion can all be used to identify differences between non-CF and CF, as well as efficacy of CFTR modulators in increasing CFTR function </w:t>
      </w:r>
      <w:r w:rsidRPr="00FD2DD0">
        <w:rPr>
          <w:rFonts w:ascii="Arial" w:hAnsi="Arial" w:cs="Arial"/>
          <w:b w:val="0"/>
        </w:rPr>
        <w:fldChar w:fldCharType="begin" w:fldLock="1"/>
      </w:r>
      <w:r w:rsidR="003B01C2">
        <w:rPr>
          <w:rFonts w:ascii="Arial" w:hAnsi="Arial" w:cs="Arial"/>
          <w:b w:val="0"/>
        </w:rPr>
        <w:instrText>ADDIN CSL_CITATION {"citationItems":[{"id":"ITEM-1","itemData":{"DOI":"10.1007/978-1-61779-117-8_6","ISBN":"978-1-61779-117-8","abstract":"The Nasal potential difference measurement is used to measure the voltage across the nasal epithelium, which results from transepithelial ion transport and reflects in part CFTR function. The electrophysiologic abnormality in cystic fibrosis was first described 30 years ago and correlates with features of the CF phenotype. NPD measurement is an important in vivo research and diagnostic tool, and is used to assess the efficacy of new treatments such as gene therapy and ion transport modulators. This chapter will elaborate on the electrophysiological principles behind the test, the equipment required, the methods, and the analysis of the data.","author":[{"dropping-particle":"","family":"Rowe","given":"Steven M","non-dropping-particle":"","parse-names":false,"suffix":""},{"dropping-particle":"","family":"Clancy","given":"John Paul","non-dropping-particle":"","parse-names":false,"suffix":""},{"dropping-particle":"","family":"Wilschanski","given":"Michael","non-dropping-particle":"","parse-names":false,"suffix":""}],"container-title":"Cystic Fibrosis: Diagnosis and Protocols, Volume I: Approaches to Study and Correct CFTR Defects","editor":[{"dropping-particle":"","family":"Amaral","given":"Margarida D","non-dropping-particle":"","parse-names":false,"suffix":""},{"dropping-particle":"","family":"Kunzelmann","given":"Karl","non-dropping-particle":"","parse-names":false,"suffix":""}],"id":"ITEM-1","issued":{"date-parts":[["2011"]]},"page":"69-86","publisher":"Humana Press","publisher-place":"Totowa, NJ","title":"Nasal Potential Difference Measurements to Assess CFTR Ion Channel Activity","type":"chapter"},"uris":["http://www.mendeley.com/documents/?uuid=befade95-5f91-4888-ae7a-ad75b63eb3fc"]},{"id":"ITEM-2","itemData":{"ISSN":"09041850","PMID":"2292287","abstract":"Patients with cystic fibrosis (CF) demonstrate a markedly more negative potential difference (PD) across respiratory epithelia than normal or 'diseased' controls. A technique is described for the measurement of nasal PD in both children and adults. 145 non-CF subjects showed a mean PD of -19.0 mV (range -2 to -36) in comparison to 60 patients with cystic fibrosis with mean of -46.0 mV (range -32 to -77). Amongst the latter group those with more severe disease had a more negative PD. Measurement of nasal PD is easily learnt and rapidly performed and may provide an additional means of diagnosis for CF.","author":[{"dropping-particle":"","family":"Alton","given":"E. W.F.W.","non-dropping-particle":"","parse-names":false,"suffix":""},{"dropping-particle":"","family":"Currie","given":"D.","non-dropping-particle":"","parse-names":false,"suffix":""},{"dropping-particle":"","family":"Logan-Sinclair","given":"R.","non-dropping-particle":"","parse-names":false,"suffix":""},{"dropping-particle":"","family":"Warner","given":"J. O.","non-dropping-particle":"","parse-names":false,"suffix":""},{"dropping-particle":"","family":"Hodson","given":"M. E.","non-dropping-particle":"","parse-names":false,"suffix":""},{"dropping-particle":"","family":"Geddes","given":"D. M.","non-dropping-particle":"","parse-names":false,"suffix":""}],"container-title":"European Respiratory Journal","id":"ITEM-2","issue":"8","issued":{"date-parts":[["1990"]]},"page":"922-926","title":"Nasal potential difference: A clinical diagnostic test for cystic fibrosis","type":"article-journal","volume":"3"},"uris":["http://www.mendeley.com/documents/?uuid=f04a9215-98e5-48f0-a4b4-6d6c08542d8a"]},{"id":"ITEM-3","itemData":{"DOI":"10.1183/09031936.97.10092018","ISSN":"09031936","PMID":"9311495","abstract":"In cystic fibrosis (CF), the clinical condition of patients correlates poorly with genotype. One possible explanation is that clinical status is influenced by net preserved chloride secretion rather than the CF mutation. We tested the relationships between residual chloride secretion, as measured by nasal potential difference (PD) and the type of mutation (genotypes expressing apical cystic fibrosis transmembrane conductance regulator (CFTR) protein versus those that do not) and clinical status. Twenty two CB patients (mean age 25.7 yrs, 11 females and 11 males, mean forced expiratory volume in one second (FEV1) 53.1% of predicted) with defined genotypes were recruited. Nasal PD was measured using a standard protocol involving the perfusion of the nasal epithelium with a sodium channel blocker (amiloride), followed by a solution of low chloride and finally with isoprenaline. Patients with apical CFTR protein showed higher residual chloride secretion than those without (amiloride to isoprenaline value of 4.59 and 0.56 mV, respectively, p = 0.01). There was no correlation between mutation type and clinical condition. When these patients were recategorized as 'high' (&gt;10 mV amiloride to isoprenaline response) or 'low' (10 mV or less) chloride secretors, we found that the former group had a significantly higher FEV1 (67.7 versus 48.3% pred) and a better pulmonary radiological score (4.14 versus 7.07, by Northern scoring system). These results suggest that some cystic fibrosis patients, regardless of genotype, have an ability to secrete chloride when stimulated with chloride secretatagogues, and this is correlated with a better lung function. These results also have implications for the use of potential difference measurements in novel cystic fibrosis transmembrane conductance regulator replacement trials.","author":[{"dropping-particle":"","family":"Ho","given":"L. P.","non-dropping-particle":"","parse-names":false,"suffix":""},{"dropping-particle":"","family":"Samways","given":"J. M.","non-dropping-particle":"","parse-names":false,"suffix":""},{"dropping-particle":"","family":"Porteous","given":"D. J.","non-dropping-particle":"","parse-names":false,"suffix":""},{"dropping-particle":"","family":"Dorin","given":"J. R.","non-dropping-particle":"","parse-names":false,"suffix":""},{"dropping-particle":"","family":"Carothers","given":"A.","non-dropping-particle":"","parse-names":false,"suffix":""},{"dropping-particle":"","family":"Greening","given":"A. P.","non-dropping-particle":"","parse-names":false,"suffix":""},{"dropping-particle":"","family":"Innes","given":"J. A.","non-dropping-particle":"","parse-names":false,"suffix":""}],"container-title":"European Respiratory Journal","id":"ITEM-3","issue":"9","issued":{"date-parts":[["1997"]]},"page":"2018-2022","title":"Correlation between nasal potential difference measurements, genotype and clinical condition in patients with cystic fibrosis","type":"article-journal","volume":"10"},"uris":["http://www.mendeley.com/documents/?uuid=3f634ac8-b3d8-4b5c-8e61-10c3d2611b14"]}],"mendeley":{"formattedCitation":"[14–16]","plainTextFormattedCitation":"[14–16]","previouslyFormattedCitation":"[14–16]"},"properties":{"noteIndex":0},"schema":"https://github.com/citation-style-language/schema/raw/master/csl-citation.json"}</w:instrText>
      </w:r>
      <w:r w:rsidRPr="00FD2DD0">
        <w:rPr>
          <w:rFonts w:ascii="Arial" w:hAnsi="Arial" w:cs="Arial"/>
          <w:b w:val="0"/>
        </w:rPr>
        <w:fldChar w:fldCharType="separate"/>
      </w:r>
      <w:r w:rsidR="00BE28B9" w:rsidRPr="00BE28B9">
        <w:rPr>
          <w:rFonts w:ascii="Arial" w:hAnsi="Arial" w:cs="Arial"/>
          <w:b w:val="0"/>
          <w:noProof/>
        </w:rPr>
        <w:t>[14–16]</w:t>
      </w:r>
      <w:r w:rsidRPr="00FD2DD0">
        <w:rPr>
          <w:rFonts w:ascii="Arial" w:hAnsi="Arial" w:cs="Arial"/>
          <w:b w:val="0"/>
        </w:rPr>
        <w:fldChar w:fldCharType="end"/>
      </w:r>
      <w:r w:rsidRPr="00FD2DD0">
        <w:rPr>
          <w:rFonts w:ascii="Arial" w:hAnsi="Arial" w:cs="Arial"/>
          <w:b w:val="0"/>
        </w:rPr>
        <w:t xml:space="preserve">. The PD at baseline of individuals with CF (approximately -40 mV) is more negative than that of non-CF individuals (approximately -20 mV). It was shown in clinical trials that treatment with VX-770 increased PD at baseline, decreased the ΔPD response to amiloride, and increased the ΔPD response to isoproterenol </w:t>
      </w:r>
      <w:r w:rsidRPr="00FD2DD0">
        <w:rPr>
          <w:rFonts w:ascii="Arial" w:hAnsi="Arial" w:cs="Arial"/>
          <w:b w:val="0"/>
        </w:rPr>
        <w:fldChar w:fldCharType="begin" w:fldLock="1"/>
      </w:r>
      <w:r w:rsidR="003B01C2">
        <w:rPr>
          <w:rFonts w:ascii="Arial" w:hAnsi="Arial" w:cs="Arial"/>
          <w:b w:val="0"/>
        </w:rPr>
        <w:instrText>ADDIN CSL_CITATION {"citationItems":[{"id":"ITEM-1","itemData":{"DOI":"10.1056/nejmoa0909825","ISSN":"0028-4793","abstract":"BACKGROUND: A new approach in the treatment of cystic fibrosis involves improving the function of mutant cystic fibrosis transmembrane conductance regulator (CFTR). VX-770, a CFTR potentiator, has been shown to increase the activity of wild-type and defective cellsurface CFTR in vitro. METHODS: We randomly assigned 39 adults with cystic fibrosis and at least one G551D-CFTR allele to receive oral VX-770 every 12 hours at a dose of 25, 75, or 150 mg or placebo for 14 days (in part 1 of the study) or VX-770 every 12 hours at a dose of 150 or 250 mg or placebo for 28 days (in part 2 of the study). RESULTS: At day 28, in the group of subjects who received 150 mg of VX-770, the median change in the nasal potential difference (in response to the administration of a chloride-free isoproterenol solution) from baseline was -3.5 mV (range, -8.3 to 0.5; P = 0.02 for the within-subject comparison, P = 0.13 vs. placebo), and the median change in the level of sweat chloride was -59.5 mmol per liter (range, -66.0 to -19.0; P = 0.008 within-subject, P = 0.02 vs. placebo). The median change from baseline in the percent of predicted forced expiratory volume in 1 second was 8.7% (range, 2.3 to 31.3; P = 0.008 for the within-subject comparison, P = 0.56 vs. placebo). None of the subjects withdrew from the study. Six severe adverse events occurred in two subjects (diffuse macular rash in one subject and five incidents of elevated blood and urine glucose levels in one subject with diabetes). All severe adverse events resolved without the discontinuation of VX-770. CONCLUSIONS: This study to evaluate the safety and adverse-event profile of VX-770 showed that VX-770 was associated with within-subject improvements in CFTR and lung function. These findings provide support for further studies of pharmacologic potentiation of CFTR as a means to treat cystic fibrosis. (Funded by Vertex Pharmaceuticals and others; ClinicalTrials.gov number, NCT00457821.) Copyright © 2010 Massachusetts Medical Society.","author":[{"dropping-particle":"","family":"Accurso","given":"Frank J.","non-dropping-particle":"","parse-names":false,"suffix":""},{"dropping-particle":"","family":"Rowe","given":"Steven M.","non-dropping-particle":"","parse-names":false,"suffix":""},{"dropping-particle":"","family":"Clancy","given":"J.P.","non-dropping-particle":"","parse-names":false,"suffix":""},{"dropping-particle":"","family":"Boyle","given":"Michael P.","non-dropping-particle":"","parse-names":false,"suffix":""},{"dropping-particle":"","family":"Dunitz","given":"Jordan M.","non-dropping-particle":"","parse-names":false,"suffix":""},{"dropping-particle":"","family":"Durie","given":"Peter R.","non-dropping-particle":"","parse-names":false,"suffix":""},{"dropping-particle":"","family":"Sagel","given":"Scott D.","non-dropping-particle":"","parse-names":false,"suffix":""},{"dropping-particle":"","family":"Hornick","given":"Douglas B.","non-dropping-particle":"","parse-names":false,"suffix":""},{"dropping-particle":"","family":"Konstan","given":"Michael W.","non-dropping-particle":"","parse-names":false,"suffix":""},{"dropping-particle":"","family":"Donaldson","given":"Scott H.","non-dropping-particle":"","parse-names":false,"suffix":""},{"dropping-particle":"","family":"Moss","given":"Richard B.","non-dropping-particle":"","parse-names":false,"suffix":""},{"dropping-particle":"","family":"Pilewski","given":"Joseph M.","non-dropping-particle":"","parse-names":false,"suffix":""},{"dropping-particle":"","family":"Rubenstein","given":"Ronald C.","non-dropping-particle":"","parse-names":false,"suffix":""},{"dropping-particle":"","family":"Uluer","given":"Ahmet Z.","non-dropping-particle":"","parse-names":false,"suffix":""},{"dropping-particle":"","family":"Aitken","given":"Moira L.","non-dropping-particle":"","parse-names":false,"suffix":""},{"dropping-particle":"","family":"Freedman","given":"Steven D.","non-dropping-particle":"","parse-names":false,"suffix":""},{"dropping-particle":"","family":"Rose","given":"Lynn M.","non-dropping-particle":"","parse-names":false,"suffix":""},{"dropping-particle":"","family":"Mayer-Hamblett","given":"Nicole","non-dropping-particle":"","parse-names":false,"suffix":""},{"dropping-particle":"","family":"Dong","given":"Qunming","non-dropping-particle":"","parse-names":false,"suffix":""},{"dropping-particle":"","family":"Zha","given":"Jiuhong","non-dropping-particle":"","parse-names":false,"suffix":""},{"dropping-particle":"","family":"Stone","given":"Anne J.","non-dropping-particle":"","parse-names":false,"suffix":""},{"dropping-particle":"","family":"Olson","given":"Eric R.","non-dropping-particle":"","parse-names":false,"suffix":""},{"dropping-particle":"","family":"Ordoñez","given":"Claudia L.","non-dropping-particle":"","parse-names":false,"suffix":""},{"dropping-particle":"","family":"Campbell","given":"Preston W.","non-dropping-particle":"","parse-names":false,"suffix":""},{"dropping-particle":"","family":"Ashlock","given":"Melissa A.","non-dropping-particle":"","parse-names":false,"suffix":""},{"dropping-particle":"","family":"Ramsey","given":"Bonnie W.","non-dropping-particle":"","parse-names":false,"suffix":""}],"container-title":"New England Journal of Medicine","id":"ITEM-1","issue":"21","issued":{"date-parts":[["2010"]]},"page":"1991-2003","title":"Effect of VX-770 in Persons with Cystic Fibrosis and the G551D- CFTR Mutation","type":"article-journal","volume":"363"},"uris":["http://www.mendeley.com/documents/?uuid=c70b56f6-90e4-4d47-9b9d-c6ffdb2cc347","http://www.mendeley.com/documents/?uuid=9bf8f99c-e1ac-44c6-9d80-380159717bb3"]},{"id":"ITEM-2","itemData":{"DOI":"10.1371/journal.pone.0066955","ISSN":"19326203","PMID":"23922647","abstract":"Nasal potential difference (NPD) is used as a biomarker of the cystic fibrosis transmembrane conductance regulator (CFTR) and epithelial sodium channel (ENaC) activity. We evaluated methods to detect changes in chloride and sodium transport by NPD based on a secondary analysis of a Phase II CFTR-modulator study. Thirty-nine subjects with CF who also had the G551D-CFTR mutation were randomized to receive ivacaftor (Kalydeco™; also known as VX-770) in four doses or placebo twice daily for at least 14 days. All data were analyzed by a single investigator who was blinded to treatment assignment. We compared three analysis methods to determine the best approach to quantify changes in chloride and sodium transport: (1) the average of both nostrils; (2) the most-polarized nostril at each visit; and (3) the most-polarized nostril at screening carried forward. Parameters of ion transport included the PD change with zero chloride plus isoproterenol (CFTR activity), the basal PD, Ringer's PD, and change in PD with amiloride (measurements of ENaC activity), and the delta NPD (measuring CFTR and ENaC activity). The average and most-polarized nostril at each visit were most sensitive to changes in chloride and sodium transport, whereas the most-polarized nostril at screening carried forward was less discriminatory. Based on our findings, NPD studies should assess both nostrils rather than a single nostril. We also found that changes in CFTR activity were more readily detected than changes in ENaC activity, and that rigorous standardization was associated with relatively good within-subject reproducibility in placebo-treated subjects (±2.8 mV). Therefore, we have confirmed an assay of reasonable reproducibility for detecting chloride-transport improvements in response to CFTR modulation. © 2013 Rowe et al.","author":[{"dropping-particle":"","family":"Rowe","given":"Steven M.","non-dropping-particle":"","parse-names":false,"suffix":""},{"dropping-particle":"","family":"Liu","given":"Bo","non-dropping-particle":"","parse-names":false,"suffix":""},{"dropping-particle":"","family":"Hill","given":"Aubrey","non-dropping-particle":"","parse-names":false,"suffix":""},{"dropping-particle":"","family":"Hathorne","given":"Heather","non-dropping-particle":"","parse-names":false,"suffix":""},{"dropping-particle":"","family":"Cohen","given":"Morty","non-dropping-particle":"","parse-names":false,"suffix":""},{"dropping-particle":"","family":"Beamer","given":"John R.","non-dropping-particle":"","parse-names":false,"suffix":""},{"dropping-particle":"","family":"Accurso","given":"Frank J.","non-dropping-particle":"","parse-names":false,"suffix":""},{"dropping-particle":"","family":"Dong","given":"Qunming","non-dropping-particle":"","parse-names":false,"suffix":""},{"dropping-particle":"","family":"Ordoñez","given":"Claudia L.","non-dropping-particle":"","parse-names":false,"suffix":""},{"dropping-particle":"","family":"Stone","given":"Anne J.","non-dropping-particle":"","parse-names":false,"suffix":""},{"dropping-particle":"","family":"Olson","given":"Eric R.","non-dropping-particle":"","parse-names":false,"suffix":""},{"dropping-particle":"","family":"Clancy","given":"John P.","non-dropping-particle":"","parse-names":false,"suffix":""}],"container-title":"PLoS ONE","id":"ITEM-2","issue":"7","issued":{"date-parts":[["2013"]]},"title":"Optimizing Nasal Potential Difference Analysis for CFTR Modulator Development: Assessment of Ivacaftor in CF Subjects with the G551D-CFTR Mutation","type":"article-journal","volume":"8"},"uris":["http://www.mendeley.com/documents/?uuid=8c55c335-3037-4500-b722-0edadabafc0b","http://www.mendeley.com/documents/?uuid=85b06f2b-d945-45e0-94be-7d3cbad52faf"]}],"mendeley":{"formattedCitation":"[13,17]","plainTextFormattedCitation":"[13,17]","previouslyFormattedCitation":"[13,17]"},"properties":{"noteIndex":0},"schema":"https://github.com/citation-style-language/schema/raw/master/csl-citation.json"}</w:instrText>
      </w:r>
      <w:r w:rsidRPr="00FD2DD0">
        <w:rPr>
          <w:rFonts w:ascii="Arial" w:hAnsi="Arial" w:cs="Arial"/>
          <w:b w:val="0"/>
        </w:rPr>
        <w:fldChar w:fldCharType="separate"/>
      </w:r>
      <w:r w:rsidR="00BE28B9" w:rsidRPr="00BE28B9">
        <w:rPr>
          <w:rFonts w:ascii="Arial" w:hAnsi="Arial" w:cs="Arial"/>
          <w:b w:val="0"/>
          <w:noProof/>
        </w:rPr>
        <w:t>[13,17]</w:t>
      </w:r>
      <w:r w:rsidRPr="00FD2DD0">
        <w:rPr>
          <w:rFonts w:ascii="Arial" w:hAnsi="Arial" w:cs="Arial"/>
          <w:b w:val="0"/>
        </w:rPr>
        <w:fldChar w:fldCharType="end"/>
      </w:r>
      <w:r w:rsidRPr="00FD2DD0">
        <w:rPr>
          <w:rFonts w:ascii="Arial" w:hAnsi="Arial" w:cs="Arial"/>
          <w:b w:val="0"/>
        </w:rPr>
        <w:t xml:space="preserve">. Results from NPD testing closely correlate with results from sweat chloride and lung function analyses, which are other classically used tools in diagnosing CF </w:t>
      </w:r>
      <w:r w:rsidRPr="00FD2DD0">
        <w:rPr>
          <w:rFonts w:ascii="Arial" w:hAnsi="Arial" w:cs="Arial"/>
          <w:b w:val="0"/>
        </w:rPr>
        <w:fldChar w:fldCharType="begin" w:fldLock="1"/>
      </w:r>
      <w:r w:rsidR="003B01C2">
        <w:rPr>
          <w:rFonts w:ascii="Arial" w:hAnsi="Arial" w:cs="Arial"/>
          <w:b w:val="0"/>
        </w:rPr>
        <w:instrText>ADDIN CSL_CITATION {"citationItems":[{"id":"ITEM-1","itemData":{"DOI":"10.1016/j.jcf.2013.09.007","ISSN":"15691993","PMID":"24660233","abstract":"Background: We examined data from a Phase 2 trial {. NCT00457821} of ivacaftor, a CFTR potentiator, in cystic fibrosis (CF) patients with a G551D mutation to evaluate standardized approaches to sweat chloride measurement and to explore the use of sweat chloride and nasal potential difference (NPD) to estimate CFTR activity. Methods: Sweat chloride and NPD were secondary endpoints in this placebo-controlled, multicenter trial. Standardization of sweat collection, processing, and analysis was employed for the first time. Sweat chloride and chloride ion transport (NPD) were integrated into a model of CFTR activity. Results: Within-patient sweat chloride determinations showed sufficient precision to detect differences between dose-groups and assess ivacaftor treatment effects. Analysis of changes in sweat chloride and NPD demonstrated that patients treated with ivacaftor achieved CFTR activity equivalent to approximately 35%-40% of normal. Conclusions: Sweat chloride is useful in multicenter trials as a biomarker of CFTR activity and to test the effect of CFTR potentiators. © 2013 European Cystic Fibrosis Society.","author":[{"dropping-particle":"","family":"Accurso","given":"Frank J.","non-dropping-particle":"","parse-names":false,"suffix":""},{"dropping-particle":"","family":"Goor","given":"Fredrick","non-dropping-particle":"Van","parse-names":false,"suffix":""},{"dropping-particle":"","family":"Zha","given":"Jiuhong","non-dropping-particle":"","parse-names":false,"suffix":""},{"dropping-particle":"","family":"Stone","given":"Anne J.","non-dropping-particle":"","parse-names":false,"suffix":""},{"dropping-particle":"","family":"Dong","given":"Qunming","non-dropping-particle":"","parse-names":false,"suffix":""},{"dropping-particle":"","family":"Ordonez","given":"Claudia L.","non-dropping-particle":"","parse-names":false,"suffix":""},{"dropping-particle":"","family":"Rowe","given":"Steven M.","non-dropping-particle":"","parse-names":false,"suffix":""},{"dropping-particle":"","family":"Clancy","given":"John Paul","non-dropping-particle":"","parse-names":false,"suffix":""},{"dropping-particle":"","family":"Konstan","given":"Michael W.","non-dropping-particle":"","parse-names":false,"suffix":""},{"dropping-particle":"","family":"Hoch","given":"Heather E.","non-dropping-particle":"","parse-names":false,"suffix":""},{"dropping-particle":"","family":"Heltshe","given":"Sonya L.","non-dropping-particle":"","parse-names":false,"suffix":""},{"dropping-particle":"","family":"Ramsey","given":"Bonnie W.","non-dropping-particle":"","parse-names":false,"suffix":""},{"dropping-particle":"","family":"Campbell","given":"Preston W.","non-dropping-particle":"","parse-names":false,"suffix":""},{"dropping-particle":"","family":"Ashlock","given":"Melissa A.","non-dropping-particle":"","parse-names":false,"suffix":""}],"container-title":"Journal of Cystic Fibrosis","id":"ITEM-1","issue":"2","issued":{"date-parts":[["2014"]]},"page":"139-147","title":"Sweat chloride as a biomarker of CFTR activity: Proof of concept and ivacaftor clinical trial data","type":"article","volume":"13"},"uris":["http://www.mendeley.com/documents/?uuid=c7e58fcb-52e9-4b25-81bc-eb988f81a1fc"]},{"id":"ITEM-2","itemData":{"DOI":"10.1183/09031936.97.10092018","ISSN":"09031936","PMID":"9311495","abstract":"In cystic fibrosis (CF), the clinical condition of patients correlates poorly with genotype. One possible explanation is that clinical status is influenced by net preserved chloride secretion rather than the CF mutation. We tested the relationships between residual chloride secretion, as measured by nasal potential difference (PD) and the type of mutation (genotypes expressing apical cystic fibrosis transmembrane conductance regulator (CFTR) protein versus those that do not) and clinical status. Twenty two CB patients (mean age 25.7 yrs, 11 females and 11 males, mean forced expiratory volume in one second (FEV1) 53.1% of predicted) with defined genotypes were recruited. Nasal PD was measured using a standard protocol involving the perfusion of the nasal epithelium with a sodium channel blocker (amiloride), followed by a solution of low chloride and finally with isoprenaline. Patients with apical CFTR protein showed higher residual chloride secretion than those without (amiloride to isoprenaline value of 4.59 and 0.56 mV, respectively, p = 0.01). There was no correlation between mutation type and clinical condition. When these patients were recategorized as 'high' (&gt;10 mV amiloride to isoprenaline response) or 'low' (10 mV or less) chloride secretors, we found that the former group had a significantly higher FEV1 (67.7 versus 48.3% pred) and a better pulmonary radiological score (4.14 versus 7.07, by Northern scoring system). These results suggest that some cystic fibrosis patients, regardless of genotype, have an ability to secrete chloride when stimulated with chloride secretatagogues, and this is correlated with a better lung function. These results also have implications for the use of potential difference measurements in novel cystic fibrosis transmembrane conductance regulator replacement trials.","author":[{"dropping-particle":"","family":"Ho","given":"L. P.","non-dropping-particle":"","parse-names":false,"suffix":""},{"dropping-particle":"","family":"Samways","given":"J. M.","non-dropping-particle":"","parse-names":false,"suffix":""},{"dropping-particle":"","family":"Porteous","given":"D. J.","non-dropping-particle":"","parse-names":false,"suffix":""},{"dropping-particle":"","family":"Dorin","given":"J. R.","non-dropping-particle":"","parse-names":false,"suffix":""},{"dropping-particle":"","family":"Carothers","given":"A.","non-dropping-particle":"","parse-names":false,"suffix":""},{"dropping-particle":"","family":"Greening","given":"A. P.","non-dropping-particle":"","parse-names":false,"suffix":""},{"dropping-particle":"","family":"Innes","given":"J. A.","non-dropping-particle":"","parse-names":false,"suffix":""}],"container-title":"European Respiratory Journal","id":"ITEM-2","issue":"9","issued":{"date-parts":[["1997"]]},"page":"2018-2022","title":"Correlation between nasal potential difference measurements, genotype and clinical condition in patients with cystic fibrosis","type":"article-journal","volume":"10"},"uris":["http://www.mendeley.com/documents/?uuid=3f634ac8-b3d8-4b5c-8e61-10c3d2611b14"]}],"mendeley":{"formattedCitation":"[16,18]","plainTextFormattedCitation":"[16,18]","previouslyFormattedCitation":"[16,18]"},"properties":{"noteIndex":0},"schema":"https://github.com/citation-style-language/schema/raw/master/csl-citation.json"}</w:instrText>
      </w:r>
      <w:r w:rsidRPr="00FD2DD0">
        <w:rPr>
          <w:rFonts w:ascii="Arial" w:hAnsi="Arial" w:cs="Arial"/>
          <w:b w:val="0"/>
        </w:rPr>
        <w:fldChar w:fldCharType="separate"/>
      </w:r>
      <w:r w:rsidR="00BE28B9" w:rsidRPr="00BE28B9">
        <w:rPr>
          <w:rFonts w:ascii="Arial" w:hAnsi="Arial" w:cs="Arial"/>
          <w:b w:val="0"/>
          <w:noProof/>
        </w:rPr>
        <w:t>[16,18]</w:t>
      </w:r>
      <w:r w:rsidRPr="00FD2DD0">
        <w:rPr>
          <w:rFonts w:ascii="Arial" w:hAnsi="Arial" w:cs="Arial"/>
          <w:b w:val="0"/>
        </w:rPr>
        <w:fldChar w:fldCharType="end"/>
      </w:r>
      <w:r w:rsidRPr="00FD2DD0">
        <w:rPr>
          <w:rFonts w:ascii="Arial" w:hAnsi="Arial" w:cs="Arial"/>
          <w:b w:val="0"/>
        </w:rPr>
        <w:t xml:space="preserve">. </w:t>
      </w:r>
    </w:p>
    <w:p w14:paraId="2EED21E7" w14:textId="77777777" w:rsidR="0098320F" w:rsidRDefault="0098320F" w:rsidP="0098320F">
      <w:pPr>
        <w:pStyle w:val="Refhead"/>
        <w:spacing w:before="0" w:after="0"/>
        <w:jc w:val="both"/>
        <w:rPr>
          <w:rFonts w:ascii="Arial" w:hAnsi="Arial" w:cs="Arial"/>
          <w:b w:val="0"/>
        </w:rPr>
      </w:pPr>
    </w:p>
    <w:p w14:paraId="60534974" w14:textId="6CC1D00C" w:rsidR="00FD2DD0" w:rsidRDefault="006359E6" w:rsidP="0098320F">
      <w:pPr>
        <w:pStyle w:val="Refhead"/>
        <w:spacing w:before="0" w:after="0"/>
        <w:jc w:val="both"/>
        <w:rPr>
          <w:rFonts w:ascii="Arial" w:hAnsi="Arial" w:cs="Arial"/>
          <w:b w:val="0"/>
        </w:rPr>
      </w:pPr>
      <w:r w:rsidRPr="00FD2DD0">
        <w:rPr>
          <w:rFonts w:ascii="Arial" w:hAnsi="Arial" w:cs="Arial"/>
          <w:b w:val="0"/>
        </w:rPr>
        <w:t xml:space="preserve">It has been demonstrated that </w:t>
      </w:r>
      <w:r w:rsidRPr="00FD2DD0">
        <w:rPr>
          <w:rFonts w:ascii="Arial" w:hAnsi="Arial" w:cs="Arial"/>
          <w:b w:val="0"/>
          <w:i/>
        </w:rPr>
        <w:t xml:space="preserve">in vitro </w:t>
      </w:r>
      <w:r w:rsidRPr="00FD2DD0">
        <w:rPr>
          <w:rFonts w:ascii="Arial" w:hAnsi="Arial" w:cs="Arial"/>
          <w:b w:val="0"/>
        </w:rPr>
        <w:t xml:space="preserve">experiments using primary-derived epithelial cultures obtained from nasal brushings are suitable surrogates for predicting CFTR modulator response, and thus have a high degree of clinical relevance </w:t>
      </w:r>
      <w:r w:rsidRPr="00FD2DD0">
        <w:rPr>
          <w:rFonts w:ascii="Arial" w:hAnsi="Arial" w:cs="Arial"/>
          <w:b w:val="0"/>
        </w:rPr>
        <w:fldChar w:fldCharType="begin" w:fldLock="1"/>
      </w:r>
      <w:r w:rsidR="003B01C2">
        <w:rPr>
          <w:rFonts w:ascii="Arial" w:hAnsi="Arial" w:cs="Arial"/>
          <w:b w:val="0"/>
        </w:rPr>
        <w:instrText>ADDIN CSL_CITATION {"citationItems":[{"id":"ITEM-1","itemData":{"DOI":"10.1164/rccm.201808-1436LE","ISSN":"15354970","PMID":"30326728","author":[{"dropping-particle":"","family":"Pranke","given":"Iwona","non-dropping-particle":"","parse-names":false,"suffix":""},{"dropping-particle":"","family":"Hatton","given":"Aurelie","non-dropping-particle":"","parse-names":false,"suffix":""},{"dropping-particle":"","family":"Masson","given":"Alexandra","non-dropping-particle":"","parse-names":false,"suffix":""},{"dropping-particle":"","family":"Flament","given":"Thomas","non-dropping-particle":"","parse-names":false,"suffix":""},{"dropping-particle":"","family":"Bourgeois","given":"Muriel","non-dropping-particle":"Le","parse-names":false,"suffix":""},{"dropping-particle":"","family":"Chedevergne","given":"Frederique","non-dropping-particle":"","parse-names":false,"suffix":""},{"dropping-particle":"","family":"Bailly","given":"Celine","non-dropping-particle":"","parse-names":false,"suffix":""},{"dropping-particle":"","family":"Urbach","given":"Valerie","non-dropping-particle":"","parse-names":false,"suffix":""},{"dropping-particle":"","family":"Hinzpeter","given":"Alexandre","non-dropping-particle":"","parse-names":false,"suffix":""},{"dropping-particle":"","family":"Edelman","given":"Aleksander","non-dropping-particle":"","parse-names":false,"suffix":""},{"dropping-particle":"","family":"Sermet-Gaudelus","given":"Isabelle","non-dropping-particle":"","parse-names":false,"suffix":""}],"container-title":"American Journal of Respiratory and Critical Care Medicine","id":"ITEM-1","issue":"1","issued":{"date-parts":[["2019"]]},"page":"123-126","title":"Might brushed nasal cells be a surrogate for CFTR modulator clinical response?","type":"article-journal","volume":"199"},"uris":["http://www.mendeley.com/documents/?uuid=47789292-34f2-4250-a204-3d0c12fbaa4c"]}],"mendeley":{"formattedCitation":"[19]","plainTextFormattedCitation":"[19]","previouslyFormattedCitation":"[19]"},"properties":{"noteIndex":0},"schema":"https://github.com/citation-style-language/schema/raw/master/csl-citation.json"}</w:instrText>
      </w:r>
      <w:r w:rsidRPr="00FD2DD0">
        <w:rPr>
          <w:rFonts w:ascii="Arial" w:hAnsi="Arial" w:cs="Arial"/>
          <w:b w:val="0"/>
        </w:rPr>
        <w:fldChar w:fldCharType="separate"/>
      </w:r>
      <w:r w:rsidR="00BE28B9" w:rsidRPr="00BE28B9">
        <w:rPr>
          <w:rFonts w:ascii="Arial" w:hAnsi="Arial" w:cs="Arial"/>
          <w:b w:val="0"/>
          <w:noProof/>
        </w:rPr>
        <w:t>[19]</w:t>
      </w:r>
      <w:r w:rsidRPr="00FD2DD0">
        <w:rPr>
          <w:rFonts w:ascii="Arial" w:hAnsi="Arial" w:cs="Arial"/>
          <w:b w:val="0"/>
        </w:rPr>
        <w:fldChar w:fldCharType="end"/>
      </w:r>
      <w:r w:rsidRPr="00FD2DD0">
        <w:rPr>
          <w:rFonts w:ascii="Arial" w:hAnsi="Arial" w:cs="Arial"/>
          <w:b w:val="0"/>
        </w:rPr>
        <w:t xml:space="preserve">. Analysis of PD in our HNE cultures </w:t>
      </w:r>
      <w:r w:rsidRPr="00FD2DD0">
        <w:rPr>
          <w:rFonts w:ascii="Arial" w:hAnsi="Arial" w:cs="Arial"/>
          <w:b w:val="0"/>
          <w:i/>
        </w:rPr>
        <w:t xml:space="preserve">in vitro </w:t>
      </w:r>
      <w:r w:rsidRPr="00FD2DD0">
        <w:rPr>
          <w:rFonts w:ascii="Arial" w:hAnsi="Arial" w:cs="Arial"/>
          <w:b w:val="0"/>
        </w:rPr>
        <w:t xml:space="preserve">supports the translatability of our results. For example, like what is observed by NPD testing </w:t>
      </w:r>
      <w:r w:rsidRPr="00FD2DD0">
        <w:rPr>
          <w:rFonts w:ascii="Arial" w:hAnsi="Arial" w:cs="Arial"/>
          <w:b w:val="0"/>
          <w:i/>
        </w:rPr>
        <w:t>in vivo</w:t>
      </w:r>
      <w:r w:rsidRPr="00FD2DD0">
        <w:rPr>
          <w:rFonts w:ascii="Arial" w:hAnsi="Arial" w:cs="Arial"/>
          <w:b w:val="0"/>
        </w:rPr>
        <w:t xml:space="preserve">, our CF HNE cultures </w:t>
      </w:r>
      <w:r w:rsidRPr="00FD2DD0">
        <w:rPr>
          <w:rFonts w:ascii="Arial" w:hAnsi="Arial" w:cs="Arial"/>
          <w:b w:val="0"/>
          <w:i/>
        </w:rPr>
        <w:t xml:space="preserve">in vitro </w:t>
      </w:r>
      <w:r w:rsidRPr="00FD2DD0">
        <w:rPr>
          <w:rFonts w:ascii="Arial" w:hAnsi="Arial" w:cs="Arial"/>
          <w:b w:val="0"/>
        </w:rPr>
        <w:t xml:space="preserve">have more negative PD at baseline and a greater ΔPD response to amiloride than non-CF HNE cultures </w:t>
      </w:r>
      <w:r w:rsidRPr="00FD2DD0">
        <w:rPr>
          <w:rFonts w:ascii="Arial" w:hAnsi="Arial" w:cs="Arial"/>
          <w:b w:val="0"/>
        </w:rPr>
        <w:fldChar w:fldCharType="begin" w:fldLock="1"/>
      </w:r>
      <w:r w:rsidR="003B01C2">
        <w:rPr>
          <w:rFonts w:ascii="Arial" w:hAnsi="Arial" w:cs="Arial"/>
          <w:b w:val="0"/>
        </w:rPr>
        <w:instrText>ADDIN CSL_CITATION {"citationItems":[{"id":"ITEM-1","itemData":{"DOI":"10.1136/bmjresp-2020-000861","abstract":"ABSTRACT Introduction The incubation of airway epithelia cells at low temperatures is a common in vitro experimental approach used in the field of cystic fibrosis (CF) research to thermo- stabilise F508del- CFTR and increase its functional expression. Given that the airway epithelium includes numerous ion transporters other than CFTR, we hypothesised that there was an impact of low temperature incubation on CFTR- independent ionoregulatory mechanisms in airway epithelia derived from individuals with and without CF. Methods After differentiation at the air–liquid interface, nasal epithelia were incubated at either 37°C or 29°C (low temperature) for 48 hours prior to analysis in an Ussing chamber. Results While F508del- CFTR activity was increased after low temperature incubation, activity of CFTR in non- CF epithelia was unchanged. Importantly, cultures incubated at 29°C demonstrated decreased transepithelial potential difference (TEPD) and short- circuit currents (Isc) at baseline. The predominant factor contributing to the reduced baseline TEPD and Isc in 29°C cultures was the reduced activity of the epithelial sodium channel (ENaC), evidenced by a reduced responsiveness to amiloride. This effect was observed in cells derived from both non- CF and CF donors. Discussion Significant transcriptional downregulation of ENaC subunits β and γ were observed, which may partially explain the decreased ENaC activity. We speculate that low temperature incubation may be a useful experimental paradigm to reduce ENaC activity in in vitro epithelial cultures.","author":[{"dropping-particle":"","family":"Yadav","given":"Sangya","non-dropping-particle":"","parse-names":false,"suffix":""},{"dropping-particle":"","family":"Shaughnessy","given":"Ciaran A","non-dropping-particle":"","parse-names":false,"suffix":""},{"dropping-particle":"","family":"Zeitlin","given":"Pamela L","non-dropping-particle":"","parse-names":false,"suffix":""},{"dropping-particle":"","family":"Bratcher","given":"Preston E","non-dropping-particle":"","parse-names":false,"suffix":""}],"container-title":"BMJ Open Respiratory Research","id":"ITEM-1","issued":{"date-parts":[["2021"]]},"page":"e000861","title":"Downregulation of epithelial sodium channel (ENaC) activity in human airway epithelia after low temperature incubation","type":"article-journal","volume":"8"},"uris":["http://www.mendeley.com/documents/?uuid=6362cf10-f279-4315-aace-5b5757490227"]}],"mendeley":{"formattedCitation":"[20]","plainTextFormattedCitation":"[20]","previouslyFormattedCitation":"[20]"},"properties":{"noteIndex":0},"schema":"https://github.com/citation-style-language/schema/raw/master/csl-citation.json"}</w:instrText>
      </w:r>
      <w:r w:rsidRPr="00FD2DD0">
        <w:rPr>
          <w:rFonts w:ascii="Arial" w:hAnsi="Arial" w:cs="Arial"/>
          <w:b w:val="0"/>
        </w:rPr>
        <w:fldChar w:fldCharType="separate"/>
      </w:r>
      <w:r w:rsidR="00BE28B9" w:rsidRPr="00BE28B9">
        <w:rPr>
          <w:rFonts w:ascii="Arial" w:hAnsi="Arial" w:cs="Arial"/>
          <w:b w:val="0"/>
          <w:noProof/>
        </w:rPr>
        <w:t>[20]</w:t>
      </w:r>
      <w:r w:rsidRPr="00FD2DD0">
        <w:rPr>
          <w:rFonts w:ascii="Arial" w:hAnsi="Arial" w:cs="Arial"/>
          <w:b w:val="0"/>
        </w:rPr>
        <w:fldChar w:fldCharType="end"/>
      </w:r>
      <w:r w:rsidRPr="00FD2DD0">
        <w:rPr>
          <w:rFonts w:ascii="Arial" w:hAnsi="Arial" w:cs="Arial"/>
          <w:b w:val="0"/>
        </w:rPr>
        <w:t xml:space="preserve"> (Fig. S9</w:t>
      </w:r>
      <w:r w:rsidRPr="00FD2DD0">
        <w:rPr>
          <w:rFonts w:ascii="Arial" w:hAnsi="Arial" w:cs="Arial"/>
          <w:b w:val="0"/>
          <w:i/>
          <w:iCs/>
        </w:rPr>
        <w:t>A</w:t>
      </w:r>
      <w:r w:rsidRPr="00FD2DD0">
        <w:rPr>
          <w:rFonts w:ascii="Arial" w:hAnsi="Arial" w:cs="Arial"/>
          <w:b w:val="0"/>
        </w:rPr>
        <w:t>–</w:t>
      </w:r>
      <w:r w:rsidRPr="00FD2DD0">
        <w:rPr>
          <w:rFonts w:ascii="Arial" w:hAnsi="Arial" w:cs="Arial"/>
          <w:b w:val="0"/>
          <w:i/>
          <w:iCs/>
        </w:rPr>
        <w:t>B</w:t>
      </w:r>
      <w:r w:rsidRPr="00FD2DD0">
        <w:rPr>
          <w:rFonts w:ascii="Arial" w:hAnsi="Arial" w:cs="Arial"/>
          <w:b w:val="0"/>
        </w:rPr>
        <w:t xml:space="preserve">). Treatment of our F508del-HNE cultures with the double combination of VX-661 and VX-770 (i.e., Symdeko) or the triple combination of VX-661, VX-770, and VX-445 (I.e., Trikafta) resulted in a shift toward non-CF-like electrophysiological properties. Specifically, F508del-HNE cultures treated with the triple </w:t>
      </w:r>
      <w:r w:rsidRPr="00FD2DD0">
        <w:rPr>
          <w:rFonts w:ascii="Arial" w:hAnsi="Arial" w:cs="Arial"/>
          <w:b w:val="0"/>
        </w:rPr>
        <w:lastRenderedPageBreak/>
        <w:t>combination had in a less negative PD at baseline and a reduced ΔPD response to amiloride, compared to a DMSO control (Fig. S9</w:t>
      </w:r>
      <w:r w:rsidRPr="00FD2DD0">
        <w:rPr>
          <w:rFonts w:ascii="Arial" w:hAnsi="Arial" w:cs="Arial"/>
          <w:b w:val="0"/>
          <w:i/>
          <w:iCs/>
        </w:rPr>
        <w:t>C–D</w:t>
      </w:r>
      <w:r w:rsidRPr="00FD2DD0">
        <w:rPr>
          <w:rFonts w:ascii="Arial" w:hAnsi="Arial" w:cs="Arial"/>
          <w:b w:val="0"/>
        </w:rPr>
        <w:t xml:space="preserve">), reflective of what has been observed by NPD testing in individuals with CF on CFTR modulators </w:t>
      </w:r>
      <w:r w:rsidRPr="00FD2DD0">
        <w:rPr>
          <w:rFonts w:ascii="Arial" w:hAnsi="Arial" w:cs="Arial"/>
          <w:b w:val="0"/>
        </w:rPr>
        <w:fldChar w:fldCharType="begin" w:fldLock="1"/>
      </w:r>
      <w:r w:rsidR="003B01C2">
        <w:rPr>
          <w:rFonts w:ascii="Arial" w:hAnsi="Arial" w:cs="Arial"/>
          <w:b w:val="0"/>
        </w:rPr>
        <w:instrText>ADDIN CSL_CITATION {"citationItems":[{"id":"ITEM-1","itemData":{"DOI":"10.1056/nejmoa0909825","ISSN":"0028-4793","abstract":"BACKGROUND: A new approach in the treatment of cystic fibrosis involves improving the function of mutant cystic fibrosis transmembrane conductance regulator (CFTR). VX-770, a CFTR potentiator, has been shown to increase the activity of wild-type and defective cellsurface CFTR in vitro. METHODS: We randomly assigned 39 adults with cystic fibrosis and at least one G551D-CFTR allele to receive oral VX-770 every 12 hours at a dose of 25, 75, or 150 mg or placebo for 14 days (in part 1 of the study) or VX-770 every 12 hours at a dose of 150 or 250 mg or placebo for 28 days (in part 2 of the study). RESULTS: At day 28, in the group of subjects who received 150 mg of VX-770, the median change in the nasal potential difference (in response to the administration of a chloride-free isoproterenol solution) from baseline was -3.5 mV (range, -8.3 to 0.5; P = 0.02 for the within-subject comparison, P = 0.13 vs. placebo), and the median change in the level of sweat chloride was -59.5 mmol per liter (range, -66.0 to -19.0; P = 0.008 within-subject, P = 0.02 vs. placebo). The median change from baseline in the percent of predicted forced expiratory volume in 1 second was 8.7% (range, 2.3 to 31.3; P = 0.008 for the within-subject comparison, P = 0.56 vs. placebo). None of the subjects withdrew from the study. Six severe adverse events occurred in two subjects (diffuse macular rash in one subject and five incidents of elevated blood and urine glucose levels in one subject with diabetes). All severe adverse events resolved without the discontinuation of VX-770. CONCLUSIONS: This study to evaluate the safety and adverse-event profile of VX-770 showed that VX-770 was associated with within-subject improvements in CFTR and lung function. These findings provide support for further studies of pharmacologic potentiation of CFTR as a means to treat cystic fibrosis. (Funded by Vertex Pharmaceuticals and others; ClinicalTrials.gov number, NCT00457821.) Copyright © 2010 Massachusetts Medical Society.","author":[{"dropping-particle":"","family":"Accurso","given":"Frank J.","non-dropping-particle":"","parse-names":false,"suffix":""},{"dropping-particle":"","family":"Rowe","given":"Steven M.","non-dropping-particle":"","parse-names":false,"suffix":""},{"dropping-particle":"","family":"Clancy","given":"J.P.","non-dropping-particle":"","parse-names":false,"suffix":""},{"dropping-particle":"","family":"Boyle","given":"Michael P.","non-dropping-particle":"","parse-names":false,"suffix":""},{"dropping-particle":"","family":"Dunitz","given":"Jordan M.","non-dropping-particle":"","parse-names":false,"suffix":""},{"dropping-particle":"","family":"Durie","given":"Peter R.","non-dropping-particle":"","parse-names":false,"suffix":""},{"dropping-particle":"","family":"Sagel","given":"Scott D.","non-dropping-particle":"","parse-names":false,"suffix":""},{"dropping-particle":"","family":"Hornick","given":"Douglas B.","non-dropping-particle":"","parse-names":false,"suffix":""},{"dropping-particle":"","family":"Konstan","given":"Michael W.","non-dropping-particle":"","parse-names":false,"suffix":""},{"dropping-particle":"","family":"Donaldson","given":"Scott H.","non-dropping-particle":"","parse-names":false,"suffix":""},{"dropping-particle":"","family":"Moss","given":"Richard B.","non-dropping-particle":"","parse-names":false,"suffix":""},{"dropping-particle":"","family":"Pilewski","given":"Joseph M.","non-dropping-particle":"","parse-names":false,"suffix":""},{"dropping-particle":"","family":"Rubenstein","given":"Ronald C.","non-dropping-particle":"","parse-names":false,"suffix":""},{"dropping-particle":"","family":"Uluer","given":"Ahmet Z.","non-dropping-particle":"","parse-names":false,"suffix":""},{"dropping-particle":"","family":"Aitken","given":"Moira L.","non-dropping-particle":"","parse-names":false,"suffix":""},{"dropping-particle":"","family":"Freedman","given":"Steven D.","non-dropping-particle":"","parse-names":false,"suffix":""},{"dropping-particle":"","family":"Rose","given":"Lynn M.","non-dropping-particle":"","parse-names":false,"suffix":""},{"dropping-particle":"","family":"Mayer-Hamblett","given":"Nicole","non-dropping-particle":"","parse-names":false,"suffix":""},{"dropping-particle":"","family":"Dong","given":"Qunming","non-dropping-particle":"","parse-names":false,"suffix":""},{"dropping-particle":"","family":"Zha","given":"Jiuhong","non-dropping-particle":"","parse-names":false,"suffix":""},{"dropping-particle":"","family":"Stone","given":"Anne J.","non-dropping-particle":"","parse-names":false,"suffix":""},{"dropping-particle":"","family":"Olson","given":"Eric R.","non-dropping-particle":"","parse-names":false,"suffix":""},{"dropping-particle":"","family":"Ordoñez","given":"Claudia L.","non-dropping-particle":"","parse-names":false,"suffix":""},{"dropping-particle":"","family":"Campbell","given":"Preston W.","non-dropping-particle":"","parse-names":false,"suffix":""},{"dropping-particle":"","family":"Ashlock","given":"Melissa A.","non-dropping-particle":"","parse-names":false,"suffix":""},{"dropping-particle":"","family":"Ramsey","given":"Bonnie W.","non-dropping-particle":"","parse-names":false,"suffix":""}],"container-title":"New England Journal of Medicine","id":"ITEM-1","issue":"21","issued":{"date-parts":[["2010"]]},"page":"1991-2003","title":"Effect of VX-770 in Persons with Cystic Fibrosis and the G551D- CFTR Mutation","type":"article-journal","volume":"363"},"uris":["http://www.mendeley.com/documents/?uuid=c70b56f6-90e4-4d47-9b9d-c6ffdb2cc347"]},{"id":"ITEM-2","itemData":{"DOI":"10.1371/journal.pone.0066955","ISSN":"19326203","PMID":"23922647","abstract":"Nasal potential difference (NPD) is used as a biomarker of the cystic fibrosis transmembrane conductance regulator (CFTR) and epithelial sodium channel (ENaC) activity. We evaluated methods to detect changes in chloride and sodium transport by NPD based on a secondary analysis of a Phase II CFTR-modulator study. Thirty-nine subjects with CF who also had the G551D-CFTR mutation were randomized to receive ivacaftor (Kalydeco™; also known as VX-770) in four doses or placebo twice daily for at least 14 days. All data were analyzed by a single investigator who was blinded to treatment assignment. We compared three analysis methods to determine the best approach to quantify changes in chloride and sodium transport: (1) the average of both nostrils; (2) the most-polarized nostril at each visit; and (3) the most-polarized nostril at screening carried forward. Parameters of ion transport included the PD change with zero chloride plus isoproterenol (CFTR activity), the basal PD, Ringer's PD, and change in PD with amiloride (measurements of ENaC activity), and the delta NPD (measuring CFTR and ENaC activity). The average and most-polarized nostril at each visit were most sensitive to changes in chloride and sodium transport, whereas the most-polarized nostril at screening carried forward was less discriminatory. Based on our findings, NPD studies should assess both nostrils rather than a single nostril. We also found that changes in CFTR activity were more readily detected than changes in ENaC activity, and that rigorous standardization was associated with relatively good within-subject reproducibility in placebo-treated subjects (±2.8 mV). Therefore, we have confirmed an assay of reasonable reproducibility for detecting chloride-transport improvements in response to CFTR modulation. © 2013 Rowe et al.","author":[{"dropping-particle":"","family":"Rowe","given":"Steven M.","non-dropping-particle":"","parse-names":false,"suffix":""},{"dropping-particle":"","family":"Liu","given":"Bo","non-dropping-particle":"","parse-names":false,"suffix":""},{"dropping-particle":"","family":"Hill","given":"Aubrey","non-dropping-particle":"","parse-names":false,"suffix":""},{"dropping-particle":"","family":"Hathorne","given":"Heather","non-dropping-particle":"","parse-names":false,"suffix":""},{"dropping-particle":"","family":"Cohen","given":"Morty","non-dropping-particle":"","parse-names":false,"suffix":""},{"dropping-particle":"","family":"Beamer","given":"John R.","non-dropping-particle":"","parse-names":false,"suffix":""},{"dropping-particle":"","family":"Accurso","given":"Frank J.","non-dropping-particle":"","parse-names":false,"suffix":""},{"dropping-particle":"","family":"Dong","given":"Qunming","non-dropping-particle":"","parse-names":false,"suffix":""},{"dropping-particle":"","family":"Ordoñez","given":"Claudia L.","non-dropping-particle":"","parse-names":false,"suffix":""},{"dropping-particle":"","family":"Stone","given":"Anne J.","non-dropping-particle":"","parse-names":false,"suffix":""},{"dropping-particle":"","family":"Olson","given":"Eric R.","non-dropping-particle":"","parse-names":false,"suffix":""},{"dropping-particle":"","family":"Clancy","given":"John P.","non-dropping-particle":"","parse-names":false,"suffix":""}],"container-title":"PLoS ONE","id":"ITEM-2","issue":"7","issued":{"date-parts":[["2013"]]},"title":"Optimizing Nasal Potential Difference Analysis for CFTR Modulator Development: Assessment of Ivacaftor in CF Subjects with the G551D-CFTR Mutation","type":"article-journal","volume":"8"},"uris":["http://www.mendeley.com/documents/?uuid=8c55c335-3037-4500-b722-0edadabafc0b"]}],"mendeley":{"formattedCitation":"[13,17]","plainTextFormattedCitation":"[13,17]","previouslyFormattedCitation":"[13,17]"},"properties":{"noteIndex":0},"schema":"https://github.com/citation-style-language/schema/raw/master/csl-citation.json"}</w:instrText>
      </w:r>
      <w:r w:rsidRPr="00FD2DD0">
        <w:rPr>
          <w:rFonts w:ascii="Arial" w:hAnsi="Arial" w:cs="Arial"/>
          <w:b w:val="0"/>
        </w:rPr>
        <w:fldChar w:fldCharType="separate"/>
      </w:r>
      <w:r w:rsidR="00BE28B9" w:rsidRPr="00BE28B9">
        <w:rPr>
          <w:rFonts w:ascii="Arial" w:hAnsi="Arial" w:cs="Arial"/>
          <w:b w:val="0"/>
          <w:noProof/>
        </w:rPr>
        <w:t>[13,17]</w:t>
      </w:r>
      <w:r w:rsidRPr="00FD2DD0">
        <w:rPr>
          <w:rFonts w:ascii="Arial" w:hAnsi="Arial" w:cs="Arial"/>
          <w:b w:val="0"/>
        </w:rPr>
        <w:fldChar w:fldCharType="end"/>
      </w:r>
      <w:r w:rsidRPr="00FD2DD0">
        <w:rPr>
          <w:rFonts w:ascii="Arial" w:hAnsi="Arial" w:cs="Arial"/>
          <w:b w:val="0"/>
        </w:rPr>
        <w:t xml:space="preserve">. Thus, our analyses of PD in our cultures </w:t>
      </w:r>
      <w:r w:rsidRPr="00FD2DD0">
        <w:rPr>
          <w:rFonts w:ascii="Arial" w:hAnsi="Arial" w:cs="Arial"/>
          <w:b w:val="0"/>
          <w:i/>
        </w:rPr>
        <w:t>in vitro</w:t>
      </w:r>
      <w:r w:rsidRPr="00FD2DD0">
        <w:rPr>
          <w:rFonts w:ascii="Arial" w:hAnsi="Arial" w:cs="Arial"/>
          <w:b w:val="0"/>
        </w:rPr>
        <w:t xml:space="preserve">, which are perhaps the most directly comparable elements to corresponding CFTR function analyses </w:t>
      </w:r>
      <w:r w:rsidRPr="00FD2DD0">
        <w:rPr>
          <w:rFonts w:ascii="Arial" w:hAnsi="Arial" w:cs="Arial"/>
          <w:b w:val="0"/>
          <w:i/>
        </w:rPr>
        <w:t>in vivo</w:t>
      </w:r>
      <w:r w:rsidRPr="00FD2DD0">
        <w:rPr>
          <w:rFonts w:ascii="Arial" w:hAnsi="Arial" w:cs="Arial"/>
          <w:b w:val="0"/>
        </w:rPr>
        <w:t xml:space="preserve">, indicate that the results from our experimental treatments with VX-770 and VX-445 in restoring channel function to G551D-CFTR are likely to translate to similar results </w:t>
      </w:r>
      <w:r w:rsidRPr="00FD2DD0">
        <w:rPr>
          <w:rFonts w:ascii="Arial" w:hAnsi="Arial" w:cs="Arial"/>
          <w:b w:val="0"/>
          <w:i/>
        </w:rPr>
        <w:t>in vivo</w:t>
      </w:r>
      <w:r w:rsidRPr="00FD2DD0">
        <w:rPr>
          <w:rFonts w:ascii="Arial" w:hAnsi="Arial" w:cs="Arial"/>
          <w:b w:val="0"/>
        </w:rPr>
        <w:t>.</w:t>
      </w:r>
    </w:p>
    <w:p w14:paraId="3F46C4F3" w14:textId="77777777" w:rsidR="0098320F" w:rsidRPr="0098320F" w:rsidRDefault="0098320F" w:rsidP="0098320F">
      <w:pPr>
        <w:pStyle w:val="Refhead"/>
        <w:spacing w:before="0" w:after="0"/>
        <w:jc w:val="both"/>
        <w:rPr>
          <w:rFonts w:ascii="Arial" w:hAnsi="Arial" w:cs="Arial"/>
          <w:b w:val="0"/>
        </w:rPr>
      </w:pPr>
    </w:p>
    <w:p w14:paraId="51D4145A" w14:textId="05748DC3" w:rsidR="006359E6" w:rsidRDefault="006359E6" w:rsidP="0098320F">
      <w:pPr>
        <w:pStyle w:val="Refhead"/>
        <w:spacing w:before="0" w:after="0"/>
        <w:jc w:val="center"/>
        <w:rPr>
          <w:rFonts w:ascii="Arial" w:hAnsi="Arial" w:cs="Arial"/>
          <w:caps/>
        </w:rPr>
      </w:pPr>
      <w:r w:rsidRPr="00FD2DD0">
        <w:rPr>
          <w:rFonts w:ascii="Arial" w:hAnsi="Arial" w:cs="Arial"/>
          <w:caps/>
        </w:rPr>
        <w:t>Supplementary Materials and Methods</w:t>
      </w:r>
    </w:p>
    <w:p w14:paraId="636F1BDF" w14:textId="77777777" w:rsidR="0098320F" w:rsidRPr="00FD2DD0" w:rsidRDefault="0098320F" w:rsidP="0098320F">
      <w:pPr>
        <w:pStyle w:val="Refhead"/>
        <w:spacing w:before="0" w:after="0"/>
        <w:jc w:val="both"/>
        <w:rPr>
          <w:rFonts w:ascii="Arial" w:hAnsi="Arial" w:cs="Arial"/>
          <w:caps/>
        </w:rPr>
      </w:pPr>
    </w:p>
    <w:p w14:paraId="4DE420E1" w14:textId="00FCBDE4" w:rsidR="00EC5B1B" w:rsidRDefault="006359E6" w:rsidP="0098320F">
      <w:pPr>
        <w:pStyle w:val="Refhead"/>
        <w:spacing w:before="0" w:after="0"/>
        <w:jc w:val="both"/>
        <w:rPr>
          <w:rFonts w:ascii="Arial" w:hAnsi="Arial" w:cs="Arial"/>
        </w:rPr>
      </w:pPr>
      <w:r w:rsidRPr="00FD2DD0">
        <w:rPr>
          <w:rFonts w:ascii="Arial" w:hAnsi="Arial" w:cs="Arial"/>
        </w:rPr>
        <w:t>Cell expansion and maintenance</w:t>
      </w:r>
    </w:p>
    <w:p w14:paraId="67A27BF0" w14:textId="77777777" w:rsidR="0098320F" w:rsidRDefault="0098320F" w:rsidP="0098320F">
      <w:pPr>
        <w:pStyle w:val="Refhead"/>
        <w:spacing w:before="0" w:after="0"/>
        <w:jc w:val="both"/>
        <w:rPr>
          <w:rFonts w:ascii="Arial" w:hAnsi="Arial" w:cs="Arial"/>
          <w:b w:val="0"/>
        </w:rPr>
      </w:pPr>
    </w:p>
    <w:p w14:paraId="1B6AC3AF" w14:textId="30B695ED" w:rsidR="006359E6" w:rsidRPr="00FD2DD0" w:rsidRDefault="006359E6" w:rsidP="0098320F">
      <w:pPr>
        <w:pStyle w:val="Refhead"/>
        <w:spacing w:before="0" w:after="0"/>
        <w:jc w:val="both"/>
        <w:rPr>
          <w:rFonts w:ascii="Arial" w:hAnsi="Arial" w:cs="Arial"/>
          <w:b w:val="0"/>
        </w:rPr>
      </w:pPr>
      <w:r w:rsidRPr="00FD2DD0">
        <w:rPr>
          <w:rFonts w:ascii="Arial" w:hAnsi="Arial" w:cs="Arial"/>
          <w:b w:val="0"/>
        </w:rPr>
        <w:t xml:space="preserve">Human nasal epithelial cells were obtained from non-CF individuals and individuals homozygous for F508del or G551D CFTR mutations by nasal brushing as approved by the Institutional Review Board of National Jewish Health (HS-2832). These primary human airway epithelial (HNE) cells were expanded </w:t>
      </w:r>
      <w:r w:rsidRPr="00FD2DD0">
        <w:rPr>
          <w:rFonts w:ascii="Arial" w:hAnsi="Arial" w:cs="Arial"/>
          <w:b w:val="0"/>
          <w:i/>
          <w:iCs/>
        </w:rPr>
        <w:t xml:space="preserve">in vitro </w:t>
      </w:r>
      <w:r w:rsidRPr="00FD2DD0">
        <w:rPr>
          <w:rFonts w:ascii="Arial" w:hAnsi="Arial" w:cs="Arial"/>
          <w:b w:val="0"/>
        </w:rPr>
        <w:t>using an irradiated NIH 3T3 feeder layer and the Y-27632 Rho-kinase inhibitor. We seeded cells on bovine collagen-coated cell culture inserts at 2.5 x 10</w:t>
      </w:r>
      <w:r w:rsidRPr="00FD2DD0">
        <w:rPr>
          <w:rFonts w:ascii="Arial" w:hAnsi="Arial" w:cs="Arial"/>
          <w:b w:val="0"/>
          <w:vertAlign w:val="superscript"/>
        </w:rPr>
        <w:t>5</w:t>
      </w:r>
      <w:r w:rsidRPr="00FD2DD0">
        <w:rPr>
          <w:rFonts w:ascii="Arial" w:hAnsi="Arial" w:cs="Arial"/>
          <w:b w:val="0"/>
        </w:rPr>
        <w:t xml:space="preserve"> cells cm</w:t>
      </w:r>
      <w:r w:rsidRPr="00FD2DD0">
        <w:rPr>
          <w:rFonts w:ascii="Arial" w:hAnsi="Arial" w:cs="Arial"/>
          <w:b w:val="0"/>
          <w:vertAlign w:val="superscript"/>
        </w:rPr>
        <w:t>-2</w:t>
      </w:r>
      <w:r w:rsidRPr="00FD2DD0">
        <w:rPr>
          <w:rFonts w:ascii="Arial" w:hAnsi="Arial" w:cs="Arial"/>
          <w:b w:val="0"/>
        </w:rPr>
        <w:t xml:space="preserve"> submerged in Pneumacult™-EX Plus Medium (Stem Cell Technologies, Vancouver, BC). All cells were plated on 0.33 cm diameter cell culture inserts (Costar Snapwell™, Corning Inc., Kennebunk, ME) and kept at 37 °C with culture media changes 3 times per week. After 2 d, the apical solution was removed to establish an air-liquid interface (ALI), and the basolateral solution was replaced by Pneumacult™-ALI Medium (Stem Cell Technologies). We raised cells at ALI for 21–28 d at prior to electrophysiological analyses. </w:t>
      </w:r>
    </w:p>
    <w:p w14:paraId="63E09F9A" w14:textId="77777777" w:rsidR="0098320F" w:rsidRDefault="0098320F" w:rsidP="0098320F">
      <w:pPr>
        <w:pStyle w:val="Refhead"/>
        <w:spacing w:before="0" w:after="0"/>
        <w:jc w:val="both"/>
        <w:rPr>
          <w:rFonts w:ascii="Arial" w:hAnsi="Arial" w:cs="Arial"/>
          <w:b w:val="0"/>
        </w:rPr>
      </w:pPr>
    </w:p>
    <w:p w14:paraId="184A1472" w14:textId="4F7F5B5B" w:rsidR="006359E6" w:rsidRPr="00FD2DD0" w:rsidRDefault="006359E6" w:rsidP="0098320F">
      <w:pPr>
        <w:pStyle w:val="Refhead"/>
        <w:spacing w:before="0" w:after="0"/>
        <w:jc w:val="both"/>
        <w:rPr>
          <w:rFonts w:ascii="Arial" w:hAnsi="Arial" w:cs="Arial"/>
          <w:b w:val="0"/>
        </w:rPr>
      </w:pPr>
      <w:r w:rsidRPr="00FD2DD0">
        <w:rPr>
          <w:rFonts w:ascii="Arial" w:hAnsi="Arial" w:cs="Arial"/>
          <w:b w:val="0"/>
        </w:rPr>
        <w:t>Fisher rate thyroid (FRT) cells expressing normal CFTR (WT-FRT), F508del-CFTR (F508del-FRT), G551D-CFTR (G551D-FRT), or R117H-CFTR (R117H-FRT) were a generous gift from Dr. Eric J. Sorscher (Emory University, Atlanta, GA). We seeded FRT cells in cell culture inserts at 1.5 x 10</w:t>
      </w:r>
      <w:r w:rsidRPr="00FD2DD0">
        <w:rPr>
          <w:rFonts w:ascii="Arial" w:hAnsi="Arial" w:cs="Arial"/>
          <w:b w:val="0"/>
          <w:vertAlign w:val="superscript"/>
        </w:rPr>
        <w:t>4</w:t>
      </w:r>
      <w:r w:rsidRPr="00FD2DD0">
        <w:rPr>
          <w:rFonts w:ascii="Arial" w:hAnsi="Arial" w:cs="Arial"/>
          <w:b w:val="0"/>
        </w:rPr>
        <w:t xml:space="preserve"> cells cm</w:t>
      </w:r>
      <w:r w:rsidRPr="00FD2DD0">
        <w:rPr>
          <w:rFonts w:ascii="Arial" w:hAnsi="Arial" w:cs="Arial"/>
          <w:b w:val="0"/>
          <w:vertAlign w:val="superscript"/>
        </w:rPr>
        <w:t>-2</w:t>
      </w:r>
      <w:r w:rsidRPr="00FD2DD0">
        <w:rPr>
          <w:rFonts w:ascii="Arial" w:hAnsi="Arial" w:cs="Arial"/>
          <w:b w:val="0"/>
        </w:rPr>
        <w:t>. The cells were maintained submerged in media for 7–10 d prior to electrophysiological analyses, with media changes every 2–3 d. The media was a modified Ham’s F-12 media (Coon’s modification) supplemented with 10% fetal bovine serum, 1% penicillin/streptomycin, and 0.2% hygromycin.</w:t>
      </w:r>
    </w:p>
    <w:p w14:paraId="6CFF11AF" w14:textId="77777777" w:rsidR="006359E6" w:rsidRPr="00FD2DD0" w:rsidRDefault="006359E6" w:rsidP="0098320F">
      <w:pPr>
        <w:pStyle w:val="Refhead"/>
        <w:spacing w:before="0" w:after="0"/>
        <w:jc w:val="both"/>
        <w:rPr>
          <w:rFonts w:ascii="Arial" w:hAnsi="Arial" w:cs="Arial"/>
          <w:b w:val="0"/>
        </w:rPr>
      </w:pPr>
    </w:p>
    <w:p w14:paraId="7F211ADA" w14:textId="02FD070C" w:rsidR="006359E6" w:rsidRPr="00FD2DD0" w:rsidRDefault="006359E6" w:rsidP="0098320F">
      <w:pPr>
        <w:pStyle w:val="Refhead"/>
        <w:spacing w:before="0" w:after="0"/>
        <w:jc w:val="both"/>
        <w:rPr>
          <w:rFonts w:ascii="Arial" w:hAnsi="Arial" w:cs="Arial"/>
          <w:b w:val="0"/>
        </w:rPr>
      </w:pPr>
      <w:r w:rsidRPr="00FD2DD0">
        <w:rPr>
          <w:rFonts w:ascii="Arial" w:hAnsi="Arial" w:cs="Arial"/>
        </w:rPr>
        <w:t>Electrophysiologi</w:t>
      </w:r>
      <w:r w:rsidR="00E4043D" w:rsidRPr="00FD2DD0">
        <w:rPr>
          <w:rFonts w:ascii="Arial" w:hAnsi="Arial" w:cs="Arial"/>
        </w:rPr>
        <w:t>cal analyses and drug treatment</w:t>
      </w:r>
    </w:p>
    <w:p w14:paraId="7E2EA765" w14:textId="77777777" w:rsidR="0098320F" w:rsidRDefault="0098320F" w:rsidP="0098320F">
      <w:pPr>
        <w:pStyle w:val="Refhead"/>
        <w:spacing w:before="0" w:after="0"/>
        <w:jc w:val="both"/>
        <w:rPr>
          <w:rFonts w:ascii="Arial" w:hAnsi="Arial" w:cs="Arial"/>
          <w:b w:val="0"/>
        </w:rPr>
      </w:pPr>
    </w:p>
    <w:p w14:paraId="1056503A" w14:textId="7396E07A" w:rsidR="006359E6" w:rsidRPr="00FD2DD0" w:rsidRDefault="006359E6" w:rsidP="0098320F">
      <w:pPr>
        <w:pStyle w:val="Refhead"/>
        <w:spacing w:before="0" w:after="0"/>
        <w:jc w:val="both"/>
        <w:rPr>
          <w:rFonts w:ascii="Arial" w:hAnsi="Arial" w:cs="Arial"/>
          <w:b w:val="0"/>
          <w:i/>
        </w:rPr>
      </w:pPr>
      <w:r w:rsidRPr="00FD2DD0">
        <w:rPr>
          <w:rFonts w:ascii="Arial" w:hAnsi="Arial" w:cs="Arial"/>
          <w:b w:val="0"/>
        </w:rPr>
        <w:t>Chronic treatment with CFTR modulators consisted of a 24 h incubation prior to electrophysiological analyses. Compound used during chronic treatment were as follows: DMSO (volume-matched), tezacaftor (VX-661; 3 µM), ivacaftor (VX-770; 100 nM), and elexacaftor (VX-445; 3 μM).</w:t>
      </w:r>
    </w:p>
    <w:p w14:paraId="5EF59310" w14:textId="77777777" w:rsidR="0098320F" w:rsidRDefault="0098320F" w:rsidP="0098320F">
      <w:pPr>
        <w:pStyle w:val="Refhead"/>
        <w:spacing w:before="0" w:after="0"/>
        <w:jc w:val="both"/>
        <w:rPr>
          <w:rFonts w:ascii="Arial" w:hAnsi="Arial" w:cs="Arial"/>
          <w:b w:val="0"/>
          <w:iCs/>
        </w:rPr>
      </w:pPr>
    </w:p>
    <w:p w14:paraId="5C4068C5" w14:textId="7F9A5681" w:rsidR="006359E6" w:rsidRPr="00FD2DD0" w:rsidRDefault="006359E6" w:rsidP="0098320F">
      <w:pPr>
        <w:pStyle w:val="Refhead"/>
        <w:spacing w:before="0" w:after="0"/>
        <w:jc w:val="both"/>
        <w:rPr>
          <w:rFonts w:ascii="Arial" w:hAnsi="Arial" w:cs="Arial"/>
          <w:b w:val="0"/>
        </w:rPr>
      </w:pPr>
      <w:r w:rsidRPr="00FD2DD0">
        <w:rPr>
          <w:rFonts w:ascii="Arial" w:hAnsi="Arial" w:cs="Arial"/>
          <w:b w:val="0"/>
          <w:iCs/>
        </w:rPr>
        <w:t xml:space="preserve">We pre-warmed </w:t>
      </w:r>
      <w:r w:rsidRPr="00FD2DD0">
        <w:rPr>
          <w:rFonts w:ascii="Arial" w:hAnsi="Arial" w:cs="Arial"/>
          <w:b w:val="0"/>
        </w:rPr>
        <w:t xml:space="preserve">(to 37 °C) </w:t>
      </w:r>
      <w:r w:rsidRPr="00FD2DD0">
        <w:rPr>
          <w:rFonts w:ascii="Arial" w:hAnsi="Arial" w:cs="Arial"/>
          <w:b w:val="0"/>
          <w:iCs/>
        </w:rPr>
        <w:t>c</w:t>
      </w:r>
      <w:r w:rsidRPr="00FD2DD0">
        <w:rPr>
          <w:rFonts w:ascii="Arial" w:hAnsi="Arial" w:cs="Arial"/>
          <w:b w:val="0"/>
        </w:rPr>
        <w:t>ell-free inserts in an Ussing chamber apparatus (VCC MC8 and MC6; Physiologic Instruments, San Diego, CA). For all experiments, the electrode offset potential and fluid resistance were stabilized and corrected to zero with identical Ringer’s solution in the apical and basolateral baths. Ringer’s solution consisted of: 120 mM NaCl, 10 mM D-glucose, 3.3 mM KH</w:t>
      </w:r>
      <w:r w:rsidRPr="00FD2DD0">
        <w:rPr>
          <w:rFonts w:ascii="Arial" w:hAnsi="Arial" w:cs="Arial"/>
          <w:b w:val="0"/>
          <w:vertAlign w:val="subscript"/>
        </w:rPr>
        <w:t>2</w:t>
      </w:r>
      <w:r w:rsidRPr="00FD2DD0">
        <w:rPr>
          <w:rFonts w:ascii="Arial" w:hAnsi="Arial" w:cs="Arial"/>
          <w:b w:val="0"/>
        </w:rPr>
        <w:t>PO</w:t>
      </w:r>
      <w:r w:rsidRPr="00FD2DD0">
        <w:rPr>
          <w:rFonts w:ascii="Arial" w:hAnsi="Arial" w:cs="Arial"/>
          <w:b w:val="0"/>
          <w:vertAlign w:val="subscript"/>
        </w:rPr>
        <w:t>4</w:t>
      </w:r>
      <w:r w:rsidRPr="00FD2DD0">
        <w:rPr>
          <w:rFonts w:ascii="Arial" w:hAnsi="Arial" w:cs="Arial"/>
          <w:b w:val="0"/>
        </w:rPr>
        <w:t>, 0.83 mM K</w:t>
      </w:r>
      <w:r w:rsidRPr="00FD2DD0">
        <w:rPr>
          <w:rFonts w:ascii="Arial" w:hAnsi="Arial" w:cs="Arial"/>
          <w:b w:val="0"/>
          <w:vertAlign w:val="subscript"/>
        </w:rPr>
        <w:t>2</w:t>
      </w:r>
      <w:r w:rsidRPr="00FD2DD0">
        <w:rPr>
          <w:rFonts w:ascii="Arial" w:hAnsi="Arial" w:cs="Arial"/>
          <w:b w:val="0"/>
        </w:rPr>
        <w:t>HPO</w:t>
      </w:r>
      <w:r w:rsidRPr="00FD2DD0">
        <w:rPr>
          <w:rFonts w:ascii="Arial" w:hAnsi="Arial" w:cs="Arial"/>
          <w:b w:val="0"/>
          <w:vertAlign w:val="subscript"/>
        </w:rPr>
        <w:t>4</w:t>
      </w:r>
      <w:r w:rsidRPr="00FD2DD0">
        <w:rPr>
          <w:rFonts w:ascii="Arial" w:hAnsi="Arial" w:cs="Arial"/>
          <w:b w:val="0"/>
        </w:rPr>
        <w:t>, 1.2 mM MgCl</w:t>
      </w:r>
      <w:r w:rsidRPr="00FD2DD0">
        <w:rPr>
          <w:rFonts w:ascii="Arial" w:hAnsi="Arial" w:cs="Arial"/>
          <w:b w:val="0"/>
          <w:vertAlign w:val="subscript"/>
        </w:rPr>
        <w:t>2</w:t>
      </w:r>
      <w:r w:rsidRPr="00FD2DD0">
        <w:rPr>
          <w:rFonts w:ascii="Arial" w:hAnsi="Arial" w:cs="Arial"/>
          <w:b w:val="0"/>
        </w:rPr>
        <w:t>, 1.2 mM CaCl</w:t>
      </w:r>
      <w:r w:rsidRPr="00FD2DD0">
        <w:rPr>
          <w:rFonts w:ascii="Arial" w:hAnsi="Arial" w:cs="Arial"/>
          <w:b w:val="0"/>
          <w:vertAlign w:val="subscript"/>
        </w:rPr>
        <w:t>2</w:t>
      </w:r>
      <w:r w:rsidRPr="00FD2DD0">
        <w:rPr>
          <w:rFonts w:ascii="Arial" w:hAnsi="Arial" w:cs="Arial"/>
          <w:b w:val="0"/>
        </w:rPr>
        <w:t>, saturated with 95% O</w:t>
      </w:r>
      <w:r w:rsidRPr="00FD2DD0">
        <w:rPr>
          <w:rFonts w:ascii="Arial" w:hAnsi="Arial" w:cs="Arial"/>
          <w:b w:val="0"/>
          <w:vertAlign w:val="subscript"/>
        </w:rPr>
        <w:t>2</w:t>
      </w:r>
      <w:r w:rsidRPr="00FD2DD0">
        <w:rPr>
          <w:rFonts w:ascii="Arial" w:hAnsi="Arial" w:cs="Arial"/>
          <w:b w:val="0"/>
        </w:rPr>
        <w:t>/5% CO</w:t>
      </w:r>
      <w:r w:rsidRPr="00FD2DD0">
        <w:rPr>
          <w:rFonts w:ascii="Arial" w:hAnsi="Arial" w:cs="Arial"/>
          <w:b w:val="0"/>
          <w:vertAlign w:val="subscript"/>
        </w:rPr>
        <w:t>2</w:t>
      </w:r>
      <w:r w:rsidRPr="00FD2DD0">
        <w:rPr>
          <w:rFonts w:ascii="Arial" w:hAnsi="Arial" w:cs="Arial"/>
          <w:b w:val="0"/>
        </w:rPr>
        <w:t xml:space="preserve">, pH 7.4. Once electrode offset potential and fluid </w:t>
      </w:r>
      <w:r w:rsidRPr="00FD2DD0">
        <w:rPr>
          <w:rFonts w:ascii="Arial" w:hAnsi="Arial" w:cs="Arial"/>
          <w:b w:val="0"/>
        </w:rPr>
        <w:lastRenderedPageBreak/>
        <w:t>resistance values were zeroed, monolayers on inserts were taken directly from culture and mounted onto the Ussing chamber and allowed to stabilize under an open circuit before beginning a run under the current clamp mode.</w:t>
      </w:r>
    </w:p>
    <w:p w14:paraId="1B29A52C" w14:textId="77777777" w:rsidR="0098320F" w:rsidRDefault="0098320F" w:rsidP="0098320F">
      <w:pPr>
        <w:pStyle w:val="Refhead"/>
        <w:spacing w:before="0" w:after="0"/>
        <w:jc w:val="both"/>
        <w:rPr>
          <w:rFonts w:ascii="Arial" w:hAnsi="Arial" w:cs="Arial"/>
          <w:b w:val="0"/>
        </w:rPr>
      </w:pPr>
    </w:p>
    <w:p w14:paraId="5A13AE80" w14:textId="7CCB37D3" w:rsidR="006359E6" w:rsidRPr="00FD2DD0" w:rsidRDefault="006359E6" w:rsidP="0098320F">
      <w:pPr>
        <w:pStyle w:val="Refhead"/>
        <w:spacing w:before="0" w:after="0"/>
        <w:jc w:val="both"/>
        <w:rPr>
          <w:rFonts w:ascii="Arial" w:hAnsi="Arial" w:cs="Arial"/>
          <w:b w:val="0"/>
        </w:rPr>
      </w:pPr>
      <w:r w:rsidRPr="00FD2DD0">
        <w:rPr>
          <w:rFonts w:ascii="Arial" w:hAnsi="Arial" w:cs="Arial"/>
          <w:b w:val="0"/>
        </w:rPr>
        <w:t xml:space="preserve">HNE cultures are inherently polarized epithelia, mimicking the </w:t>
      </w:r>
      <w:r w:rsidRPr="00FD2DD0">
        <w:rPr>
          <w:rFonts w:ascii="Arial" w:hAnsi="Arial" w:cs="Arial"/>
          <w:b w:val="0"/>
          <w:i/>
          <w:iCs/>
        </w:rPr>
        <w:t xml:space="preserve">in vivo </w:t>
      </w:r>
      <w:r w:rsidRPr="00FD2DD0">
        <w:rPr>
          <w:rFonts w:ascii="Arial" w:hAnsi="Arial" w:cs="Arial"/>
          <w:b w:val="0"/>
        </w:rPr>
        <w:t>condition of these cells. Therefore, a basolateral-to-apical directionality of chloride transport is intrinsic to these primary-derived epithelia cultures. In contrast, FRT cells do not form polarized epithelia. Thus, the presence of a chloride gradient between the basolateral and apical baths is necessary to establish directionality of chloride transport across the FRT epithelia. Therefore, experiments using FRT cells were all performed under a chloride gradient (chloride-free in apical bath). The chloride-free Ringer’s solution consisted of: 11.5 mM Na</w:t>
      </w:r>
      <w:r w:rsidRPr="00FD2DD0">
        <w:rPr>
          <w:rFonts w:ascii="Arial" w:hAnsi="Arial" w:cs="Arial"/>
          <w:b w:val="0"/>
          <w:vertAlign w:val="superscript"/>
        </w:rPr>
        <w:t>+</w:t>
      </w:r>
      <w:r w:rsidRPr="00FD2DD0">
        <w:rPr>
          <w:rFonts w:ascii="Arial" w:hAnsi="Arial" w:cs="Arial"/>
          <w:b w:val="0"/>
        </w:rPr>
        <w:t xml:space="preserve"> gluconate, 5 mM Ca</w:t>
      </w:r>
      <w:r w:rsidRPr="00FD2DD0">
        <w:rPr>
          <w:rFonts w:ascii="Arial" w:hAnsi="Arial" w:cs="Arial"/>
          <w:b w:val="0"/>
          <w:vertAlign w:val="superscript"/>
        </w:rPr>
        <w:t>2+</w:t>
      </w:r>
      <w:r w:rsidRPr="00FD2DD0">
        <w:rPr>
          <w:rFonts w:ascii="Arial" w:hAnsi="Arial" w:cs="Arial"/>
          <w:b w:val="0"/>
        </w:rPr>
        <w:t xml:space="preserve"> gluconate, 10 mM D-glucose, 3.3 mM KH</w:t>
      </w:r>
      <w:r w:rsidRPr="00FD2DD0">
        <w:rPr>
          <w:rFonts w:ascii="Arial" w:hAnsi="Arial" w:cs="Arial"/>
          <w:b w:val="0"/>
          <w:vertAlign w:val="subscript"/>
        </w:rPr>
        <w:t>2</w:t>
      </w:r>
      <w:r w:rsidRPr="00FD2DD0">
        <w:rPr>
          <w:rFonts w:ascii="Arial" w:hAnsi="Arial" w:cs="Arial"/>
          <w:b w:val="0"/>
        </w:rPr>
        <w:t>PO</w:t>
      </w:r>
      <w:r w:rsidRPr="00FD2DD0">
        <w:rPr>
          <w:rFonts w:ascii="Arial" w:hAnsi="Arial" w:cs="Arial"/>
          <w:b w:val="0"/>
          <w:vertAlign w:val="subscript"/>
        </w:rPr>
        <w:t>4</w:t>
      </w:r>
      <w:r w:rsidRPr="00FD2DD0">
        <w:rPr>
          <w:rFonts w:ascii="Arial" w:hAnsi="Arial" w:cs="Arial"/>
          <w:b w:val="0"/>
        </w:rPr>
        <w:t>, 0.83 mM K</w:t>
      </w:r>
      <w:r w:rsidRPr="00FD2DD0">
        <w:rPr>
          <w:rFonts w:ascii="Arial" w:hAnsi="Arial" w:cs="Arial"/>
          <w:b w:val="0"/>
          <w:vertAlign w:val="subscript"/>
        </w:rPr>
        <w:t>2</w:t>
      </w:r>
      <w:r w:rsidRPr="00FD2DD0">
        <w:rPr>
          <w:rFonts w:ascii="Arial" w:hAnsi="Arial" w:cs="Arial"/>
          <w:b w:val="0"/>
        </w:rPr>
        <w:t>HPO</w:t>
      </w:r>
      <w:r w:rsidRPr="00FD2DD0">
        <w:rPr>
          <w:rFonts w:ascii="Arial" w:hAnsi="Arial" w:cs="Arial"/>
          <w:b w:val="0"/>
          <w:vertAlign w:val="subscript"/>
        </w:rPr>
        <w:t>4</w:t>
      </w:r>
      <w:r w:rsidRPr="00FD2DD0">
        <w:rPr>
          <w:rFonts w:ascii="Arial" w:hAnsi="Arial" w:cs="Arial"/>
          <w:b w:val="0"/>
        </w:rPr>
        <w:t>, 1.2 mM MgSO</w:t>
      </w:r>
      <w:r w:rsidRPr="00FD2DD0">
        <w:rPr>
          <w:rFonts w:ascii="Arial" w:hAnsi="Arial" w:cs="Arial"/>
          <w:b w:val="0"/>
          <w:vertAlign w:val="subscript"/>
        </w:rPr>
        <w:t>4</w:t>
      </w:r>
      <w:r w:rsidRPr="00FD2DD0">
        <w:rPr>
          <w:rFonts w:ascii="Arial" w:hAnsi="Arial" w:cs="Arial"/>
          <w:b w:val="0"/>
        </w:rPr>
        <w:t>, saturated with 95% O</w:t>
      </w:r>
      <w:r w:rsidRPr="00FD2DD0">
        <w:rPr>
          <w:rFonts w:ascii="Arial" w:hAnsi="Arial" w:cs="Arial"/>
          <w:b w:val="0"/>
          <w:vertAlign w:val="subscript"/>
        </w:rPr>
        <w:t>2</w:t>
      </w:r>
      <w:r w:rsidRPr="00FD2DD0">
        <w:rPr>
          <w:rFonts w:ascii="Arial" w:hAnsi="Arial" w:cs="Arial"/>
          <w:b w:val="0"/>
        </w:rPr>
        <w:t>/5% CO</w:t>
      </w:r>
      <w:r w:rsidRPr="00FD2DD0">
        <w:rPr>
          <w:rFonts w:ascii="Arial" w:hAnsi="Arial" w:cs="Arial"/>
          <w:b w:val="0"/>
          <w:vertAlign w:val="subscript"/>
        </w:rPr>
        <w:t>2</w:t>
      </w:r>
      <w:r w:rsidRPr="00FD2DD0">
        <w:rPr>
          <w:rFonts w:ascii="Arial" w:hAnsi="Arial" w:cs="Arial"/>
          <w:b w:val="0"/>
        </w:rPr>
        <w:t xml:space="preserve">, pH 7.4. </w:t>
      </w:r>
    </w:p>
    <w:p w14:paraId="3741EF7C" w14:textId="77777777" w:rsidR="0098320F" w:rsidRDefault="0098320F" w:rsidP="0098320F">
      <w:pPr>
        <w:pStyle w:val="Refhead"/>
        <w:spacing w:before="0" w:after="0"/>
        <w:jc w:val="both"/>
        <w:rPr>
          <w:rFonts w:ascii="Arial" w:hAnsi="Arial" w:cs="Arial"/>
          <w:b w:val="0"/>
        </w:rPr>
      </w:pPr>
    </w:p>
    <w:p w14:paraId="38265578" w14:textId="438871DA" w:rsidR="00983034" w:rsidRDefault="006359E6" w:rsidP="0098320F">
      <w:pPr>
        <w:pStyle w:val="Refhead"/>
        <w:spacing w:before="0" w:after="0"/>
        <w:jc w:val="both"/>
        <w:rPr>
          <w:rFonts w:ascii="Arial" w:hAnsi="Arial" w:cs="Arial"/>
          <w:b w:val="0"/>
        </w:rPr>
      </w:pPr>
      <w:r w:rsidRPr="00FD2DD0">
        <w:rPr>
          <w:rFonts w:ascii="Arial" w:hAnsi="Arial" w:cs="Arial"/>
          <w:b w:val="0"/>
        </w:rPr>
        <w:t>As depicted in figures and figure legends, the following test compounds were applied acutely in electrophysiological  assays: DMSO (volume-matched); amiloride (100 μM; apical); VX-661 (see dose curve; apical and basolateral); VX-809 (see dose curve; apical and basolateral); VX-770 (see dose curve, or 1 μM; apical);  VX-445 (see dose curve, or 100 nM; apical and basolateral); genistein (see dose curve; apical); forskolin (20 μM) and 3-isobutyl-1-methylxanthine (100 μM) (Fsk/IBMX or F/I; apical and basolateral); CFTR</w:t>
      </w:r>
      <w:r w:rsidRPr="00FD2DD0">
        <w:rPr>
          <w:rFonts w:ascii="Arial" w:hAnsi="Arial" w:cs="Arial"/>
          <w:b w:val="0"/>
          <w:vertAlign w:val="subscript"/>
        </w:rPr>
        <w:t>inh</w:t>
      </w:r>
      <w:r w:rsidRPr="00FD2DD0">
        <w:rPr>
          <w:rFonts w:ascii="Arial" w:hAnsi="Arial" w:cs="Arial"/>
          <w:b w:val="0"/>
        </w:rPr>
        <w:t xml:space="preserve">-172 (10 μM; apical); adenosine triphosphate (ATP; 100 μM; apical). In the above list, the references to sidedness of application refer to HNE cultures only; as CFTR is constitutively expressed on all plasma membrane surfaces in FRT epithelia, all compounds were applied to both surfaces of FRT cultures. Amiloride is a selective inhibitor of the epithelial sodium channel (ENaC). VX-661 and VX-809 are selective CFTR correctors. VX-770 and genistein are selective CFTR potentiators that increases the open probability of CFTR </w:t>
      </w:r>
      <w:r w:rsidRPr="00FD2DD0">
        <w:rPr>
          <w:rFonts w:ascii="Arial" w:hAnsi="Arial" w:cs="Arial"/>
          <w:b w:val="0"/>
        </w:rPr>
        <w:fldChar w:fldCharType="begin" w:fldLock="1"/>
      </w:r>
      <w:r w:rsidR="003B01C2">
        <w:rPr>
          <w:rFonts w:ascii="Arial" w:hAnsi="Arial" w:cs="Arial"/>
          <w:b w:val="0"/>
        </w:rPr>
        <w:instrText xml:space="preserve">ADDIN CSL_CITATION {"citationItems":[{"id":"ITEM-1","itemData":{"DOI":"10.1073/pnas.0904709106","ISSN":"00278424","abstract":"Cystic fibrosis (CF) is a fatal genetic disease caused by mutations in the gene encoding the CF transmembrane conductance regulator (CFTR), a protein kinase A (PKA)-activated epithelial anion channel involved in salt and fluid transport in multiple organs, including the lung. Most CF mutations either reduce the number of CFTR channels at the cell surface (e.g., synthesis or processing mutations) or impair channel function (e.g., gating or conductance mutations) or both. There are currently no approved therapies that target CFTR. Here we describe the in vitro pharmacology of VX-770, an orally bioavailable CFTR potentiator in clinical development for the treatment of CF. In recombinant cells VX-770 increased CFTR channel open probability (Po) in both the F508del processing mutation and the G551D gating mutation. VX-770 also increased Cl - secretion in cultured human CF bronchial epithelia (HBE) carrying the G551D gating mutation on one allele and the F508del processing mutation on the other allele by ≈10-fold, to ≈50% of that observed in HBE isolated from individuals without CF. Furthermore, VX-770 reduced excessive Na+ and fluid absorption to prevent dehydration of the apical surface and increased cilia beating in these epithelial cultures. These results support the hypothesis that pharmacological agents that restore or increase CFTR function can rescue epithelial cell function in human CF airway.","author":[{"dropping-particle":"","family":"Goor","given":"Fredrick","non-dropping-particle":"Van","parse-names":false,"suffix":""},{"dropping-particle":"","family":"Hadida","given":"Sabine","non-dropping-particle":"","parse-names":false,"suffix":""},{"dropping-particle":"","family":"Grootenhuis","given":"Peter D.J.","non-dropping-particle":"","parse-names":false,"suffix":""},{"dropping-particle":"","family":"Burton","given":"Bill","non-dropping-particle":"","parse-names":false,"suffix":""},{"dropping-particle":"","family":"Cao","given":"Dong","non-dropping-particle":"","parse-names":false,"suffix":""},{"dropping-particle":"","family":"Neuberger","given":"Tim","non-dropping-particle":"","parse-names":false,"suffix":""},{"dropping-particle":"","family":"Turnbull","given":"Amanda","non-dropping-particle":"","parse-names":false,"suffix":""},{"dropping-particle":"","family":"Singh","given":"Ashvani","non-dropping-particle":"","parse-names":false,"suffix":""},{"dropping-particle":"","family":"Joubran","given":"John","non-dropping-particle":"","parse-names":false,"suffix":""},{"dropping-particle":"","family":"Hazlewood","given":"Anna","non-dropping-particle":"","parse-names":false,"suffix":""},{"dropping-particle":"","family":"Zhou","given":"Jinglan","non-dropping-particle":"","parse-names":false,"suffix":""},{"dropping-particle":"","family":"McCartney","given":"Jason","non-dropping-particle":"","parse-names":false,"suffix":""},{"dropping-particle":"","family":"Arumugam","given":"Vijayalaksmi","non-dropping-particle":"","parse-names":false,"suffix":""},{"dropping-particle":"","family":"Decker","given":"Caroline","non-dropping-particle":"","parse-names":false,"suffix":""},{"dropping-particle":"","family":"Yang","given":"Jennifer","non-dropping-particle":"","parse-names":false,"suffix":""},{"dropping-particle":"","family":"Young","given":"Chris","non-dropping-particle":"","parse-names":false,"suffix":""},{"dropping-particle":"","family":"Olson","given":"Eric R.","non-dropping-particle":"","parse-names":false,"suffix":""},{"dropping-particle":"","family":"Wine","given":"Jeffery J.","non-dropping-particle":"","parse-names":false,"suffix":""},{"dropping-particle":"","family":"Frizzell","given":"Raymond A.","non-dropping-particle":"","parse-names":false,"suffix":""},{"dropping-particle":"","family":"Ashlock","given":"Melissa","non-dropping-particle":"","parse-names":false,"suffix":""},{"dropping-particle":"","family":"Negulescu","given":"Paul","non-dropping-particle":"","parse-names":false,"suffix":""}],"container-title":"Proceedings of the National Academy of Sciences of the United States of America","id":"ITEM-1","issue":"44","issued":{"date-parts":[["2009"]]},"page":"18825-18830","title":"Rescue of CF airway epithelial cell function in vitro by a CFTR potentiator, VX-770","type":"article-journal","volume":"106"},"uris":["http://www.mendeley.com/documents/?uuid=a17077bb-28ed-4d63-ab42-e2c0bffdff27"]},{"id":"ITEM-2","itemData":{"abstract":"The patch-clamp technique was used to investigate the effects of the isoflavone genistein on disease-causing mutations (G551D and ⌬F508) of the cystic fibrosis transmembrane conductance regulator (CFTR). In HeLa cells recombinantly expressing the trafficking-compe- tent G551D-CFTR, the forskolin-stimulated Cl currents were small, and average open probability of G551D-CFTR was Po </w:instrText>
      </w:r>
      <w:r w:rsidR="003B01C2">
        <w:rPr>
          <w:rFonts w:ascii="Cambria Math" w:hAnsi="Cambria Math" w:cs="Cambria Math"/>
          <w:b w:val="0"/>
        </w:rPr>
        <w:instrText>⫽</w:instrText>
      </w:r>
      <w:r w:rsidR="003B01C2">
        <w:rPr>
          <w:rFonts w:ascii="Arial" w:hAnsi="Arial" w:cs="Arial"/>
          <w:b w:val="0"/>
        </w:rPr>
        <w:instrText xml:space="preserve"> 0.047 </w:instrText>
      </w:r>
      <w:r w:rsidR="003B01C2">
        <w:rPr>
          <w:rFonts w:ascii="Cambria Math" w:hAnsi="Cambria Math" w:cs="Cambria Math"/>
          <w:b w:val="0"/>
        </w:rPr>
        <w:instrText>⫾</w:instrText>
      </w:r>
      <w:r w:rsidR="003B01C2">
        <w:rPr>
          <w:rFonts w:ascii="Arial" w:hAnsi="Arial" w:cs="Arial"/>
          <w:b w:val="0"/>
        </w:rPr>
        <w:instrText xml:space="preserve"> 0.019. Addition of genistein activated Cl currents </w:instrText>
      </w:r>
      <w:r w:rsidR="003B01C2">
        <w:rPr>
          <w:rFonts w:ascii="Segoe UI Symbol" w:hAnsi="Segoe UI Symbol" w:cs="Segoe UI Symbol"/>
          <w:b w:val="0"/>
        </w:rPr>
        <w:instrText>⬃</w:instrText>
      </w:r>
      <w:r w:rsidR="003B01C2">
        <w:rPr>
          <w:rFonts w:ascii="Arial" w:hAnsi="Arial" w:cs="Arial"/>
          <w:b w:val="0"/>
        </w:rPr>
        <w:instrText xml:space="preserve">10-fold, and the Po of G551D-CFTR increased to 0.49 </w:instrText>
      </w:r>
      <w:r w:rsidR="003B01C2">
        <w:rPr>
          <w:rFonts w:ascii="Cambria Math" w:hAnsi="Cambria Math" w:cs="Cambria Math"/>
          <w:b w:val="0"/>
        </w:rPr>
        <w:instrText>⫾</w:instrText>
      </w:r>
      <w:r w:rsidR="003B01C2">
        <w:rPr>
          <w:rFonts w:ascii="Arial" w:hAnsi="Arial" w:cs="Arial"/>
          <w:b w:val="0"/>
        </w:rPr>
        <w:instrText xml:space="preserve"> 0.12, which is a Po similar to wild-type CFTR. In cystic fibrosis (CF) epithelial cells homozygous for the trafficking- impaired ⌬F508 mutation, forskolin and genistein activated Cl currents only after 4-phenylbutyrate treatment. These data suggested that genistein activated CFTR mutants that were present in the cell membrane. Therefore, we tested the effects of genistein in CF patients with the G551D mutation in nasal potential difference (PD) measurements in vivo. The perfusion of the nasal mucosa of G551D CF patients with isoproterenol had no effect; however, genistein stimulated Cl-dependent nasal PD by, on average, </w:instrText>
      </w:r>
      <w:r w:rsidR="003B01C2">
        <w:rPr>
          <w:rFonts w:ascii="Cambria Math" w:hAnsi="Cambria Math" w:cs="Cambria Math"/>
          <w:b w:val="0"/>
        </w:rPr>
        <w:instrText>⫺</w:instrText>
      </w:r>
      <w:r w:rsidR="003B01C2">
        <w:rPr>
          <w:rFonts w:ascii="Arial" w:hAnsi="Arial" w:cs="Arial"/>
          <w:b w:val="0"/>
        </w:rPr>
        <w:instrText xml:space="preserve">2.4 </w:instrText>
      </w:r>
      <w:r w:rsidR="003B01C2">
        <w:rPr>
          <w:rFonts w:ascii="Cambria Math" w:hAnsi="Cambria Math" w:cs="Cambria Math"/>
          <w:b w:val="0"/>
        </w:rPr>
        <w:instrText>⫾</w:instrText>
      </w:r>
      <w:r w:rsidR="003B01C2">
        <w:rPr>
          <w:rFonts w:ascii="Arial" w:hAnsi="Arial" w:cs="Arial"/>
          <w:b w:val="0"/>
        </w:rPr>
        <w:instrText xml:space="preserve"> 0.6 mV, which corresponds to 16.9% ofthe responses (to ␤-adrenergic stimu- lation) found in healthy subjects.","author":[{"dropping-particle":"","family":"Illek","given":"Beate","non-dropping-particle":"","parse-names":false,"suffix":""},{"dropping-particle":"","family":"Zhang","given":"Lei","non-dropping-particle":"","parse-names":false,"suffix":""},{"dropping-particle":"","family":"Lewis","given":"Nancy C","non-dropping-particle":"","parse-names":false,"suffix":""},{"dropping-particle":"","family":"Moss","given":"Richard B","non-dropping-particle":"","parse-names":false,"suffix":""},{"dropping-particle":"","family":"Dong","given":"Jian-yun","non-dropping-particle":"","parse-names":false,"suffix":""},{"dropping-particle":"","family":"Fischer","given":"Horst","non-dropping-particle":"","parse-names":false,"suffix":""}],"container-title":"American Journal of Physiology - Cell Physiology","id":"ITEM-2","issued":{"date-parts":[["1999"]]},"page":"833-839","title":"Defective function of the cystic fibrosis-causing missense mutation G551D is recoved by genistein","type":"article-journal","volume":"46"},"uris":["http://www.mendeley.com/documents/?uuid=6b3f6308-d155-4c37-9278-1b19d8c14c99"]}],"mendeley":{"formattedCitation":"[12,21]","plainTextFormattedCitation":"[12,21]","previouslyFormattedCitation":"[12,21]"},"properties":{"noteIndex":0},"schema":"https://github.com/citation-style-language/schema/raw/master/csl-citation.json"}</w:instrText>
      </w:r>
      <w:r w:rsidRPr="00FD2DD0">
        <w:rPr>
          <w:rFonts w:ascii="Arial" w:hAnsi="Arial" w:cs="Arial"/>
          <w:b w:val="0"/>
        </w:rPr>
        <w:fldChar w:fldCharType="separate"/>
      </w:r>
      <w:r w:rsidR="00BE28B9" w:rsidRPr="00BE28B9">
        <w:rPr>
          <w:rFonts w:ascii="Arial" w:hAnsi="Arial" w:cs="Arial"/>
          <w:b w:val="0"/>
          <w:noProof/>
        </w:rPr>
        <w:t>[12,21]</w:t>
      </w:r>
      <w:r w:rsidRPr="00FD2DD0">
        <w:rPr>
          <w:rFonts w:ascii="Arial" w:hAnsi="Arial" w:cs="Arial"/>
          <w:b w:val="0"/>
        </w:rPr>
        <w:fldChar w:fldCharType="end"/>
      </w:r>
      <w:r w:rsidRPr="00FD2DD0">
        <w:rPr>
          <w:rFonts w:ascii="Arial" w:hAnsi="Arial" w:cs="Arial"/>
          <w:b w:val="0"/>
        </w:rPr>
        <w:t>. Fsk and IBMX together increase intracellular cAMP by activating adenylate cyclase (Fsk) and inhibiting phosphodiesterases (IBMX) and are commonly used as experimental activators of CFTR. CFTR</w:t>
      </w:r>
      <w:r w:rsidRPr="00FD2DD0">
        <w:rPr>
          <w:rFonts w:ascii="Arial" w:hAnsi="Arial" w:cs="Arial"/>
          <w:b w:val="0"/>
          <w:vertAlign w:val="subscript"/>
        </w:rPr>
        <w:t>inh</w:t>
      </w:r>
      <w:r w:rsidRPr="00FD2DD0">
        <w:rPr>
          <w:rFonts w:ascii="Arial" w:hAnsi="Arial" w:cs="Arial"/>
          <w:b w:val="0"/>
        </w:rPr>
        <w:t>-172 is a selective inhibitor of CFTR. ATP increases intracellular calcium and is commonly used as an indicator of calcium-activated chloride channel (CaCC) function.</w:t>
      </w:r>
    </w:p>
    <w:p w14:paraId="53A28BEE" w14:textId="77777777" w:rsidR="00983034" w:rsidRDefault="00983034" w:rsidP="0098320F">
      <w:pPr>
        <w:pStyle w:val="Refhead"/>
        <w:spacing w:before="0" w:after="0"/>
        <w:jc w:val="both"/>
        <w:rPr>
          <w:rFonts w:ascii="Arial" w:hAnsi="Arial" w:cs="Arial"/>
          <w:b w:val="0"/>
        </w:rPr>
      </w:pPr>
    </w:p>
    <w:p w14:paraId="4A8E5900" w14:textId="62574EA0" w:rsidR="006359E6" w:rsidRPr="00FD2DD0" w:rsidRDefault="005633E2" w:rsidP="0098320F">
      <w:pPr>
        <w:pStyle w:val="Refhead"/>
        <w:spacing w:before="0" w:after="0"/>
        <w:jc w:val="both"/>
        <w:rPr>
          <w:rFonts w:ascii="Arial" w:hAnsi="Arial" w:cs="Arial"/>
          <w:b w:val="0"/>
        </w:rPr>
      </w:pPr>
      <w:r w:rsidRPr="005633E2">
        <w:rPr>
          <w:rFonts w:ascii="Arial" w:hAnsi="Arial" w:cs="Arial"/>
          <w:b w:val="0"/>
          <w:color w:val="000000" w:themeColor="text1"/>
        </w:rPr>
        <w:t xml:space="preserve">In non-CF and Trikafta-treated F508del/F508del epithelia, the potentiator was added prior to Fsk/IBMX. In airway epithelia </w:t>
      </w:r>
      <w:r w:rsidRPr="005633E2">
        <w:rPr>
          <w:rFonts w:ascii="Arial" w:hAnsi="Arial" w:cs="Arial"/>
          <w:b w:val="0"/>
          <w:i/>
          <w:color w:val="000000" w:themeColor="text1"/>
        </w:rPr>
        <w:t>in vivo</w:t>
      </w:r>
      <w:r w:rsidRPr="005633E2">
        <w:rPr>
          <w:rFonts w:ascii="Arial" w:hAnsi="Arial" w:cs="Arial"/>
          <w:b w:val="0"/>
          <w:color w:val="000000" w:themeColor="text1"/>
        </w:rPr>
        <w:t xml:space="preserve">, </w:t>
      </w:r>
      <w:r w:rsidRPr="005633E2">
        <w:rPr>
          <w:rFonts w:ascii="Arial" w:hAnsi="Arial" w:cs="Arial"/>
          <w:b w:val="0"/>
          <w:bCs w:val="0"/>
          <w:color w:val="000000" w:themeColor="text1"/>
        </w:rPr>
        <w:t xml:space="preserve">a portion of the </w:t>
      </w:r>
      <w:r w:rsidRPr="005633E2">
        <w:rPr>
          <w:rFonts w:ascii="Arial" w:hAnsi="Arial" w:cs="Arial"/>
          <w:b w:val="0"/>
          <w:color w:val="000000" w:themeColor="text1"/>
        </w:rPr>
        <w:t xml:space="preserve">CFTR </w:t>
      </w:r>
      <w:r w:rsidRPr="005633E2">
        <w:rPr>
          <w:rFonts w:ascii="Arial" w:hAnsi="Arial" w:cs="Arial"/>
          <w:b w:val="0"/>
          <w:bCs w:val="0"/>
          <w:color w:val="000000" w:themeColor="text1"/>
        </w:rPr>
        <w:t>present is actively transporting chloride in the absence of</w:t>
      </w:r>
      <w:r>
        <w:rPr>
          <w:rFonts w:ascii="Arial" w:hAnsi="Arial" w:cs="Arial"/>
          <w:b w:val="0"/>
          <w:color w:val="000000" w:themeColor="text1"/>
        </w:rPr>
        <w:t xml:space="preserve"> exogenous forskolin. Thus, the</w:t>
      </w:r>
      <w:r w:rsidRPr="005633E2">
        <w:rPr>
          <w:rFonts w:ascii="Arial" w:hAnsi="Arial" w:cs="Arial"/>
          <w:b w:val="0"/>
          <w:color w:val="000000" w:themeColor="text1"/>
        </w:rPr>
        <w:t xml:space="preserve"> application of a potentiator before Fsk/IBMX </w:t>
      </w:r>
      <w:r w:rsidRPr="005633E2">
        <w:rPr>
          <w:rFonts w:ascii="Arial" w:hAnsi="Arial" w:cs="Arial"/>
          <w:b w:val="0"/>
          <w:bCs w:val="0"/>
          <w:color w:val="000000" w:themeColor="text1"/>
        </w:rPr>
        <w:t>allows for additional functional characterization of the channel. For instance</w:t>
      </w:r>
      <w:r w:rsidRPr="00186DCD">
        <w:rPr>
          <w:rFonts w:ascii="Arial" w:hAnsi="Arial" w:cs="Arial"/>
          <w:b w:val="0"/>
          <w:bCs w:val="0"/>
          <w:color w:val="000000" w:themeColor="text1"/>
        </w:rPr>
        <w:t xml:space="preserve">, in non-CF airway epithelia, minimal (or no) response to VX-770 is observed when </w:t>
      </w:r>
      <w:r w:rsidRPr="005633E2">
        <w:rPr>
          <w:rFonts w:ascii="Arial" w:hAnsi="Arial" w:cs="Arial"/>
          <w:b w:val="0"/>
          <w:bCs w:val="0"/>
          <w:color w:val="000000" w:themeColor="text1"/>
        </w:rPr>
        <w:t>Fsk/IBMX is added first</w:t>
      </w:r>
      <w:r w:rsidR="00983034">
        <w:rPr>
          <w:rFonts w:ascii="Arial" w:hAnsi="Arial" w:cs="Arial"/>
          <w:b w:val="0"/>
        </w:rPr>
        <w:t xml:space="preserve"> </w:t>
      </w:r>
      <w:r w:rsidR="00983034">
        <w:rPr>
          <w:rFonts w:ascii="Arial" w:hAnsi="Arial" w:cs="Arial"/>
          <w:b w:val="0"/>
        </w:rPr>
        <w:fldChar w:fldCharType="begin" w:fldLock="1"/>
      </w:r>
      <w:r w:rsidR="00E12EF3">
        <w:rPr>
          <w:rFonts w:ascii="Arial" w:hAnsi="Arial" w:cs="Arial"/>
          <w:b w:val="0"/>
        </w:rPr>
        <w:instrText>ADDIN CSL_CITATION {"citationItems":[{"id":"ITEM-1","itemData":{"DOI":"10.14814/phy2.14603","abstract":"Introduction: One method for assessing the in vitro response to CFTR-modulating compounds is by analysis of epithelial monolayers in an Ussing chamber, where the apical and basolateral surfaces are isolated and the potential difference, short-circuit current, and transepithelial resistance can be monitored. The effect of a chloride ion gradient across airway epithelia on transepithelial chloride transport and the magni- tude of CFTR modulator efficacy were examined. Methods: CFTR-mediated changes in the potential difference and transepithelial currents of primary human nasal epithelial cell cultures were quantified in Ussing chambers with either symmetrical solutions or reduced chloride solutions in the api- cal chamber. CFTR activity in homozygous F508del CFTR epithelia was rescued by treatment with VX-661, C4/C18, 4-phenylbutyrate (4-PBA) for 24 hr at 37°C or by incubation at 29°C for 48 hr. Results: Imposing a chloride gradient increased CFTR-mediated and CaCC- mediated ion transport. Treatment of F508del CFTR homozygous cells with CFTR modulating compounds increased CFTR activity, which was significantly more evi- dent in the presence of a chloride gradient. This observation was recapitulated with temperature-mediated F508del CFTR correction. Conclusions: Imposing a chloride gradient during Ussing chamber measurements resulted in increased CFTR-mediated ion transport in expanded non-CF and F508del CFTR homozygous epithelia. In F508del CFTR homozygous epithelia, the magni- tude of response to CFTR modulating compounds or low temperature was greater when assayed with a chloride gradient compared to symmetrical chloride, resulting in an apparent increase in measured efficacy. Future work may direct which method- ologies utilized to quantify CFTR modulator response in vitro are most appropriate for the estimation of in vivo efficacy.","author":[{"dropping-particle":"","family":"Bratcher","given":"Preston E","non-dropping-particle":"","parse-names":false,"suffix":""},{"dropping-particle":"","family":"Yadav","given":"S","non-dropping-particle":"","parse-names":false,"suffix":""},{"dropping-particle":"","family":"Shaughnessy","given":"C. A.","non-dropping-particle":"","parse-names":false,"suffix":""},{"dropping-particle":"","family":"Thornell","given":"I. M.","non-dropping-particle":"","parse-names":false,"suffix":""},{"dropping-particle":"","family":"Zeitlin","given":"Pamela L","non-dropping-particle":"","parse-names":false,"suffix":""}],"container-title":"Physiological Reports","id":"ITEM-1","issued":{"date-parts":[["2020"]]},"page":"e14603","title":"Effect of apical chloride concentration on the measurement of responses to CFTR modulation in airway epithelia cultured from nasal brushings","type":"article-journal","volume":"8"},"uris":["http://www.mendeley.com/documents/?uuid=db069bd8-2746-48e8-80cb-292c82594bfb"]},{"id":"ITEM-2","itemData":{"DOI":"10.1074/jbc.M112.393637","ISSN":"00219258","PMID":"22942289","abstract":"Background: VX-770 (ivacaftor), approved for therapy in CF patients bearing the G551D mutation, has an unknown mode of action. Results: Potentiation of purified WT and mutant CFTR by VX-770 did not require the normal activating ligand ATP. Conclusion: VX-770 binds WT and mutant CFTR channels directly to induce a nonconventional mode of gating. Significance: These findings will enable discovery of the VX-770-binding site. © 2012 by The American Society for Biochemistry and Molecular Biology, Inc.","author":[{"dropping-particle":"","family":"Eckford","given":"Paul D.W.","non-dropping-particle":"","parse-names":false,"suffix":""},{"dropping-particle":"","family":"Li","given":"Canhui","non-dropping-particle":"","parse-names":false,"suffix":""},{"dropping-particle":"","family":"Ramjeesingh","given":"Mohabir","non-dropping-particle":"","parse-names":false,"suffix":""},{"dropping-particle":"","family":"Bear","given":"Christine E.","non-dropping-particle":"","parse-names":false,"suffix":""}],"container-title":"Journal of Biological Chemistry","id":"ITEM-2","issue":"44","issued":{"date-parts":[["2012"]]},"page":"36639-36649","publisher":"Â© 2012 ASBMB. Currently published by Elsevier Inc; originally published by American Society for Biochemistry and Molecular Biology.","title":"Cystic fibrosis transmembrane conductance regulator (CFTR) potentiator VX-770 (ivacaftor) opens the defective channel gate of mutant CFTR in a phosphorylationdependent but ATP-independent manner","type":"article-journal","volume":"287"},"uris":["http://www.mendeley.com/documents/?uuid=3e8f22fc-4211-464f-b42b-dd4ac231ec09"]},{"id":"ITEM-3","itemData":{"DOI":"10.1126/scitranslmed.3008680","ISSN":"19466242","abstract":"Cystic fibrosis (CF) is caused by mutations in the CF transmembrane conductance regulator (CFTR). Newly developed \"correctors\" such as lumacaftor (VX-809) that improve CFTR maturation and trafficking and \"potentiators\" such as ivacaftor (VX-770) that enhance channel activity may provide important advances in CF therapy. Although VX-770 has demonstrated substantial clinical efficacy in the small subset of patients with a mutation (G551D) that affects only channel activity, a single compound is not sufficient to treat patients with the more common CFTR mutation, ΔF508. Thus, patients with ΔF508 will likely require treatment with both correctors and potentiators to achieve clinical benefit. However, whereas the effectiveness of acute treatment with this drug combination has been demonstrated in vitro, the impact of chronic therapy has not been established. In studies of human primary airway epithelial cells, we found that both acute and chronic treatment with VX-770 improved CFTR function in cells with the G551D mutation, consistent with clinical studies. In contrast, chronic VX-770 administration caused a dose-dependent reversal of VX-809-mediated CFTR correction in ΔF508 homozygous cultures. This result reflected the destabilization of corrected ΔF508 CFTR by VX-770, markedly increasing its turnover rate. Chronic VX-770 treatment also reduced mature wild-type CFTR levels and function. These findings demonstrate that chronic treatment with CFTR potentiators and correctors may have unexpected effects that cannot be predicted from short-term studies. Combining these drugs to maximize rescue of ΔF508 CFTR may require changes in dosing and/or development of new potentiator compounds that do not interfere with CFTR stability.","author":[{"dropping-particle":"","family":"Cholon","given":"Deborah M.","non-dropping-particle":"","parse-names":false,"suffix":""},{"dropping-particle":"","family":"Quinney","given":"Nancy L.","non-dropping-particle":"","parse-names":false,"suffix":""},{"dropping-particle":"","family":"Fulcher","given":"M. Leslie","non-dropping-particle":"","parse-names":false,"suffix":""},{"dropping-particle":"","family":"Esther","given":"Charles R.","non-dropping-particle":"","parse-names":false,"suffix":""},{"dropping-particle":"","family":"Das","given":"Jhuma","non-dropping-particle":"","parse-names":false,"suffix":""},{"dropping-particle":"V.","family":"Dokholyan","given":"Nikolay","non-dropping-particle":"","parse-names":false,"suffix":""},{"dropping-particle":"","family":"Randell","given":"Scott H.","non-dropping-particle":"","parse-names":false,"suffix":""},{"dropping-particle":"","family":"Boucher","given":"Richard C.","non-dropping-particle":"","parse-names":false,"suffix":""},{"dropping-particle":"","family":"Gentzsch","given":"Martina","non-dropping-particle":"","parse-names":false,"suffix":""}],"container-title":"Science Translational Medicine","id":"ITEM-3","issue":"246","issued":{"date-parts":[["2014"]]},"page":"1-12","title":"Potentiator ivacaftor abrogates pharmacological correction of ΔF508 CFTR in cystic fibrosis","type":"article-journal","volume":"6"},"uris":["http://www.mendeley.com/documents/?uuid=49ddbf4a-cc86-4329-9459-752c9e896351"]},{"id":"ITEM-4","itemData":{"DOI":"10.1126/scitranslmed.3008889","ISSN":"19466242","PMID":"25101887","abstract":"Cystic fibrosis (CF) is caused by mutations in the CF transmembrane regulator (CFTR) that result in reduced anion conductance at the apical membrane of secretory epithelia. Treatment of CF patients carrying the G551D gating mutation with the potentiator VX-770 (ivacaftor) largely restores channel activity and has shown substantial clinical benefit. However, most CF patients carry the ΔF508 mutation, which impairs CFTR folding, processing, function, and stability. Studies in homozygous ΔF508 CF patients indicated little clinical benefit of monotherapy with the investigational corrector VX-809 (lumacaftor) or VX-770, whereas combination clinical trials show limited but significant improvements in lung function. We show that VX-770, as well as most other potentiators, reduces the correction efficacy of VX-809 and another investigational corrector, VX-661. To mimic the administration of VX-770 alone or in combination with VX-809, we examined its long-term effect in immortalized and primary human respiratory epithelia. VX-770 diminished the folding efficiency and the metabolic stability of ΔF508-CFTR at the endoplasmic reticulum (ER) and post-ER compartments, respectively, causing reduced cell surface ΔF508-CFTR density and function. VX-770-induced destabilization of ΔF508-CFTR was influenced by second-site suppressor mutations of the folding defect and was prevented by stabilization of the nucleotide-binding domain 1 (NBD1)-NBD2 interface. The reduced correction efficiency of ΔF508-CFTR, as well as of two other processing mutations in the presence of VX-770, suggests the need for further optimization of potentiators to maximize the clinical benefit of corrector-potentiator combination therapy in CF.","author":[{"dropping-particle":"","family":"Veit","given":"Guido","non-dropping-particle":"","parse-names":false,"suffix":""},{"dropping-particle":"","family":"Avramescu","given":"Radu G.","non-dropping-particle":"","parse-names":false,"suffix":""},{"dropping-particle":"","family":"Perdomo","given":"Doranda","non-dropping-particle":"","parse-names":false,"suffix":""},{"dropping-particle":"","family":"Phuan","given":"Puay Wah","non-dropping-particle":"","parse-names":false,"suffix":""},{"dropping-particle":"","family":"Bagdany","given":"Miklos","non-dropping-particle":"","parse-names":false,"suffix":""},{"dropping-particle":"","family":"Apaja","given":"Pirjo M.","non-dropping-particle":"","parse-names":false,"suffix":""},{"dropping-particle":"","family":"Borot","given":"Florence","non-dropping-particle":"","parse-names":false,"suffix":""},{"dropping-particle":"","family":"Szollosi","given":"Daniel","non-dropping-particle":"","parse-names":false,"suffix":""},{"dropping-particle":"","family":"Wu","given":"Yu Sheng","non-dropping-particle":"","parse-names":false,"suffix":""},{"dropping-particle":"","family":"Finkbeiner","given":"Walter E.","non-dropping-particle":"","parse-names":false,"suffix":""},{"dropping-particle":"","family":"Hegedus","given":"Tamas","non-dropping-particle":"","parse-names":false,"suffix":""},{"dropping-particle":"","family":"Verkman","given":"Alan S.","non-dropping-particle":"","parse-names":false,"suffix":""},{"dropping-particle":"","family":"Lukacs","given":"Gergely L.","non-dropping-particle":"","parse-names":false,"suffix":""}],"container-title":"Science Translational Medicine","id":"ITEM-4","issue":"246","issued":{"date-parts":[["2014"]]},"page":"1-14","title":"Some gating potentiators, including VX-770, diminish ΔF508-CFTR functional expression","type":"article-journal","volume":"6"},"uris":["http://www.mendeley.com/documents/?uuid=99e1f258-cfd9-4858-938a-380f050fe62c"]},{"id":"ITEM-5","itemData":{"DOI":"10.1038/s41598-019-49921-4","ISSN":"20452322","PMID":"31530897","abstract":"VX-770 (ivacaftor) is approved for clinical use in CF patients bearing multiple CFTR mutations. VX-770 potentiated wildtype CFTR and several disease mutants expressed in oocytes in a manner modulated by PKA-mediated phosphorylation. Potentiation of some other mutants, including G551D-CFTR, was less dependent upon the level of phosphorylation, likely related to the severe gating defects in these mutants exhibited in part by a shift in PKA sensitivity to activation, possibly due to an electrostatic interaction of D551 with K1250. Phosphorylation-dependent potentiation of wildtype CFTR and other variants also was observed in epithelial cells. Hence, the efficacy of potentiators may be obscured by a ceiling effect when drug screening is performed under strongly phosphorylating conditions. These results should be considered in campaigns for CFTR potentiator discovery, and may enable the expansion of VX-770 to CF patients bearing ultra-orphan CFTR mutations.","author":[{"dropping-particle":"","family":"Cui","given":"Guiying","non-dropping-particle":"","parse-names":false,"suffix":""},{"dropping-particle":"","family":"Stauffer","given":"Brandon B.","non-dropping-particle":"","parse-names":false,"suffix":""},{"dropping-particle":"","family":"Imhoff","given":"Barry R.","non-dropping-particle":"","parse-names":false,"suffix":""},{"dropping-particle":"","family":"Rab","given":"Andras","non-dropping-particle":"","parse-names":false,"suffix":""},{"dropping-particle":"","family":"Hong","given":"Jeong S.","non-dropping-particle":"","parse-names":false,"suffix":""},{"dropping-particle":"","family":"Sorscher","given":"Eric J.","non-dropping-particle":"","parse-names":false,"suffix":""},{"dropping-particle":"","family":"McCarty","given":"Nael A.","non-dropping-particle":"","parse-names":false,"suffix":""}],"container-title":"Scientific Reports","id":"ITEM-5","issue":"1","issued":{"date-parts":[["2019"]]},"page":"1-17","publisher":"Springer US","title":"VX-770-mediated potentiation of numerous human CFTR disease mutants is influenced by phosphorylation level","type":"article-journal","volume":"9"},"uris":["http://www.mendeley.com/documents/?uuid=54f0501e-eefd-4a72-ada1-d4d3e356ee5b"]},{"id":"ITEM-6","itemData":{"DOI":"10.1152/ajplung.00465.2010","ISSN":"10400605","PMID":"21724857","abstract":"Modulator compounds intended to overcome disease-causing mutations in the cystic fibrosis transmembrane conductance regulator (CFTR) show significant promise in clinical testing for cystic fibrosis. However, the mechanism(s) of action underlying these compounds are not fully understood. Activation of CFTR ion transport requires PKA-regulated phosphorylation of the regulatory domain (R-D) and dimerization of the nucleotide binding domains. Using a newly developed assay, we evaluated nine compounds including both CFTR potentatiators and activators discovered via various high-throughput screening strategies to acutely augment CFTR activity. We found considerable differences in the effects on R-D phosphorylation. Some (including UC CF-152) stimulated robust phosphorylation, and others had little effect (e.g., VRT-532 and VX-770). We then compared CFTR activation by UC CF-152 and VRT-532 in Ussing chamber studies using two epithelial models, CFBE41o - and Fischer rat thyroid cells, expressing various CFTR forms. UC CF-152 activated wild-type-, G551D-, and rescued F508del-CFTR currents but did not potentiate cAMP-mediated CFTR activation. In contrast, VRT-532 moderately activated CFTR short-circuit current and strongly potentiated forskolin-mediated current. Combined with the result that UC CF-152, but not VRT-532 or VX-770, acts by increasing CFTR R-D phosphorylation, these findings indicate that potentiation of endogenous cAMP-mediated activation of mutant CFTR is not due to a pathway involving augmented R-D phosphorylation. This study presents an assay useful to distinguish preclinical compounds by a crucial mechanism underlying CFTR activation, delineates two types of compound able to acutely augment CFTR activity (e.g., activators and potentiators), and demonstrates that a number of different mechanisms can be successfully employed to activate mutant CFTR. © the American Physiological Society.","author":[{"dropping-particle":"","family":"Pyle","given":"Louise C.","non-dropping-particle":"","parse-names":false,"suffix":""},{"dropping-particle":"","family":"Ehrhardt","given":"Annette","non-dropping-particle":"","parse-names":false,"suffix":""},{"dropping-particle":"","family":"Mitchell","given":"Lisa High","non-dropping-particle":"","parse-names":false,"suffix":""},{"dropping-particle":"","family":"Fan","given":"Lijuan","non-dropping-particle":"","parse-names":false,"suffix":""},{"dropping-particle":"","family":"Ren","given":"Aixia","non-dropping-particle":"","parse-names":false,"suffix":""},{"dropping-particle":"","family":"Naren","given":"Anjaparavanda P.","non-dropping-particle":"","parse-names":false,"suffix":""},{"dropping-particle":"","family":"Li","given":"Yao","non-dropping-particle":"","parse-names":false,"suffix":""},{"dropping-particle":"","family":"Clancy","given":"J. P.","non-dropping-particle":"","parse-names":false,"suffix":""},{"dropping-particle":"","family":"Bolger","given":"Graeme B.","non-dropping-particle":"","parse-names":false,"suffix":""},{"dropping-particle":"","family":"Sorscher","given":"Eric J.","non-dropping-particle":"","parse-names":false,"suffix":""},{"dropping-particle":"","family":"Rowe","given":"Steven M.","non-dropping-particle":"","parse-names":false,"suffix":""}],"container-title":"American Journal of Physiology - Lung Cellular and Molecular Physiology","id":"ITEM-6","issue":"4","issued":{"date-parts":[["2011"]]},"page":"587-597","title":"Regulatory domain phosphorylation to distinguish the mechanistic basis underlying acute CFTR modulators","type":"article-journal","volume":"301"},"uris":["http://www.mendeley.com/documents/?uuid=b5a5dedd-8a0c-4273-bfdb-5b8615d315e4"]}],"mendeley":{"formattedCitation":"[22–27]","plainTextFormattedCitation":"[22–27]","previouslyFormattedCitation":"[22–26]"},"properties":{"noteIndex":0},"schema":"https://github.com/citation-style-language/schema/raw/master/csl-citation.json"}</w:instrText>
      </w:r>
      <w:r w:rsidR="00983034">
        <w:rPr>
          <w:rFonts w:ascii="Arial" w:hAnsi="Arial" w:cs="Arial"/>
          <w:b w:val="0"/>
        </w:rPr>
        <w:fldChar w:fldCharType="separate"/>
      </w:r>
      <w:r w:rsidR="00E12EF3" w:rsidRPr="00E12EF3">
        <w:rPr>
          <w:rFonts w:ascii="Arial" w:hAnsi="Arial" w:cs="Arial"/>
          <w:b w:val="0"/>
          <w:noProof/>
        </w:rPr>
        <w:t>[22–27]</w:t>
      </w:r>
      <w:r w:rsidR="00983034">
        <w:rPr>
          <w:rFonts w:ascii="Arial" w:hAnsi="Arial" w:cs="Arial"/>
          <w:b w:val="0"/>
        </w:rPr>
        <w:fldChar w:fldCharType="end"/>
      </w:r>
      <w:r w:rsidR="00983034" w:rsidRPr="00983034">
        <w:rPr>
          <w:rFonts w:ascii="Arial" w:hAnsi="Arial" w:cs="Arial"/>
          <w:b w:val="0"/>
        </w:rPr>
        <w:t>.</w:t>
      </w:r>
    </w:p>
    <w:p w14:paraId="5F0A3B54" w14:textId="77777777" w:rsidR="0098320F" w:rsidRDefault="0098320F" w:rsidP="0098320F">
      <w:pPr>
        <w:pStyle w:val="Refhead"/>
        <w:spacing w:before="0" w:after="0"/>
        <w:jc w:val="both"/>
        <w:rPr>
          <w:rFonts w:ascii="Arial" w:hAnsi="Arial" w:cs="Arial"/>
          <w:b w:val="0"/>
        </w:rPr>
      </w:pPr>
    </w:p>
    <w:p w14:paraId="4C03DC49" w14:textId="74E06186" w:rsidR="00382687" w:rsidRPr="00FD2DD0" w:rsidRDefault="006359E6" w:rsidP="0098320F">
      <w:pPr>
        <w:pStyle w:val="Refhead"/>
        <w:spacing w:before="0" w:after="0"/>
        <w:jc w:val="both"/>
        <w:rPr>
          <w:rFonts w:ascii="Arial" w:hAnsi="Arial" w:cs="Arial"/>
          <w:b w:val="0"/>
        </w:rPr>
      </w:pPr>
      <w:r w:rsidRPr="00FD2DD0">
        <w:rPr>
          <w:rFonts w:ascii="Arial" w:hAnsi="Arial" w:cs="Arial"/>
          <w:b w:val="0"/>
        </w:rPr>
        <w:t>In addition to assessing their responsiveness to test compounds, the adequacy and integrity of HNE cultures for electrophysiological analyses were determined by the presence of mucosal secretions, beating cilia, and an adequate transepithelial resistance (&gt; 1</w:t>
      </w:r>
      <w:r w:rsidR="00FE47AD">
        <w:rPr>
          <w:rFonts w:ascii="Arial" w:hAnsi="Arial" w:cs="Arial"/>
          <w:b w:val="0"/>
        </w:rPr>
        <w:t>0</w:t>
      </w:r>
      <w:r w:rsidRPr="00FD2DD0">
        <w:rPr>
          <w:rFonts w:ascii="Arial" w:hAnsi="Arial" w:cs="Arial"/>
          <w:b w:val="0"/>
        </w:rPr>
        <w:t>0 Ω cm</w:t>
      </w:r>
      <w:r w:rsidRPr="00FD2DD0">
        <w:rPr>
          <w:rFonts w:ascii="Arial" w:hAnsi="Arial" w:cs="Arial"/>
          <w:b w:val="0"/>
          <w:vertAlign w:val="superscript"/>
        </w:rPr>
        <w:t>-2</w:t>
      </w:r>
      <w:r w:rsidRPr="00FD2DD0">
        <w:rPr>
          <w:rFonts w:ascii="Arial" w:hAnsi="Arial" w:cs="Arial"/>
          <w:b w:val="0"/>
        </w:rPr>
        <w:t>). Fsk/IBMX- and CFTR</w:t>
      </w:r>
      <w:r w:rsidRPr="00FD2DD0">
        <w:rPr>
          <w:rFonts w:ascii="Arial" w:hAnsi="Arial" w:cs="Arial"/>
          <w:b w:val="0"/>
          <w:vertAlign w:val="subscript"/>
        </w:rPr>
        <w:t>inh</w:t>
      </w:r>
      <w:r w:rsidRPr="00FD2DD0">
        <w:rPr>
          <w:rFonts w:ascii="Arial" w:hAnsi="Arial" w:cs="Arial"/>
          <w:b w:val="0"/>
        </w:rPr>
        <w:t xml:space="preserve">-172-sensitive responses in </w:t>
      </w:r>
      <w:r w:rsidRPr="00FD2DD0">
        <w:rPr>
          <w:rFonts w:ascii="Arial" w:hAnsi="Arial" w:cs="Arial"/>
          <w:b w:val="0"/>
          <w:iCs/>
        </w:rPr>
        <w:t>I</w:t>
      </w:r>
      <w:r w:rsidRPr="00FD2DD0">
        <w:rPr>
          <w:rFonts w:ascii="Arial" w:hAnsi="Arial" w:cs="Arial"/>
          <w:b w:val="0"/>
          <w:vertAlign w:val="subscript"/>
        </w:rPr>
        <w:t>t</w:t>
      </w:r>
      <w:r w:rsidRPr="00FD2DD0">
        <w:rPr>
          <w:rFonts w:ascii="Arial" w:hAnsi="Arial" w:cs="Arial"/>
          <w:b w:val="0"/>
        </w:rPr>
        <w:t xml:space="preserve"> were considered measures of CFTR activity. All recordings were digitally acquired using Acquire and Analyze 2.3 software (Physiologic Instruments).</w:t>
      </w:r>
      <w:r w:rsidR="00382687" w:rsidRPr="00FD2DD0">
        <w:rPr>
          <w:rFonts w:ascii="Arial" w:hAnsi="Arial" w:cs="Arial"/>
          <w:b w:val="0"/>
        </w:rPr>
        <w:br w:type="page"/>
      </w:r>
    </w:p>
    <w:p w14:paraId="3D1015B1" w14:textId="25B4BC65" w:rsidR="008573F1" w:rsidRDefault="00382687" w:rsidP="0098320F">
      <w:pPr>
        <w:pStyle w:val="Refhead"/>
        <w:spacing w:before="0" w:after="0"/>
        <w:jc w:val="center"/>
        <w:rPr>
          <w:rFonts w:ascii="Arial" w:hAnsi="Arial" w:cs="Arial"/>
          <w:caps/>
        </w:rPr>
      </w:pPr>
      <w:r w:rsidRPr="00FD2DD0">
        <w:rPr>
          <w:rFonts w:ascii="Arial" w:hAnsi="Arial" w:cs="Arial"/>
          <w:caps/>
        </w:rPr>
        <w:lastRenderedPageBreak/>
        <w:t>Supplementary Figures</w:t>
      </w:r>
    </w:p>
    <w:p w14:paraId="21AC2684" w14:textId="77777777" w:rsidR="0098320F" w:rsidRPr="00FD2DD0" w:rsidRDefault="0098320F" w:rsidP="0098320F">
      <w:pPr>
        <w:pStyle w:val="Refhead"/>
        <w:spacing w:before="0" w:after="0"/>
        <w:jc w:val="both"/>
        <w:rPr>
          <w:rFonts w:ascii="Arial" w:hAnsi="Arial" w:cs="Arial"/>
          <w:caps/>
        </w:rPr>
      </w:pPr>
    </w:p>
    <w:p w14:paraId="3A3273E0" w14:textId="77777777" w:rsidR="00382687" w:rsidRPr="00FD2DD0" w:rsidRDefault="00382687" w:rsidP="0055199E">
      <w:pPr>
        <w:jc w:val="center"/>
        <w:rPr>
          <w:rFonts w:ascii="Arial" w:hAnsi="Arial" w:cs="Arial"/>
          <w:sz w:val="24"/>
          <w:szCs w:val="24"/>
        </w:rPr>
      </w:pPr>
      <w:r w:rsidRPr="00FD2DD0">
        <w:rPr>
          <w:rFonts w:ascii="Arial" w:hAnsi="Arial" w:cs="Arial"/>
          <w:noProof/>
          <w:sz w:val="24"/>
          <w:szCs w:val="24"/>
        </w:rPr>
        <w:drawing>
          <wp:inline distT="0" distB="0" distL="0" distR="0" wp14:anchorId="574186ED" wp14:editId="7353C511">
            <wp:extent cx="4431019" cy="26795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34686" cy="2681807"/>
                    </a:xfrm>
                    <a:prstGeom prst="rect">
                      <a:avLst/>
                    </a:prstGeom>
                    <a:noFill/>
                  </pic:spPr>
                </pic:pic>
              </a:graphicData>
            </a:graphic>
          </wp:inline>
        </w:drawing>
      </w:r>
    </w:p>
    <w:p w14:paraId="3C941CDC" w14:textId="77777777" w:rsidR="00382687" w:rsidRPr="00FD2DD0" w:rsidRDefault="00382687" w:rsidP="0098320F">
      <w:pPr>
        <w:pStyle w:val="SMHeading"/>
        <w:spacing w:before="0" w:after="0"/>
        <w:jc w:val="both"/>
        <w:rPr>
          <w:rFonts w:ascii="Arial" w:hAnsi="Arial" w:cs="Arial"/>
          <w:b w:val="0"/>
        </w:rPr>
      </w:pPr>
      <w:r w:rsidRPr="00FD2DD0">
        <w:rPr>
          <w:rFonts w:ascii="Arial" w:hAnsi="Arial" w:cs="Arial"/>
        </w:rPr>
        <w:t>Figure S1: Dose-response curve of I</w:t>
      </w:r>
      <w:r w:rsidRPr="00FD2DD0">
        <w:rPr>
          <w:rFonts w:ascii="Arial" w:hAnsi="Arial" w:cs="Arial"/>
          <w:vertAlign w:val="subscript"/>
        </w:rPr>
        <w:t>t</w:t>
      </w:r>
      <w:r w:rsidRPr="00FD2DD0">
        <w:rPr>
          <w:rFonts w:ascii="Arial" w:hAnsi="Arial" w:cs="Arial"/>
        </w:rPr>
        <w:t xml:space="preserve"> in non-CF HNE acutely titrated with elexacaftor (VX-445) or other established CFTR potentiators. </w:t>
      </w:r>
      <w:r w:rsidRPr="00FD2DD0">
        <w:rPr>
          <w:rFonts w:ascii="Arial" w:hAnsi="Arial" w:cs="Arial"/>
          <w:b w:val="0"/>
        </w:rPr>
        <w:t>Acute application of VX-445 increased I</w:t>
      </w:r>
      <w:r w:rsidRPr="00FD2DD0">
        <w:rPr>
          <w:rFonts w:ascii="Arial" w:hAnsi="Arial" w:cs="Arial"/>
          <w:b w:val="0"/>
          <w:vertAlign w:val="subscript"/>
        </w:rPr>
        <w:t>t</w:t>
      </w:r>
      <w:r w:rsidRPr="00FD2DD0">
        <w:rPr>
          <w:rFonts w:ascii="Arial" w:hAnsi="Arial" w:cs="Arial"/>
          <w:b w:val="0"/>
        </w:rPr>
        <w:t xml:space="preserve"> across non-CF HNE in a dose-dependent manner. The maximal potentiating effect of VX-445 was less than the potentiating effects of ivacaftor (VX-770) and genistein. Note: all concentrations for genistein are 10-fold higher than indicated.</w:t>
      </w:r>
    </w:p>
    <w:p w14:paraId="1923FE83" w14:textId="77777777" w:rsidR="00382687" w:rsidRPr="00FD2DD0" w:rsidRDefault="00382687" w:rsidP="0098320F">
      <w:pPr>
        <w:jc w:val="both"/>
        <w:rPr>
          <w:rFonts w:ascii="Arial" w:hAnsi="Arial" w:cs="Arial"/>
          <w:sz w:val="24"/>
          <w:szCs w:val="24"/>
        </w:rPr>
      </w:pPr>
      <w:r w:rsidRPr="00FD2DD0">
        <w:rPr>
          <w:rFonts w:ascii="Arial" w:hAnsi="Arial" w:cs="Arial"/>
          <w:sz w:val="24"/>
          <w:szCs w:val="24"/>
        </w:rPr>
        <w:br w:type="page"/>
      </w:r>
    </w:p>
    <w:p w14:paraId="14E7B239" w14:textId="73377996" w:rsidR="00382687" w:rsidRPr="00FD2DD0" w:rsidRDefault="00D521D6" w:rsidP="003D6AF9">
      <w:pPr>
        <w:jc w:val="center"/>
        <w:rPr>
          <w:rFonts w:ascii="Arial" w:hAnsi="Arial" w:cs="Arial"/>
          <w:sz w:val="24"/>
          <w:szCs w:val="24"/>
        </w:rPr>
      </w:pPr>
      <w:r>
        <w:rPr>
          <w:rFonts w:ascii="Arial" w:hAnsi="Arial" w:cs="Arial"/>
          <w:noProof/>
          <w:sz w:val="24"/>
          <w:szCs w:val="24"/>
        </w:rPr>
        <w:lastRenderedPageBreak/>
        <w:drawing>
          <wp:inline distT="0" distB="0" distL="0" distR="0" wp14:anchorId="42640CC4" wp14:editId="62EF7EE4">
            <wp:extent cx="4596484" cy="543358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00673" cy="5438539"/>
                    </a:xfrm>
                    <a:prstGeom prst="rect">
                      <a:avLst/>
                    </a:prstGeom>
                    <a:noFill/>
                  </pic:spPr>
                </pic:pic>
              </a:graphicData>
            </a:graphic>
          </wp:inline>
        </w:drawing>
      </w:r>
    </w:p>
    <w:p w14:paraId="17ACE4E4" w14:textId="4F00940F" w:rsidR="00382687" w:rsidRPr="00FD2DD0" w:rsidRDefault="00382687" w:rsidP="0098320F">
      <w:pPr>
        <w:jc w:val="both"/>
        <w:rPr>
          <w:rFonts w:ascii="Arial" w:hAnsi="Arial" w:cs="Arial"/>
          <w:sz w:val="24"/>
          <w:szCs w:val="24"/>
        </w:rPr>
      </w:pPr>
    </w:p>
    <w:p w14:paraId="5ED5AA6F" w14:textId="7E307630" w:rsidR="00382687" w:rsidRPr="00FD2DD0" w:rsidRDefault="00382687" w:rsidP="0098320F">
      <w:pPr>
        <w:pStyle w:val="SMHeading"/>
        <w:spacing w:before="0" w:after="0"/>
        <w:jc w:val="both"/>
        <w:rPr>
          <w:rFonts w:ascii="Arial" w:hAnsi="Arial" w:cs="Arial"/>
        </w:rPr>
      </w:pPr>
      <w:r w:rsidRPr="00FD2DD0">
        <w:rPr>
          <w:rFonts w:ascii="Arial" w:hAnsi="Arial" w:cs="Arial"/>
        </w:rPr>
        <w:t xml:space="preserve">Figure S2: Supporting data corresponding to main text Fig. 1. </w:t>
      </w:r>
      <w:r w:rsidRPr="00FD2DD0">
        <w:rPr>
          <w:rFonts w:ascii="Arial" w:hAnsi="Arial" w:cs="Arial"/>
          <w:b w:val="0"/>
        </w:rPr>
        <w:t>(</w:t>
      </w:r>
      <w:r w:rsidRPr="00FD2DD0">
        <w:rPr>
          <w:rFonts w:ascii="Arial" w:hAnsi="Arial" w:cs="Arial"/>
          <w:b w:val="0"/>
          <w:i/>
        </w:rPr>
        <w:t>A</w:t>
      </w:r>
      <w:r w:rsidRPr="00FD2DD0">
        <w:rPr>
          <w:rFonts w:ascii="Arial" w:hAnsi="Arial" w:cs="Arial"/>
          <w:b w:val="0"/>
        </w:rPr>
        <w:t>) Details of statistical comparisons for data presented in Fig. 1</w:t>
      </w:r>
      <w:r w:rsidRPr="00FD2DD0">
        <w:rPr>
          <w:rFonts w:ascii="Arial" w:hAnsi="Arial" w:cs="Arial"/>
          <w:b w:val="0"/>
          <w:i/>
        </w:rPr>
        <w:t>B</w:t>
      </w:r>
      <w:r w:rsidRPr="00FD2DD0">
        <w:rPr>
          <w:rFonts w:ascii="Arial" w:hAnsi="Arial" w:cs="Arial"/>
          <w:b w:val="0"/>
        </w:rPr>
        <w:t>. (</w:t>
      </w:r>
      <w:r w:rsidRPr="00FD2DD0">
        <w:rPr>
          <w:rFonts w:ascii="Arial" w:hAnsi="Arial" w:cs="Arial"/>
          <w:b w:val="0"/>
          <w:i/>
        </w:rPr>
        <w:t>B</w:t>
      </w:r>
      <w:r w:rsidRPr="00FD2DD0">
        <w:rPr>
          <w:rFonts w:ascii="Arial" w:hAnsi="Arial" w:cs="Arial"/>
          <w:b w:val="0"/>
        </w:rPr>
        <w:t>) Representative I</w:t>
      </w:r>
      <w:r w:rsidRPr="00FD2DD0">
        <w:rPr>
          <w:rFonts w:ascii="Arial" w:hAnsi="Arial" w:cs="Arial"/>
          <w:b w:val="0"/>
          <w:vertAlign w:val="subscript"/>
        </w:rPr>
        <w:t>t</w:t>
      </w:r>
      <w:r w:rsidRPr="00FD2DD0">
        <w:rPr>
          <w:rFonts w:ascii="Arial" w:hAnsi="Arial" w:cs="Arial"/>
          <w:b w:val="0"/>
        </w:rPr>
        <w:t xml:space="preserve"> recordings corresponding to data presented in Fig. </w:t>
      </w:r>
      <w:r w:rsidR="00D521D6" w:rsidRPr="00FD2DD0">
        <w:rPr>
          <w:rFonts w:ascii="Arial" w:hAnsi="Arial" w:cs="Arial"/>
          <w:b w:val="0"/>
        </w:rPr>
        <w:t>1</w:t>
      </w:r>
      <w:r w:rsidR="00D521D6">
        <w:rPr>
          <w:rFonts w:ascii="Arial" w:hAnsi="Arial" w:cs="Arial"/>
          <w:b w:val="0"/>
          <w:i/>
        </w:rPr>
        <w:t>E</w:t>
      </w:r>
      <w:r w:rsidRPr="00FD2DD0">
        <w:rPr>
          <w:rFonts w:ascii="Arial" w:hAnsi="Arial" w:cs="Arial"/>
          <w:b w:val="0"/>
        </w:rPr>
        <w:t>. (</w:t>
      </w:r>
      <w:r w:rsidRPr="00FD2DD0">
        <w:rPr>
          <w:rFonts w:ascii="Arial" w:hAnsi="Arial" w:cs="Arial"/>
          <w:b w:val="0"/>
          <w:i/>
        </w:rPr>
        <w:t>C</w:t>
      </w:r>
      <w:r w:rsidRPr="00FD2DD0">
        <w:rPr>
          <w:rFonts w:ascii="Arial" w:hAnsi="Arial" w:cs="Arial"/>
          <w:b w:val="0"/>
        </w:rPr>
        <w:t>) Representative I</w:t>
      </w:r>
      <w:r w:rsidRPr="00FD2DD0">
        <w:rPr>
          <w:rFonts w:ascii="Arial" w:hAnsi="Arial" w:cs="Arial"/>
          <w:b w:val="0"/>
          <w:vertAlign w:val="subscript"/>
        </w:rPr>
        <w:t>t</w:t>
      </w:r>
      <w:r w:rsidRPr="00FD2DD0">
        <w:rPr>
          <w:rFonts w:ascii="Arial" w:hAnsi="Arial" w:cs="Arial"/>
          <w:b w:val="0"/>
        </w:rPr>
        <w:t xml:space="preserve"> recordings corresponding to data presented in Fig. </w:t>
      </w:r>
      <w:r w:rsidR="00D521D6" w:rsidRPr="00FD2DD0">
        <w:rPr>
          <w:rFonts w:ascii="Arial" w:hAnsi="Arial" w:cs="Arial"/>
          <w:b w:val="0"/>
        </w:rPr>
        <w:t>1</w:t>
      </w:r>
      <w:r w:rsidR="00D521D6">
        <w:rPr>
          <w:rFonts w:ascii="Arial" w:hAnsi="Arial" w:cs="Arial"/>
          <w:b w:val="0"/>
          <w:i/>
        </w:rPr>
        <w:t>F</w:t>
      </w:r>
      <w:r w:rsidRPr="00FD2DD0">
        <w:rPr>
          <w:rFonts w:ascii="Arial" w:hAnsi="Arial" w:cs="Arial"/>
          <w:b w:val="0"/>
        </w:rPr>
        <w:t xml:space="preserve">.  All data is presented as mean ± standard error. </w:t>
      </w:r>
      <w:r w:rsidR="000D7228">
        <w:rPr>
          <w:rFonts w:ascii="Arial" w:hAnsi="Arial" w:cs="Arial"/>
          <w:b w:val="0"/>
        </w:rPr>
        <w:t>W</w:t>
      </w:r>
      <w:r w:rsidRPr="00FD2DD0">
        <w:rPr>
          <w:rFonts w:ascii="Arial" w:hAnsi="Arial" w:cs="Arial"/>
          <w:b w:val="0"/>
        </w:rPr>
        <w:t>ithin each test compound addition</w:t>
      </w:r>
      <w:r w:rsidR="000D7228">
        <w:rPr>
          <w:rFonts w:ascii="Arial" w:hAnsi="Arial" w:cs="Arial"/>
          <w:b w:val="0"/>
        </w:rPr>
        <w:t>, b</w:t>
      </w:r>
      <w:r w:rsidR="000D7228" w:rsidRPr="000D7228">
        <w:rPr>
          <w:rFonts w:ascii="Arial" w:hAnsi="Arial" w:cs="Arial"/>
          <w:b w:val="0"/>
        </w:rPr>
        <w:t xml:space="preserve">ars with different letters (A, B, </w:t>
      </w:r>
      <w:r w:rsidR="000D7228">
        <w:rPr>
          <w:rFonts w:ascii="Arial" w:hAnsi="Arial" w:cs="Arial"/>
          <w:b w:val="0"/>
        </w:rPr>
        <w:t xml:space="preserve">C…) are significantly different </w:t>
      </w:r>
      <w:r w:rsidRPr="00FD2DD0">
        <w:rPr>
          <w:rFonts w:ascii="Arial" w:hAnsi="Arial" w:cs="Arial"/>
          <w:b w:val="0"/>
        </w:rPr>
        <w:t xml:space="preserve">(ANOVA; </w:t>
      </w:r>
      <w:r w:rsidRPr="00FD2DD0">
        <w:rPr>
          <w:rFonts w:ascii="Arial" w:hAnsi="Arial" w:cs="Arial"/>
          <w:b w:val="0"/>
          <w:i/>
        </w:rPr>
        <w:t>P</w:t>
      </w:r>
      <w:r w:rsidRPr="00FD2DD0">
        <w:rPr>
          <w:rFonts w:ascii="Arial" w:hAnsi="Arial" w:cs="Arial"/>
          <w:b w:val="0"/>
        </w:rPr>
        <w:t xml:space="preserve"> &lt; 0.05).</w:t>
      </w:r>
    </w:p>
    <w:p w14:paraId="45F85996" w14:textId="77777777" w:rsidR="00382687" w:rsidRPr="00FD2DD0" w:rsidRDefault="00382687" w:rsidP="0098320F">
      <w:pPr>
        <w:jc w:val="both"/>
        <w:rPr>
          <w:rFonts w:ascii="Arial" w:hAnsi="Arial" w:cs="Arial"/>
          <w:b/>
          <w:bCs/>
          <w:kern w:val="32"/>
          <w:sz w:val="24"/>
          <w:szCs w:val="24"/>
        </w:rPr>
      </w:pPr>
      <w:r w:rsidRPr="00FD2DD0">
        <w:rPr>
          <w:rFonts w:ascii="Arial" w:hAnsi="Arial" w:cs="Arial"/>
          <w:sz w:val="24"/>
          <w:szCs w:val="24"/>
        </w:rPr>
        <w:br w:type="page"/>
      </w:r>
    </w:p>
    <w:p w14:paraId="6391B398" w14:textId="2700A7FC" w:rsidR="00382687" w:rsidRPr="00FD2DD0" w:rsidRDefault="001D19AF" w:rsidP="001D19AF">
      <w:pPr>
        <w:pStyle w:val="SMHeading"/>
        <w:spacing w:before="0" w:after="0"/>
        <w:jc w:val="center"/>
        <w:outlineLvl w:val="9"/>
        <w:rPr>
          <w:rFonts w:ascii="Arial" w:hAnsi="Arial" w:cs="Arial"/>
        </w:rPr>
      </w:pPr>
      <w:r>
        <w:rPr>
          <w:rFonts w:ascii="Arial" w:hAnsi="Arial" w:cs="Arial"/>
          <w:noProof/>
        </w:rPr>
        <w:lastRenderedPageBreak/>
        <w:drawing>
          <wp:inline distT="0" distB="0" distL="0" distR="0" wp14:anchorId="457E73E3" wp14:editId="5F741084">
            <wp:extent cx="4915437" cy="586889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19139" cy="5873319"/>
                    </a:xfrm>
                    <a:prstGeom prst="rect">
                      <a:avLst/>
                    </a:prstGeom>
                    <a:noFill/>
                  </pic:spPr>
                </pic:pic>
              </a:graphicData>
            </a:graphic>
          </wp:inline>
        </w:drawing>
      </w:r>
    </w:p>
    <w:p w14:paraId="67A3C1D5" w14:textId="7A34F0F5" w:rsidR="00382687" w:rsidRPr="00FD2DD0" w:rsidRDefault="00382687" w:rsidP="0098320F">
      <w:pPr>
        <w:pStyle w:val="SMHeading"/>
        <w:spacing w:before="0" w:after="0"/>
        <w:jc w:val="both"/>
        <w:rPr>
          <w:rFonts w:ascii="Arial" w:hAnsi="Arial" w:cs="Arial"/>
        </w:rPr>
      </w:pPr>
      <w:r w:rsidRPr="00FD2DD0">
        <w:rPr>
          <w:rFonts w:ascii="Arial" w:hAnsi="Arial" w:cs="Arial"/>
        </w:rPr>
        <w:t xml:space="preserve">Figure S3: Supporting data corresponding to main text Fig. 2. </w:t>
      </w:r>
      <w:r w:rsidRPr="00FD2DD0">
        <w:rPr>
          <w:rFonts w:ascii="Arial" w:hAnsi="Arial" w:cs="Arial"/>
          <w:b w:val="0"/>
        </w:rPr>
        <w:t>(</w:t>
      </w:r>
      <w:r w:rsidRPr="00FD2DD0">
        <w:rPr>
          <w:rFonts w:ascii="Arial" w:hAnsi="Arial" w:cs="Arial"/>
          <w:b w:val="0"/>
          <w:i/>
        </w:rPr>
        <w:t>A</w:t>
      </w:r>
      <w:r w:rsidRPr="00FD2DD0">
        <w:rPr>
          <w:rFonts w:ascii="Arial" w:hAnsi="Arial" w:cs="Arial"/>
          <w:b w:val="0"/>
        </w:rPr>
        <w:t>) Details of statistical comparisons for data presented in Fig. 2</w:t>
      </w:r>
      <w:r w:rsidRPr="00FD2DD0">
        <w:rPr>
          <w:rFonts w:ascii="Arial" w:hAnsi="Arial" w:cs="Arial"/>
          <w:b w:val="0"/>
          <w:i/>
        </w:rPr>
        <w:t>B</w:t>
      </w:r>
      <w:r w:rsidRPr="00FD2DD0">
        <w:rPr>
          <w:rFonts w:ascii="Arial" w:hAnsi="Arial" w:cs="Arial"/>
          <w:b w:val="0"/>
        </w:rPr>
        <w:t xml:space="preserve">. </w:t>
      </w:r>
      <w:r w:rsidR="001D19AF">
        <w:rPr>
          <w:rFonts w:ascii="Arial" w:hAnsi="Arial" w:cs="Arial"/>
          <w:b w:val="0"/>
        </w:rPr>
        <w:t>(B) Constitutive CFTR activity</w:t>
      </w:r>
      <w:r w:rsidR="00D521D6">
        <w:rPr>
          <w:rFonts w:ascii="Arial" w:hAnsi="Arial" w:cs="Arial"/>
          <w:b w:val="0"/>
        </w:rPr>
        <w:t xml:space="preserve"> for the experiment presented in Fig. 2A</w:t>
      </w:r>
      <w:r w:rsidR="001D19AF">
        <w:rPr>
          <w:rFonts w:ascii="Arial" w:hAnsi="Arial" w:cs="Arial"/>
          <w:b w:val="0"/>
        </w:rPr>
        <w:t>, calculated as the difference in I</w:t>
      </w:r>
      <w:r w:rsidR="001D19AF">
        <w:rPr>
          <w:rFonts w:ascii="Arial" w:hAnsi="Arial" w:cs="Arial"/>
          <w:b w:val="0"/>
          <w:vertAlign w:val="subscript"/>
        </w:rPr>
        <w:t xml:space="preserve">t </w:t>
      </w:r>
      <w:r w:rsidR="001D19AF">
        <w:rPr>
          <w:rFonts w:ascii="Arial" w:hAnsi="Arial" w:cs="Arial"/>
          <w:b w:val="0"/>
        </w:rPr>
        <w:t xml:space="preserve">from </w:t>
      </w:r>
      <w:r w:rsidR="00623EFD">
        <w:rPr>
          <w:rFonts w:ascii="Arial" w:hAnsi="Arial" w:cs="Arial"/>
          <w:b w:val="0"/>
        </w:rPr>
        <w:t xml:space="preserve">values obtained </w:t>
      </w:r>
      <w:r w:rsidR="001D19AF">
        <w:rPr>
          <w:rFonts w:ascii="Arial" w:hAnsi="Arial" w:cs="Arial"/>
          <w:b w:val="0"/>
        </w:rPr>
        <w:t xml:space="preserve">after amiloride </w:t>
      </w:r>
      <w:r w:rsidR="00623EFD">
        <w:rPr>
          <w:rFonts w:ascii="Arial" w:hAnsi="Arial" w:cs="Arial"/>
          <w:b w:val="0"/>
        </w:rPr>
        <w:t xml:space="preserve">exposure </w:t>
      </w:r>
      <w:r w:rsidR="001D19AF">
        <w:rPr>
          <w:rFonts w:ascii="Arial" w:hAnsi="Arial" w:cs="Arial"/>
          <w:b w:val="0"/>
        </w:rPr>
        <w:t xml:space="preserve">to </w:t>
      </w:r>
      <w:r w:rsidR="00623EFD">
        <w:rPr>
          <w:rFonts w:ascii="Arial" w:hAnsi="Arial" w:cs="Arial"/>
          <w:b w:val="0"/>
        </w:rPr>
        <w:t xml:space="preserve">values obtained </w:t>
      </w:r>
      <w:r w:rsidR="001D19AF">
        <w:rPr>
          <w:rFonts w:ascii="Arial" w:hAnsi="Arial" w:cs="Arial"/>
          <w:b w:val="0"/>
        </w:rPr>
        <w:t>after CFTR</w:t>
      </w:r>
      <w:r w:rsidR="001D19AF" w:rsidRPr="001D19AF">
        <w:rPr>
          <w:rFonts w:ascii="Arial" w:hAnsi="Arial" w:cs="Arial"/>
          <w:b w:val="0"/>
          <w:vertAlign w:val="subscript"/>
        </w:rPr>
        <w:t>inh</w:t>
      </w:r>
      <w:r w:rsidR="001D19AF">
        <w:rPr>
          <w:rFonts w:ascii="Arial" w:hAnsi="Arial" w:cs="Arial"/>
          <w:b w:val="0"/>
        </w:rPr>
        <w:t>-172</w:t>
      </w:r>
      <w:r w:rsidR="00623EFD">
        <w:rPr>
          <w:rFonts w:ascii="Arial" w:hAnsi="Arial" w:cs="Arial"/>
          <w:b w:val="0"/>
        </w:rPr>
        <w:t xml:space="preserve"> exposure</w:t>
      </w:r>
      <w:r w:rsidR="001D19AF">
        <w:rPr>
          <w:rFonts w:ascii="Arial" w:hAnsi="Arial" w:cs="Arial"/>
          <w:b w:val="0"/>
        </w:rPr>
        <w:t xml:space="preserve">. </w:t>
      </w:r>
      <w:r w:rsidRPr="00FD2DD0">
        <w:rPr>
          <w:rFonts w:ascii="Arial" w:hAnsi="Arial" w:cs="Arial"/>
          <w:b w:val="0"/>
        </w:rPr>
        <w:t>(</w:t>
      </w:r>
      <w:r w:rsidR="001D19AF">
        <w:rPr>
          <w:rFonts w:ascii="Arial" w:hAnsi="Arial" w:cs="Arial"/>
          <w:b w:val="0"/>
          <w:i/>
        </w:rPr>
        <w:t>C</w:t>
      </w:r>
      <w:r w:rsidRPr="00FD2DD0">
        <w:rPr>
          <w:rFonts w:ascii="Arial" w:hAnsi="Arial" w:cs="Arial"/>
          <w:b w:val="0"/>
        </w:rPr>
        <w:t>) Un-cropped I</w:t>
      </w:r>
      <w:r w:rsidRPr="00FD2DD0">
        <w:rPr>
          <w:rFonts w:ascii="Arial" w:hAnsi="Arial" w:cs="Arial"/>
          <w:b w:val="0"/>
          <w:vertAlign w:val="subscript"/>
        </w:rPr>
        <w:t>t</w:t>
      </w:r>
      <w:r w:rsidRPr="00FD2DD0">
        <w:rPr>
          <w:rFonts w:ascii="Arial" w:hAnsi="Arial" w:cs="Arial"/>
          <w:b w:val="0"/>
        </w:rPr>
        <w:t xml:space="preserve"> recordings corresponding to data presented in Fig. 2</w:t>
      </w:r>
      <w:r w:rsidRPr="00FD2DD0">
        <w:rPr>
          <w:rFonts w:ascii="Arial" w:hAnsi="Arial" w:cs="Arial"/>
          <w:b w:val="0"/>
          <w:i/>
        </w:rPr>
        <w:t>D</w:t>
      </w:r>
      <w:r w:rsidRPr="00FD2DD0">
        <w:rPr>
          <w:rFonts w:ascii="Arial" w:hAnsi="Arial" w:cs="Arial"/>
          <w:b w:val="0"/>
        </w:rPr>
        <w:t>, showing the amiloride and ATP responses. (</w:t>
      </w:r>
      <w:r w:rsidR="001D19AF">
        <w:rPr>
          <w:rFonts w:ascii="Arial" w:hAnsi="Arial" w:cs="Arial"/>
          <w:b w:val="0"/>
          <w:i/>
        </w:rPr>
        <w:t>D</w:t>
      </w:r>
      <w:r w:rsidRPr="00FD2DD0">
        <w:rPr>
          <w:rFonts w:ascii="Arial" w:hAnsi="Arial" w:cs="Arial"/>
          <w:b w:val="0"/>
        </w:rPr>
        <w:t xml:space="preserve">) Details of statistical comparisons for data presented in Panel </w:t>
      </w:r>
      <w:r w:rsidR="001D19AF">
        <w:rPr>
          <w:rFonts w:ascii="Arial" w:hAnsi="Arial" w:cs="Arial"/>
          <w:b w:val="0"/>
          <w:i/>
        </w:rPr>
        <w:t>C</w:t>
      </w:r>
      <w:r w:rsidRPr="00FD2DD0">
        <w:rPr>
          <w:rFonts w:ascii="Arial" w:hAnsi="Arial" w:cs="Arial"/>
          <w:b w:val="0"/>
        </w:rPr>
        <w:t xml:space="preserve">. All data are presented as mean ± standard error. </w:t>
      </w:r>
      <w:r w:rsidR="000D7228">
        <w:rPr>
          <w:rFonts w:ascii="Arial" w:hAnsi="Arial" w:cs="Arial"/>
          <w:b w:val="0"/>
        </w:rPr>
        <w:t>W</w:t>
      </w:r>
      <w:r w:rsidR="000D7228" w:rsidRPr="00FD2DD0">
        <w:rPr>
          <w:rFonts w:ascii="Arial" w:hAnsi="Arial" w:cs="Arial"/>
          <w:b w:val="0"/>
        </w:rPr>
        <w:t>ithin each test compound addition</w:t>
      </w:r>
      <w:r w:rsidR="000D7228">
        <w:rPr>
          <w:rFonts w:ascii="Arial" w:hAnsi="Arial" w:cs="Arial"/>
          <w:b w:val="0"/>
        </w:rPr>
        <w:t>, b</w:t>
      </w:r>
      <w:r w:rsidR="000D7228" w:rsidRPr="000D7228">
        <w:rPr>
          <w:rFonts w:ascii="Arial" w:hAnsi="Arial" w:cs="Arial"/>
          <w:b w:val="0"/>
        </w:rPr>
        <w:t xml:space="preserve">ars with different letters (A, B, </w:t>
      </w:r>
      <w:r w:rsidR="000D7228">
        <w:rPr>
          <w:rFonts w:ascii="Arial" w:hAnsi="Arial" w:cs="Arial"/>
          <w:b w:val="0"/>
        </w:rPr>
        <w:t xml:space="preserve">C…) are significantly different </w:t>
      </w:r>
      <w:r w:rsidR="000D7228" w:rsidRPr="00FD2DD0">
        <w:rPr>
          <w:rFonts w:ascii="Arial" w:hAnsi="Arial" w:cs="Arial"/>
          <w:b w:val="0"/>
        </w:rPr>
        <w:t xml:space="preserve">(ANOVA; </w:t>
      </w:r>
      <w:r w:rsidR="000D7228" w:rsidRPr="00FD2DD0">
        <w:rPr>
          <w:rFonts w:ascii="Arial" w:hAnsi="Arial" w:cs="Arial"/>
          <w:b w:val="0"/>
          <w:i/>
        </w:rPr>
        <w:t>P</w:t>
      </w:r>
      <w:r w:rsidR="000D7228" w:rsidRPr="00FD2DD0">
        <w:rPr>
          <w:rFonts w:ascii="Arial" w:hAnsi="Arial" w:cs="Arial"/>
          <w:b w:val="0"/>
        </w:rPr>
        <w:t xml:space="preserve"> &lt; 0.05).</w:t>
      </w:r>
    </w:p>
    <w:p w14:paraId="104FECA3" w14:textId="77777777" w:rsidR="00382687" w:rsidRPr="00FD2DD0" w:rsidRDefault="00382687" w:rsidP="0098320F">
      <w:pPr>
        <w:jc w:val="both"/>
        <w:rPr>
          <w:rFonts w:ascii="Arial" w:hAnsi="Arial" w:cs="Arial"/>
          <w:b/>
          <w:bCs/>
          <w:kern w:val="32"/>
          <w:sz w:val="24"/>
          <w:szCs w:val="24"/>
        </w:rPr>
      </w:pPr>
      <w:r w:rsidRPr="00FD2DD0">
        <w:rPr>
          <w:rFonts w:ascii="Arial" w:hAnsi="Arial" w:cs="Arial"/>
          <w:sz w:val="24"/>
          <w:szCs w:val="24"/>
        </w:rPr>
        <w:br w:type="page"/>
      </w:r>
    </w:p>
    <w:p w14:paraId="6535DE0A" w14:textId="77777777" w:rsidR="00382687" w:rsidRPr="00FD2DD0" w:rsidRDefault="00382687" w:rsidP="0055199E">
      <w:pPr>
        <w:pStyle w:val="SMHeading"/>
        <w:spacing w:before="0" w:after="0"/>
        <w:jc w:val="center"/>
        <w:outlineLvl w:val="9"/>
        <w:rPr>
          <w:rFonts w:ascii="Arial" w:hAnsi="Arial" w:cs="Arial"/>
        </w:rPr>
      </w:pPr>
      <w:r w:rsidRPr="00FD2DD0">
        <w:rPr>
          <w:rFonts w:ascii="Arial" w:hAnsi="Arial" w:cs="Arial"/>
          <w:noProof/>
        </w:rPr>
        <w:lastRenderedPageBreak/>
        <w:drawing>
          <wp:inline distT="0" distB="0" distL="0" distR="0" wp14:anchorId="37854DB2" wp14:editId="0F2BA598">
            <wp:extent cx="4465839" cy="567723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83849" cy="5700126"/>
                    </a:xfrm>
                    <a:prstGeom prst="rect">
                      <a:avLst/>
                    </a:prstGeom>
                    <a:noFill/>
                  </pic:spPr>
                </pic:pic>
              </a:graphicData>
            </a:graphic>
          </wp:inline>
        </w:drawing>
      </w:r>
    </w:p>
    <w:p w14:paraId="6F0FF2E0" w14:textId="08016892" w:rsidR="00382687" w:rsidRPr="00FD2DD0" w:rsidRDefault="00382687" w:rsidP="000D7228">
      <w:pPr>
        <w:pStyle w:val="SMHeading"/>
        <w:spacing w:before="0" w:after="0"/>
        <w:jc w:val="both"/>
        <w:rPr>
          <w:rFonts w:ascii="Arial" w:hAnsi="Arial" w:cs="Arial"/>
          <w:b w:val="0"/>
          <w:bCs w:val="0"/>
        </w:rPr>
      </w:pPr>
      <w:r w:rsidRPr="00FD2DD0">
        <w:rPr>
          <w:rFonts w:ascii="Arial" w:hAnsi="Arial" w:cs="Arial"/>
        </w:rPr>
        <w:t xml:space="preserve">Figure S4: Acute and chronic actions of elexacaftor (VX-445) in WT- and F508del-FRT cell cultures. </w:t>
      </w:r>
      <w:r w:rsidRPr="00FD2DD0">
        <w:rPr>
          <w:rFonts w:ascii="Arial" w:hAnsi="Arial" w:cs="Arial"/>
          <w:b w:val="0"/>
        </w:rPr>
        <w:t>(A–B) Representative I</w:t>
      </w:r>
      <w:r w:rsidRPr="00FD2DD0">
        <w:rPr>
          <w:rFonts w:ascii="Arial" w:hAnsi="Arial" w:cs="Arial"/>
          <w:b w:val="0"/>
          <w:vertAlign w:val="subscript"/>
        </w:rPr>
        <w:t>t</w:t>
      </w:r>
      <w:r w:rsidRPr="00FD2DD0">
        <w:rPr>
          <w:rFonts w:ascii="Arial" w:hAnsi="Arial" w:cs="Arial"/>
          <w:b w:val="0"/>
        </w:rPr>
        <w:t xml:space="preserve"> recordings of FRT cells expressing normal CFTR after the acute additions of DMSO, VX-445, Fsk/IBMX, and/or CFTR</w:t>
      </w:r>
      <w:r w:rsidRPr="00FD2DD0">
        <w:rPr>
          <w:rFonts w:ascii="Arial" w:hAnsi="Arial" w:cs="Arial"/>
          <w:b w:val="0"/>
          <w:vertAlign w:val="subscript"/>
        </w:rPr>
        <w:t>inh</w:t>
      </w:r>
      <w:r w:rsidRPr="00FD2DD0">
        <w:rPr>
          <w:rFonts w:ascii="Arial" w:hAnsi="Arial" w:cs="Arial"/>
          <w:b w:val="0"/>
        </w:rPr>
        <w:t>-172. (C–D) Changes in I</w:t>
      </w:r>
      <w:r w:rsidRPr="00FD2DD0">
        <w:rPr>
          <w:rFonts w:ascii="Arial" w:hAnsi="Arial" w:cs="Arial"/>
          <w:b w:val="0"/>
          <w:vertAlign w:val="subscript"/>
        </w:rPr>
        <w:t>t</w:t>
      </w:r>
      <w:r w:rsidRPr="00FD2DD0">
        <w:rPr>
          <w:rFonts w:ascii="Arial" w:hAnsi="Arial" w:cs="Arial"/>
          <w:b w:val="0"/>
        </w:rPr>
        <w:t xml:space="preserve"> after the additions of test compounds for the experiment presented in Panel</w:t>
      </w:r>
      <w:r w:rsidRPr="00FD2DD0">
        <w:rPr>
          <w:rFonts w:ascii="Arial" w:hAnsi="Arial" w:cs="Arial"/>
          <w:b w:val="0"/>
          <w:i/>
        </w:rPr>
        <w:t xml:space="preserve"> A</w:t>
      </w:r>
      <w:r w:rsidRPr="00FD2DD0">
        <w:rPr>
          <w:rFonts w:ascii="Arial" w:hAnsi="Arial" w:cs="Arial"/>
          <w:b w:val="0"/>
        </w:rPr>
        <w:t>. (</w:t>
      </w:r>
      <w:r w:rsidRPr="00FD2DD0">
        <w:rPr>
          <w:rFonts w:ascii="Arial" w:hAnsi="Arial" w:cs="Arial"/>
          <w:b w:val="0"/>
          <w:i/>
          <w:iCs/>
        </w:rPr>
        <w:t>D</w:t>
      </w:r>
      <w:r w:rsidRPr="00FD2DD0">
        <w:rPr>
          <w:rFonts w:ascii="Arial" w:hAnsi="Arial" w:cs="Arial"/>
          <w:b w:val="0"/>
        </w:rPr>
        <w:t>) Representative I</w:t>
      </w:r>
      <w:r w:rsidRPr="00FD2DD0">
        <w:rPr>
          <w:rFonts w:ascii="Arial" w:hAnsi="Arial" w:cs="Arial"/>
          <w:b w:val="0"/>
          <w:vertAlign w:val="subscript"/>
        </w:rPr>
        <w:t>t</w:t>
      </w:r>
      <w:r w:rsidRPr="00FD2DD0">
        <w:rPr>
          <w:rFonts w:ascii="Arial" w:hAnsi="Arial" w:cs="Arial"/>
          <w:b w:val="0"/>
        </w:rPr>
        <w:t xml:space="preserve"> recordings of FRT cells expressing F508del-CFTR treated </w:t>
      </w:r>
      <w:bookmarkStart w:id="0" w:name="OLE_LINK4"/>
      <w:r w:rsidRPr="00FD2DD0">
        <w:rPr>
          <w:rFonts w:ascii="Arial" w:hAnsi="Arial" w:cs="Arial"/>
          <w:b w:val="0"/>
        </w:rPr>
        <w:t>for 24 h with DMSO, the double combination of tezacaftor (VX-661) and ivacaftor (VX-770) (i.e., S</w:t>
      </w:r>
      <w:r w:rsidR="0055199E">
        <w:rPr>
          <w:rFonts w:ascii="Arial" w:hAnsi="Arial" w:cs="Arial"/>
          <w:b w:val="0"/>
        </w:rPr>
        <w:t>ymdeko</w:t>
      </w:r>
      <w:r w:rsidRPr="00FD2DD0">
        <w:rPr>
          <w:rFonts w:ascii="Arial" w:hAnsi="Arial" w:cs="Arial"/>
          <w:b w:val="0"/>
        </w:rPr>
        <w:t>) or the triple combination of VX-661, VX-770, and VX-445 (i.e., Trikafta)</w:t>
      </w:r>
      <w:bookmarkEnd w:id="0"/>
      <w:r w:rsidRPr="00FD2DD0">
        <w:rPr>
          <w:rFonts w:ascii="Arial" w:hAnsi="Arial" w:cs="Arial"/>
          <w:b w:val="0"/>
        </w:rPr>
        <w:t>. (</w:t>
      </w:r>
      <w:r w:rsidRPr="00FD2DD0">
        <w:rPr>
          <w:rFonts w:ascii="Arial" w:hAnsi="Arial" w:cs="Arial"/>
          <w:b w:val="0"/>
          <w:i/>
        </w:rPr>
        <w:t>F</w:t>
      </w:r>
      <w:r w:rsidRPr="00FD2DD0">
        <w:rPr>
          <w:rFonts w:ascii="Arial" w:hAnsi="Arial" w:cs="Arial"/>
          <w:b w:val="0"/>
        </w:rPr>
        <w:t>) Changes in I</w:t>
      </w:r>
      <w:r w:rsidRPr="00FD2DD0">
        <w:rPr>
          <w:rFonts w:ascii="Arial" w:hAnsi="Arial" w:cs="Arial"/>
          <w:b w:val="0"/>
          <w:vertAlign w:val="subscript"/>
        </w:rPr>
        <w:t>t</w:t>
      </w:r>
      <w:r w:rsidRPr="00FD2DD0">
        <w:rPr>
          <w:rFonts w:ascii="Arial" w:hAnsi="Arial" w:cs="Arial"/>
          <w:b w:val="0"/>
        </w:rPr>
        <w:t xml:space="preserve"> after the additions of test compounds for the experiment presented in Panel</w:t>
      </w:r>
      <w:r w:rsidRPr="00FD2DD0">
        <w:rPr>
          <w:rFonts w:ascii="Arial" w:hAnsi="Arial" w:cs="Arial"/>
          <w:b w:val="0"/>
          <w:i/>
        </w:rPr>
        <w:t xml:space="preserve"> E</w:t>
      </w:r>
      <w:r w:rsidRPr="00FD2DD0">
        <w:rPr>
          <w:rFonts w:ascii="Arial" w:hAnsi="Arial" w:cs="Arial"/>
          <w:b w:val="0"/>
        </w:rPr>
        <w:t xml:space="preserve">. All data are presented as mean ± standard error. </w:t>
      </w:r>
      <w:r w:rsidR="000D7228">
        <w:rPr>
          <w:rFonts w:ascii="Arial" w:hAnsi="Arial" w:cs="Arial"/>
          <w:b w:val="0"/>
        </w:rPr>
        <w:t>W</w:t>
      </w:r>
      <w:r w:rsidR="000D7228" w:rsidRPr="00FD2DD0">
        <w:rPr>
          <w:rFonts w:ascii="Arial" w:hAnsi="Arial" w:cs="Arial"/>
          <w:b w:val="0"/>
        </w:rPr>
        <w:t>ithin each test compound addition</w:t>
      </w:r>
      <w:r w:rsidR="000D7228">
        <w:rPr>
          <w:rFonts w:ascii="Arial" w:hAnsi="Arial" w:cs="Arial"/>
          <w:b w:val="0"/>
        </w:rPr>
        <w:t>, b</w:t>
      </w:r>
      <w:r w:rsidR="000D7228" w:rsidRPr="000D7228">
        <w:rPr>
          <w:rFonts w:ascii="Arial" w:hAnsi="Arial" w:cs="Arial"/>
          <w:b w:val="0"/>
        </w:rPr>
        <w:t xml:space="preserve">ars with different letters (A, B, </w:t>
      </w:r>
      <w:r w:rsidR="000D7228">
        <w:rPr>
          <w:rFonts w:ascii="Arial" w:hAnsi="Arial" w:cs="Arial"/>
          <w:b w:val="0"/>
        </w:rPr>
        <w:t xml:space="preserve">C…) are significantly different </w:t>
      </w:r>
      <w:r w:rsidR="000D7228" w:rsidRPr="00FD2DD0">
        <w:rPr>
          <w:rFonts w:ascii="Arial" w:hAnsi="Arial" w:cs="Arial"/>
          <w:b w:val="0"/>
        </w:rPr>
        <w:t xml:space="preserve">(ANOVA; </w:t>
      </w:r>
      <w:r w:rsidR="000D7228" w:rsidRPr="00FD2DD0">
        <w:rPr>
          <w:rFonts w:ascii="Arial" w:hAnsi="Arial" w:cs="Arial"/>
          <w:b w:val="0"/>
          <w:i/>
        </w:rPr>
        <w:t>P</w:t>
      </w:r>
      <w:r w:rsidR="000D7228" w:rsidRPr="00FD2DD0">
        <w:rPr>
          <w:rFonts w:ascii="Arial" w:hAnsi="Arial" w:cs="Arial"/>
          <w:b w:val="0"/>
        </w:rPr>
        <w:t xml:space="preserve"> &lt; 0.05).</w:t>
      </w:r>
      <w:r w:rsidRPr="00FD2DD0">
        <w:rPr>
          <w:rFonts w:ascii="Arial" w:hAnsi="Arial" w:cs="Arial"/>
        </w:rPr>
        <w:br w:type="page"/>
      </w:r>
    </w:p>
    <w:p w14:paraId="51E576B5" w14:textId="77777777" w:rsidR="00382687" w:rsidRPr="00FD2DD0" w:rsidRDefault="00382687" w:rsidP="0055199E">
      <w:pPr>
        <w:pStyle w:val="SMHeading"/>
        <w:spacing w:before="0" w:after="0"/>
        <w:jc w:val="center"/>
        <w:outlineLvl w:val="9"/>
        <w:rPr>
          <w:rFonts w:ascii="Arial" w:hAnsi="Arial" w:cs="Arial"/>
        </w:rPr>
      </w:pPr>
      <w:r w:rsidRPr="00FD2DD0">
        <w:rPr>
          <w:rFonts w:ascii="Arial" w:hAnsi="Arial" w:cs="Arial"/>
          <w:noProof/>
        </w:rPr>
        <w:lastRenderedPageBreak/>
        <w:drawing>
          <wp:inline distT="0" distB="0" distL="0" distR="0" wp14:anchorId="4864263F" wp14:editId="29D56AC4">
            <wp:extent cx="4585954" cy="318052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10757" cy="3197724"/>
                    </a:xfrm>
                    <a:prstGeom prst="rect">
                      <a:avLst/>
                    </a:prstGeom>
                    <a:noFill/>
                  </pic:spPr>
                </pic:pic>
              </a:graphicData>
            </a:graphic>
          </wp:inline>
        </w:drawing>
      </w:r>
    </w:p>
    <w:p w14:paraId="26CFB4ED" w14:textId="5BD406B1" w:rsidR="00382687" w:rsidRPr="00FD2DD0" w:rsidRDefault="00382687" w:rsidP="0098320F">
      <w:pPr>
        <w:pStyle w:val="SMHeading"/>
        <w:spacing w:before="0" w:after="0"/>
        <w:jc w:val="both"/>
        <w:rPr>
          <w:rFonts w:ascii="Arial" w:hAnsi="Arial" w:cs="Arial"/>
          <w:b w:val="0"/>
          <w:bCs w:val="0"/>
        </w:rPr>
      </w:pPr>
      <w:r w:rsidRPr="00FD2DD0">
        <w:rPr>
          <w:rFonts w:ascii="Arial" w:hAnsi="Arial" w:cs="Arial"/>
        </w:rPr>
        <w:t xml:space="preserve">Figure S5: Supporting data corresponding to main text Fig. 3. </w:t>
      </w:r>
      <w:r w:rsidRPr="00FD2DD0">
        <w:rPr>
          <w:rFonts w:ascii="Arial" w:hAnsi="Arial" w:cs="Arial"/>
          <w:b w:val="0"/>
        </w:rPr>
        <w:t>Details of statistical comparisons for data presented in Fig. 3</w:t>
      </w:r>
      <w:r w:rsidRPr="00FD2DD0">
        <w:rPr>
          <w:rFonts w:ascii="Arial" w:hAnsi="Arial" w:cs="Arial"/>
          <w:b w:val="0"/>
          <w:i/>
        </w:rPr>
        <w:t>D</w:t>
      </w:r>
      <w:r w:rsidRPr="00FD2DD0">
        <w:rPr>
          <w:rFonts w:ascii="Arial" w:hAnsi="Arial" w:cs="Arial"/>
          <w:b w:val="0"/>
        </w:rPr>
        <w:t xml:space="preserve">. All data are presented as mean ± standard error. </w:t>
      </w:r>
      <w:r w:rsidR="000D7228">
        <w:rPr>
          <w:rFonts w:ascii="Arial" w:hAnsi="Arial" w:cs="Arial"/>
          <w:b w:val="0"/>
        </w:rPr>
        <w:t>W</w:t>
      </w:r>
      <w:r w:rsidR="000D7228" w:rsidRPr="00FD2DD0">
        <w:rPr>
          <w:rFonts w:ascii="Arial" w:hAnsi="Arial" w:cs="Arial"/>
          <w:b w:val="0"/>
        </w:rPr>
        <w:t>ithin each test compound addition</w:t>
      </w:r>
      <w:r w:rsidR="000D7228">
        <w:rPr>
          <w:rFonts w:ascii="Arial" w:hAnsi="Arial" w:cs="Arial"/>
          <w:b w:val="0"/>
        </w:rPr>
        <w:t>, b</w:t>
      </w:r>
      <w:r w:rsidR="000D7228" w:rsidRPr="000D7228">
        <w:rPr>
          <w:rFonts w:ascii="Arial" w:hAnsi="Arial" w:cs="Arial"/>
          <w:b w:val="0"/>
        </w:rPr>
        <w:t xml:space="preserve">ars with different letters (A, B, </w:t>
      </w:r>
      <w:r w:rsidR="000D7228">
        <w:rPr>
          <w:rFonts w:ascii="Arial" w:hAnsi="Arial" w:cs="Arial"/>
          <w:b w:val="0"/>
        </w:rPr>
        <w:t xml:space="preserve">C…) are significantly different </w:t>
      </w:r>
      <w:r w:rsidR="000D7228" w:rsidRPr="00FD2DD0">
        <w:rPr>
          <w:rFonts w:ascii="Arial" w:hAnsi="Arial" w:cs="Arial"/>
          <w:b w:val="0"/>
        </w:rPr>
        <w:t xml:space="preserve">(ANOVA; </w:t>
      </w:r>
      <w:r w:rsidR="000D7228" w:rsidRPr="00FD2DD0">
        <w:rPr>
          <w:rFonts w:ascii="Arial" w:hAnsi="Arial" w:cs="Arial"/>
          <w:b w:val="0"/>
          <w:i/>
        </w:rPr>
        <w:t>P</w:t>
      </w:r>
      <w:r w:rsidR="000D7228" w:rsidRPr="00FD2DD0">
        <w:rPr>
          <w:rFonts w:ascii="Arial" w:hAnsi="Arial" w:cs="Arial"/>
          <w:b w:val="0"/>
        </w:rPr>
        <w:t xml:space="preserve"> &lt; 0.05).</w:t>
      </w:r>
      <w:r w:rsidRPr="00FD2DD0">
        <w:rPr>
          <w:rFonts w:ascii="Arial" w:hAnsi="Arial" w:cs="Arial"/>
        </w:rPr>
        <w:br w:type="page"/>
      </w:r>
    </w:p>
    <w:p w14:paraId="095CBC3F" w14:textId="5F736C62" w:rsidR="00382687" w:rsidRPr="00FD2DD0" w:rsidRDefault="00D70D17" w:rsidP="00D70D17">
      <w:pPr>
        <w:pStyle w:val="SMHeading"/>
        <w:spacing w:before="0" w:after="0"/>
        <w:jc w:val="center"/>
        <w:outlineLvl w:val="9"/>
        <w:rPr>
          <w:rFonts w:ascii="Arial" w:hAnsi="Arial" w:cs="Arial"/>
        </w:rPr>
      </w:pPr>
      <w:r>
        <w:rPr>
          <w:rFonts w:ascii="Arial" w:hAnsi="Arial" w:cs="Arial"/>
          <w:noProof/>
        </w:rPr>
        <w:lastRenderedPageBreak/>
        <w:drawing>
          <wp:inline distT="0" distB="0" distL="0" distR="0" wp14:anchorId="24FEAF06" wp14:editId="58FE5DAF">
            <wp:extent cx="2967903" cy="476417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72462" cy="4771495"/>
                    </a:xfrm>
                    <a:prstGeom prst="rect">
                      <a:avLst/>
                    </a:prstGeom>
                    <a:noFill/>
                  </pic:spPr>
                </pic:pic>
              </a:graphicData>
            </a:graphic>
          </wp:inline>
        </w:drawing>
      </w:r>
    </w:p>
    <w:p w14:paraId="4FFF929F" w14:textId="4DF46D79" w:rsidR="00382687" w:rsidRPr="00FD2DD0" w:rsidRDefault="00382687" w:rsidP="000D7228">
      <w:pPr>
        <w:pStyle w:val="SMHeading"/>
        <w:spacing w:before="0" w:after="0"/>
        <w:jc w:val="both"/>
        <w:rPr>
          <w:rFonts w:ascii="Arial" w:hAnsi="Arial" w:cs="Arial"/>
          <w:b w:val="0"/>
          <w:bCs w:val="0"/>
        </w:rPr>
      </w:pPr>
      <w:r w:rsidRPr="00FD2DD0">
        <w:rPr>
          <w:rFonts w:ascii="Arial" w:hAnsi="Arial" w:cs="Arial"/>
        </w:rPr>
        <w:t xml:space="preserve">Figure S6: Ivacaftor (VX-770) and elexacaftor (VX-445) potentiate R117H-CFTR expressed in FRT cells. </w:t>
      </w:r>
      <w:r w:rsidRPr="00FD2DD0">
        <w:rPr>
          <w:rFonts w:ascii="Arial" w:hAnsi="Arial" w:cs="Arial"/>
          <w:b w:val="0"/>
        </w:rPr>
        <w:t>(</w:t>
      </w:r>
      <w:r w:rsidRPr="00FD2DD0">
        <w:rPr>
          <w:rFonts w:ascii="Arial" w:hAnsi="Arial" w:cs="Arial"/>
          <w:b w:val="0"/>
          <w:i/>
        </w:rPr>
        <w:t>A</w:t>
      </w:r>
      <w:r w:rsidRPr="00FD2DD0">
        <w:rPr>
          <w:rFonts w:ascii="Arial" w:hAnsi="Arial" w:cs="Arial"/>
          <w:b w:val="0"/>
        </w:rPr>
        <w:t>) Representative I</w:t>
      </w:r>
      <w:r w:rsidRPr="00FD2DD0">
        <w:rPr>
          <w:rFonts w:ascii="Arial" w:hAnsi="Arial" w:cs="Arial"/>
          <w:b w:val="0"/>
          <w:vertAlign w:val="subscript"/>
        </w:rPr>
        <w:t>t</w:t>
      </w:r>
      <w:r w:rsidRPr="00FD2DD0">
        <w:rPr>
          <w:rFonts w:ascii="Arial" w:hAnsi="Arial" w:cs="Arial"/>
          <w:b w:val="0"/>
        </w:rPr>
        <w:t xml:space="preserve"> recordings of R117H-FRT cells showing acute actions of VX-770 and VX-445. (</w:t>
      </w:r>
      <w:r w:rsidRPr="00FD2DD0">
        <w:rPr>
          <w:rFonts w:ascii="Arial" w:hAnsi="Arial" w:cs="Arial"/>
          <w:b w:val="0"/>
          <w:i/>
        </w:rPr>
        <w:t>B</w:t>
      </w:r>
      <w:r w:rsidRPr="00FD2DD0">
        <w:rPr>
          <w:rFonts w:ascii="Arial" w:hAnsi="Arial" w:cs="Arial"/>
          <w:b w:val="0"/>
        </w:rPr>
        <w:t>) Changes in I</w:t>
      </w:r>
      <w:r w:rsidRPr="00FD2DD0">
        <w:rPr>
          <w:rFonts w:ascii="Arial" w:hAnsi="Arial" w:cs="Arial"/>
          <w:b w:val="0"/>
          <w:vertAlign w:val="subscript"/>
        </w:rPr>
        <w:t>t</w:t>
      </w:r>
      <w:r w:rsidRPr="00FD2DD0">
        <w:rPr>
          <w:rFonts w:ascii="Arial" w:hAnsi="Arial" w:cs="Arial"/>
          <w:b w:val="0"/>
        </w:rPr>
        <w:t xml:space="preserve"> after the additions of test compounds for the experiment presented in Panel </w:t>
      </w:r>
      <w:r w:rsidRPr="00FD2DD0">
        <w:rPr>
          <w:rFonts w:ascii="Arial" w:hAnsi="Arial" w:cs="Arial"/>
          <w:b w:val="0"/>
          <w:i/>
        </w:rPr>
        <w:t>A</w:t>
      </w:r>
      <w:r w:rsidRPr="00FD2DD0">
        <w:rPr>
          <w:rFonts w:ascii="Arial" w:hAnsi="Arial" w:cs="Arial"/>
          <w:b w:val="0"/>
        </w:rPr>
        <w:t>. R117H-CFTR mediated I</w:t>
      </w:r>
      <w:r w:rsidRPr="00FD2DD0">
        <w:rPr>
          <w:rFonts w:ascii="Arial" w:hAnsi="Arial" w:cs="Arial"/>
          <w:b w:val="0"/>
          <w:vertAlign w:val="subscript"/>
        </w:rPr>
        <w:t>t</w:t>
      </w:r>
      <w:r w:rsidRPr="00FD2DD0">
        <w:rPr>
          <w:rFonts w:ascii="Arial" w:hAnsi="Arial" w:cs="Arial"/>
          <w:b w:val="0"/>
        </w:rPr>
        <w:t xml:space="preserve"> is greatest after acute potentiation by both VX-770 and VX-445. </w:t>
      </w:r>
      <w:r w:rsidR="00D70D17" w:rsidRPr="00D70D17">
        <w:rPr>
          <w:rFonts w:ascii="Arial" w:hAnsi="Arial" w:cs="Arial"/>
          <w:b w:val="0"/>
        </w:rPr>
        <w:t>(</w:t>
      </w:r>
      <w:r w:rsidR="00D70D17">
        <w:rPr>
          <w:rFonts w:ascii="Arial" w:hAnsi="Arial" w:cs="Arial"/>
          <w:b w:val="0"/>
        </w:rPr>
        <w:t>C</w:t>
      </w:r>
      <w:r w:rsidR="00D70D17" w:rsidRPr="00D70D17">
        <w:rPr>
          <w:rFonts w:ascii="Arial" w:hAnsi="Arial" w:cs="Arial"/>
          <w:b w:val="0"/>
        </w:rPr>
        <w:t>–</w:t>
      </w:r>
      <w:r w:rsidR="00D70D17">
        <w:rPr>
          <w:rFonts w:ascii="Arial" w:hAnsi="Arial" w:cs="Arial"/>
          <w:b w:val="0"/>
        </w:rPr>
        <w:t>D</w:t>
      </w:r>
      <w:r w:rsidR="00D70D17" w:rsidRPr="00D70D17">
        <w:rPr>
          <w:rFonts w:ascii="Arial" w:hAnsi="Arial" w:cs="Arial"/>
          <w:b w:val="0"/>
        </w:rPr>
        <w:t>) Changes in I</w:t>
      </w:r>
      <w:r w:rsidR="00D70D17" w:rsidRPr="00D70D17">
        <w:rPr>
          <w:rFonts w:ascii="Arial" w:hAnsi="Arial" w:cs="Arial"/>
          <w:b w:val="0"/>
          <w:vertAlign w:val="subscript"/>
        </w:rPr>
        <w:t>t</w:t>
      </w:r>
      <w:r w:rsidR="00D70D17" w:rsidRPr="00D70D17">
        <w:rPr>
          <w:rFonts w:ascii="Arial" w:hAnsi="Arial" w:cs="Arial"/>
          <w:b w:val="0"/>
        </w:rPr>
        <w:t xml:space="preserve"> after acute addition of VX-770 in the absence and presence of VX-445 (</w:t>
      </w:r>
      <w:r w:rsidR="00D70D17">
        <w:rPr>
          <w:rFonts w:ascii="Arial" w:hAnsi="Arial" w:cs="Arial"/>
          <w:b w:val="0"/>
        </w:rPr>
        <w:t>C</w:t>
      </w:r>
      <w:r w:rsidR="00D70D17" w:rsidRPr="00D70D17">
        <w:rPr>
          <w:rFonts w:ascii="Arial" w:hAnsi="Arial" w:cs="Arial"/>
          <w:b w:val="0"/>
        </w:rPr>
        <w:t>) and in response to the acute addition of VX-445 in the absence and presence of VX-770 (</w:t>
      </w:r>
      <w:r w:rsidR="00D70D17">
        <w:rPr>
          <w:rFonts w:ascii="Arial" w:hAnsi="Arial" w:cs="Arial"/>
          <w:b w:val="0"/>
        </w:rPr>
        <w:t>D</w:t>
      </w:r>
      <w:r w:rsidR="00D70D17" w:rsidRPr="00D70D17">
        <w:rPr>
          <w:rFonts w:ascii="Arial" w:hAnsi="Arial" w:cs="Arial"/>
          <w:b w:val="0"/>
        </w:rPr>
        <w:t xml:space="preserve">). </w:t>
      </w:r>
      <w:r w:rsidRPr="00FD2DD0">
        <w:rPr>
          <w:rFonts w:ascii="Arial" w:hAnsi="Arial" w:cs="Arial"/>
          <w:b w:val="0"/>
        </w:rPr>
        <w:t xml:space="preserve">All data are presented as mean ± standard error. </w:t>
      </w:r>
      <w:r w:rsidR="000D7228">
        <w:rPr>
          <w:rFonts w:ascii="Arial" w:hAnsi="Arial" w:cs="Arial"/>
          <w:b w:val="0"/>
        </w:rPr>
        <w:t>W</w:t>
      </w:r>
      <w:r w:rsidR="000D7228" w:rsidRPr="00FD2DD0">
        <w:rPr>
          <w:rFonts w:ascii="Arial" w:hAnsi="Arial" w:cs="Arial"/>
          <w:b w:val="0"/>
        </w:rPr>
        <w:t>ithin each test compound addition</w:t>
      </w:r>
      <w:r w:rsidR="000D7228">
        <w:rPr>
          <w:rFonts w:ascii="Arial" w:hAnsi="Arial" w:cs="Arial"/>
          <w:b w:val="0"/>
        </w:rPr>
        <w:t>, b</w:t>
      </w:r>
      <w:r w:rsidR="000D7228" w:rsidRPr="000D7228">
        <w:rPr>
          <w:rFonts w:ascii="Arial" w:hAnsi="Arial" w:cs="Arial"/>
          <w:b w:val="0"/>
        </w:rPr>
        <w:t xml:space="preserve">ars with different letters (A, B, </w:t>
      </w:r>
      <w:r w:rsidR="000D7228">
        <w:rPr>
          <w:rFonts w:ascii="Arial" w:hAnsi="Arial" w:cs="Arial"/>
          <w:b w:val="0"/>
        </w:rPr>
        <w:t xml:space="preserve">C…) are significantly different </w:t>
      </w:r>
      <w:r w:rsidR="000D7228" w:rsidRPr="00FD2DD0">
        <w:rPr>
          <w:rFonts w:ascii="Arial" w:hAnsi="Arial" w:cs="Arial"/>
          <w:b w:val="0"/>
        </w:rPr>
        <w:t xml:space="preserve">(ANOVA; </w:t>
      </w:r>
      <w:r w:rsidR="000D7228" w:rsidRPr="00FD2DD0">
        <w:rPr>
          <w:rFonts w:ascii="Arial" w:hAnsi="Arial" w:cs="Arial"/>
          <w:b w:val="0"/>
          <w:i/>
        </w:rPr>
        <w:t>P</w:t>
      </w:r>
      <w:r w:rsidR="000D7228" w:rsidRPr="00FD2DD0">
        <w:rPr>
          <w:rFonts w:ascii="Arial" w:hAnsi="Arial" w:cs="Arial"/>
          <w:b w:val="0"/>
        </w:rPr>
        <w:t xml:space="preserve"> &lt; 0.05).</w:t>
      </w:r>
      <w:r w:rsidRPr="00FD2DD0">
        <w:rPr>
          <w:rFonts w:ascii="Arial" w:hAnsi="Arial" w:cs="Arial"/>
        </w:rPr>
        <w:br w:type="page"/>
      </w:r>
    </w:p>
    <w:p w14:paraId="1AA8B5E1" w14:textId="77777777" w:rsidR="00382687" w:rsidRPr="00FD2DD0" w:rsidRDefault="00382687" w:rsidP="0055199E">
      <w:pPr>
        <w:pStyle w:val="SMHeading"/>
        <w:spacing w:before="0" w:after="0"/>
        <w:jc w:val="center"/>
        <w:outlineLvl w:val="9"/>
        <w:rPr>
          <w:rFonts w:ascii="Arial" w:hAnsi="Arial" w:cs="Arial"/>
        </w:rPr>
      </w:pPr>
      <w:r w:rsidRPr="00FD2DD0">
        <w:rPr>
          <w:rFonts w:ascii="Arial" w:hAnsi="Arial" w:cs="Arial"/>
          <w:noProof/>
        </w:rPr>
        <w:lastRenderedPageBreak/>
        <w:drawing>
          <wp:inline distT="0" distB="0" distL="0" distR="0" wp14:anchorId="274EB634" wp14:editId="60107B2D">
            <wp:extent cx="4790426" cy="632128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96244" cy="6328964"/>
                    </a:xfrm>
                    <a:prstGeom prst="rect">
                      <a:avLst/>
                    </a:prstGeom>
                    <a:noFill/>
                  </pic:spPr>
                </pic:pic>
              </a:graphicData>
            </a:graphic>
          </wp:inline>
        </w:drawing>
      </w:r>
    </w:p>
    <w:p w14:paraId="696BE34D" w14:textId="4F19233C" w:rsidR="00382687" w:rsidRPr="00FD2DD0" w:rsidRDefault="00382687" w:rsidP="000D7228">
      <w:pPr>
        <w:pStyle w:val="SMHeading"/>
        <w:spacing w:before="0" w:after="0"/>
        <w:jc w:val="both"/>
        <w:rPr>
          <w:rFonts w:ascii="Arial" w:hAnsi="Arial" w:cs="Arial"/>
          <w:bCs w:val="0"/>
        </w:rPr>
      </w:pPr>
      <w:r w:rsidRPr="00FD2DD0">
        <w:rPr>
          <w:rFonts w:ascii="Arial" w:hAnsi="Arial" w:cs="Arial"/>
        </w:rPr>
        <w:t>Figure S7: Supporting data corresponding to main text Fig. 4.</w:t>
      </w:r>
      <w:r w:rsidRPr="00FD2DD0">
        <w:rPr>
          <w:rFonts w:ascii="Arial" w:hAnsi="Arial" w:cs="Arial"/>
          <w:b w:val="0"/>
        </w:rPr>
        <w:t xml:space="preserve"> (</w:t>
      </w:r>
      <w:r w:rsidRPr="00FD2DD0">
        <w:rPr>
          <w:rFonts w:ascii="Arial" w:hAnsi="Arial" w:cs="Arial"/>
          <w:b w:val="0"/>
          <w:i/>
        </w:rPr>
        <w:t>A</w:t>
      </w:r>
      <w:r w:rsidRPr="00FD2DD0">
        <w:rPr>
          <w:rFonts w:ascii="Arial" w:hAnsi="Arial" w:cs="Arial"/>
          <w:b w:val="0"/>
        </w:rPr>
        <w:t>) Details of statistical comparisons for data presented in Fig. 4</w:t>
      </w:r>
      <w:r w:rsidRPr="00FD2DD0">
        <w:rPr>
          <w:rFonts w:ascii="Arial" w:hAnsi="Arial" w:cs="Arial"/>
          <w:b w:val="0"/>
          <w:i/>
        </w:rPr>
        <w:t>D</w:t>
      </w:r>
      <w:r w:rsidRPr="00FD2DD0">
        <w:rPr>
          <w:rFonts w:ascii="Arial" w:hAnsi="Arial" w:cs="Arial"/>
          <w:b w:val="0"/>
        </w:rPr>
        <w:t>. (</w:t>
      </w:r>
      <w:r w:rsidRPr="00FD2DD0">
        <w:rPr>
          <w:rFonts w:ascii="Arial" w:hAnsi="Arial" w:cs="Arial"/>
          <w:b w:val="0"/>
          <w:i/>
        </w:rPr>
        <w:t>B</w:t>
      </w:r>
      <w:r w:rsidRPr="00FD2DD0">
        <w:rPr>
          <w:rFonts w:ascii="Arial" w:hAnsi="Arial" w:cs="Arial"/>
          <w:b w:val="0"/>
        </w:rPr>
        <w:t>) Changes in I</w:t>
      </w:r>
      <w:r w:rsidRPr="00FD2DD0">
        <w:rPr>
          <w:rFonts w:ascii="Arial" w:hAnsi="Arial" w:cs="Arial"/>
          <w:b w:val="0"/>
          <w:vertAlign w:val="subscript"/>
        </w:rPr>
        <w:t>t</w:t>
      </w:r>
      <w:r w:rsidRPr="00FD2DD0">
        <w:rPr>
          <w:rFonts w:ascii="Arial" w:hAnsi="Arial" w:cs="Arial"/>
          <w:b w:val="0"/>
        </w:rPr>
        <w:t xml:space="preserve"> after the additions of test compounds for the experiment presented in Fig 4</w:t>
      </w:r>
      <w:r w:rsidRPr="00FD2DD0">
        <w:rPr>
          <w:rFonts w:ascii="Arial" w:hAnsi="Arial" w:cs="Arial"/>
          <w:b w:val="0"/>
          <w:i/>
        </w:rPr>
        <w:t>F</w:t>
      </w:r>
      <w:r w:rsidRPr="00FD2DD0">
        <w:rPr>
          <w:rFonts w:ascii="Arial" w:hAnsi="Arial" w:cs="Arial"/>
          <w:b w:val="0"/>
        </w:rPr>
        <w:t xml:space="preserve">. All data are presented as mean ± standard error. </w:t>
      </w:r>
      <w:r w:rsidR="000D7228">
        <w:rPr>
          <w:rFonts w:ascii="Arial" w:hAnsi="Arial" w:cs="Arial"/>
          <w:b w:val="0"/>
        </w:rPr>
        <w:t>W</w:t>
      </w:r>
      <w:r w:rsidR="000D7228" w:rsidRPr="00FD2DD0">
        <w:rPr>
          <w:rFonts w:ascii="Arial" w:hAnsi="Arial" w:cs="Arial"/>
          <w:b w:val="0"/>
        </w:rPr>
        <w:t>ithin each test compound addition</w:t>
      </w:r>
      <w:r w:rsidR="000D7228">
        <w:rPr>
          <w:rFonts w:ascii="Arial" w:hAnsi="Arial" w:cs="Arial"/>
          <w:b w:val="0"/>
        </w:rPr>
        <w:t>, b</w:t>
      </w:r>
      <w:r w:rsidR="000D7228" w:rsidRPr="000D7228">
        <w:rPr>
          <w:rFonts w:ascii="Arial" w:hAnsi="Arial" w:cs="Arial"/>
          <w:b w:val="0"/>
        </w:rPr>
        <w:t xml:space="preserve">ars with different letters (A, B, </w:t>
      </w:r>
      <w:r w:rsidR="000D7228">
        <w:rPr>
          <w:rFonts w:ascii="Arial" w:hAnsi="Arial" w:cs="Arial"/>
          <w:b w:val="0"/>
        </w:rPr>
        <w:t xml:space="preserve">C…) are significantly different </w:t>
      </w:r>
      <w:r w:rsidR="000D7228" w:rsidRPr="00FD2DD0">
        <w:rPr>
          <w:rFonts w:ascii="Arial" w:hAnsi="Arial" w:cs="Arial"/>
          <w:b w:val="0"/>
        </w:rPr>
        <w:t xml:space="preserve">(ANOVA; </w:t>
      </w:r>
      <w:r w:rsidR="000D7228" w:rsidRPr="00FD2DD0">
        <w:rPr>
          <w:rFonts w:ascii="Arial" w:hAnsi="Arial" w:cs="Arial"/>
          <w:b w:val="0"/>
          <w:i/>
        </w:rPr>
        <w:t>P</w:t>
      </w:r>
      <w:r w:rsidR="000D7228" w:rsidRPr="00FD2DD0">
        <w:rPr>
          <w:rFonts w:ascii="Arial" w:hAnsi="Arial" w:cs="Arial"/>
          <w:b w:val="0"/>
        </w:rPr>
        <w:t xml:space="preserve"> &lt; 0.05).</w:t>
      </w:r>
      <w:r w:rsidRPr="00FD2DD0">
        <w:rPr>
          <w:rFonts w:ascii="Arial" w:hAnsi="Arial" w:cs="Arial"/>
        </w:rPr>
        <w:br w:type="page"/>
      </w:r>
    </w:p>
    <w:p w14:paraId="6AFBECF1" w14:textId="77777777" w:rsidR="00382687" w:rsidRPr="00FD2DD0" w:rsidRDefault="00382687" w:rsidP="0055199E">
      <w:pPr>
        <w:pStyle w:val="SMHeading"/>
        <w:spacing w:before="0" w:after="0"/>
        <w:jc w:val="center"/>
        <w:outlineLvl w:val="9"/>
        <w:rPr>
          <w:rFonts w:ascii="Arial" w:hAnsi="Arial" w:cs="Arial"/>
        </w:rPr>
      </w:pPr>
      <w:r w:rsidRPr="00FD2DD0">
        <w:rPr>
          <w:rFonts w:ascii="Arial" w:hAnsi="Arial" w:cs="Arial"/>
          <w:noProof/>
        </w:rPr>
        <w:lastRenderedPageBreak/>
        <w:drawing>
          <wp:inline distT="0" distB="0" distL="0" distR="0" wp14:anchorId="41657D0F" wp14:editId="21C9732E">
            <wp:extent cx="4222142" cy="530771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42059" cy="5332751"/>
                    </a:xfrm>
                    <a:prstGeom prst="rect">
                      <a:avLst/>
                    </a:prstGeom>
                    <a:noFill/>
                  </pic:spPr>
                </pic:pic>
              </a:graphicData>
            </a:graphic>
          </wp:inline>
        </w:drawing>
      </w:r>
    </w:p>
    <w:p w14:paraId="55DF03BA" w14:textId="44431312" w:rsidR="00382687" w:rsidRPr="00FD2DD0" w:rsidRDefault="00382687" w:rsidP="000D7228">
      <w:pPr>
        <w:pStyle w:val="SMHeading"/>
        <w:spacing w:before="0" w:after="0"/>
        <w:jc w:val="both"/>
        <w:rPr>
          <w:rFonts w:ascii="Arial" w:hAnsi="Arial" w:cs="Arial"/>
          <w:bCs w:val="0"/>
        </w:rPr>
      </w:pPr>
      <w:r w:rsidRPr="00FD2DD0">
        <w:rPr>
          <w:rFonts w:ascii="Arial" w:hAnsi="Arial" w:cs="Arial"/>
        </w:rPr>
        <w:t>Figure S8: Chronic treatment with the combination of ivacaftor (VX-770) and elexacaftor (VX-445) increases G551D-CFTR mediated I</w:t>
      </w:r>
      <w:r w:rsidRPr="00FD2DD0">
        <w:rPr>
          <w:rFonts w:ascii="Arial" w:hAnsi="Arial" w:cs="Arial"/>
          <w:vertAlign w:val="subscript"/>
        </w:rPr>
        <w:t>t</w:t>
      </w:r>
      <w:r w:rsidRPr="00FD2DD0">
        <w:rPr>
          <w:rFonts w:ascii="Arial" w:hAnsi="Arial" w:cs="Arial"/>
        </w:rPr>
        <w:t xml:space="preserve"> in HNE.</w:t>
      </w:r>
      <w:r w:rsidRPr="00FD2DD0">
        <w:rPr>
          <w:rFonts w:ascii="Arial" w:hAnsi="Arial" w:cs="Arial"/>
          <w:b w:val="0"/>
        </w:rPr>
        <w:t xml:space="preserve"> (</w:t>
      </w:r>
      <w:r w:rsidRPr="00FD2DD0">
        <w:rPr>
          <w:rFonts w:ascii="Arial" w:hAnsi="Arial" w:cs="Arial"/>
          <w:b w:val="0"/>
          <w:i/>
        </w:rPr>
        <w:t>A</w:t>
      </w:r>
      <w:r w:rsidRPr="00FD2DD0">
        <w:rPr>
          <w:rFonts w:ascii="Arial" w:hAnsi="Arial" w:cs="Arial"/>
          <w:b w:val="0"/>
        </w:rPr>
        <w:t>) Representative I</w:t>
      </w:r>
      <w:r w:rsidRPr="00FD2DD0">
        <w:rPr>
          <w:rFonts w:ascii="Arial" w:hAnsi="Arial" w:cs="Arial"/>
          <w:b w:val="0"/>
          <w:vertAlign w:val="subscript"/>
        </w:rPr>
        <w:t>t</w:t>
      </w:r>
      <w:r w:rsidRPr="00FD2DD0">
        <w:rPr>
          <w:rFonts w:ascii="Arial" w:hAnsi="Arial" w:cs="Arial"/>
          <w:b w:val="0"/>
        </w:rPr>
        <w:t xml:space="preserve"> recordings of G551D-HNE treated for 24 h with DMSO, VX-770, and/or VX-445. (</w:t>
      </w:r>
      <w:r w:rsidRPr="00FD2DD0">
        <w:rPr>
          <w:rFonts w:ascii="Arial" w:hAnsi="Arial" w:cs="Arial"/>
          <w:b w:val="0"/>
          <w:i/>
        </w:rPr>
        <w:t>B</w:t>
      </w:r>
      <w:r w:rsidRPr="00FD2DD0">
        <w:rPr>
          <w:rFonts w:ascii="Arial" w:hAnsi="Arial" w:cs="Arial"/>
          <w:b w:val="0"/>
        </w:rPr>
        <w:t>) Changes in I</w:t>
      </w:r>
      <w:r w:rsidRPr="00FD2DD0">
        <w:rPr>
          <w:rFonts w:ascii="Arial" w:hAnsi="Arial" w:cs="Arial"/>
          <w:b w:val="0"/>
          <w:vertAlign w:val="subscript"/>
        </w:rPr>
        <w:t>t</w:t>
      </w:r>
      <w:r w:rsidRPr="00FD2DD0">
        <w:rPr>
          <w:rFonts w:ascii="Arial" w:hAnsi="Arial" w:cs="Arial"/>
          <w:b w:val="0"/>
        </w:rPr>
        <w:t xml:space="preserve"> after the addition of CFTR</w:t>
      </w:r>
      <w:r w:rsidRPr="00FD2DD0">
        <w:rPr>
          <w:rFonts w:ascii="Arial" w:hAnsi="Arial" w:cs="Arial"/>
          <w:b w:val="0"/>
          <w:vertAlign w:val="subscript"/>
        </w:rPr>
        <w:t>inh</w:t>
      </w:r>
      <w:r w:rsidRPr="00FD2DD0">
        <w:rPr>
          <w:rFonts w:ascii="Arial" w:hAnsi="Arial" w:cs="Arial"/>
          <w:b w:val="0"/>
        </w:rPr>
        <w:t>-172 in the experiment presented in Panel</w:t>
      </w:r>
      <w:r w:rsidRPr="00FD2DD0">
        <w:rPr>
          <w:rFonts w:ascii="Arial" w:hAnsi="Arial" w:cs="Arial"/>
          <w:b w:val="0"/>
          <w:i/>
        </w:rPr>
        <w:t xml:space="preserve"> A</w:t>
      </w:r>
      <w:r w:rsidRPr="00FD2DD0">
        <w:rPr>
          <w:rFonts w:ascii="Arial" w:hAnsi="Arial" w:cs="Arial"/>
          <w:b w:val="0"/>
        </w:rPr>
        <w:t>. G551D-CFTR mediated I</w:t>
      </w:r>
      <w:r w:rsidRPr="00FD2DD0">
        <w:rPr>
          <w:rFonts w:ascii="Arial" w:hAnsi="Arial" w:cs="Arial"/>
          <w:b w:val="0"/>
          <w:vertAlign w:val="subscript"/>
        </w:rPr>
        <w:t>t</w:t>
      </w:r>
      <w:r w:rsidRPr="00FD2DD0">
        <w:rPr>
          <w:rFonts w:ascii="Arial" w:hAnsi="Arial" w:cs="Arial"/>
          <w:b w:val="0"/>
        </w:rPr>
        <w:t xml:space="preserve"> is greatest after chronic treatment by both VX-770 and VX-445. All data are presented as mean ± standard error. </w:t>
      </w:r>
      <w:r w:rsidR="000D7228">
        <w:rPr>
          <w:rFonts w:ascii="Arial" w:hAnsi="Arial" w:cs="Arial"/>
          <w:b w:val="0"/>
        </w:rPr>
        <w:t>W</w:t>
      </w:r>
      <w:r w:rsidR="000D7228" w:rsidRPr="00FD2DD0">
        <w:rPr>
          <w:rFonts w:ascii="Arial" w:hAnsi="Arial" w:cs="Arial"/>
          <w:b w:val="0"/>
        </w:rPr>
        <w:t>ithin each test compound addition</w:t>
      </w:r>
      <w:r w:rsidR="000D7228">
        <w:rPr>
          <w:rFonts w:ascii="Arial" w:hAnsi="Arial" w:cs="Arial"/>
          <w:b w:val="0"/>
        </w:rPr>
        <w:t>, b</w:t>
      </w:r>
      <w:r w:rsidR="000D7228" w:rsidRPr="000D7228">
        <w:rPr>
          <w:rFonts w:ascii="Arial" w:hAnsi="Arial" w:cs="Arial"/>
          <w:b w:val="0"/>
        </w:rPr>
        <w:t xml:space="preserve">ars with different letters (A, B, </w:t>
      </w:r>
      <w:r w:rsidR="000D7228">
        <w:rPr>
          <w:rFonts w:ascii="Arial" w:hAnsi="Arial" w:cs="Arial"/>
          <w:b w:val="0"/>
        </w:rPr>
        <w:t xml:space="preserve">C…) are significantly different </w:t>
      </w:r>
      <w:r w:rsidR="000D7228" w:rsidRPr="00FD2DD0">
        <w:rPr>
          <w:rFonts w:ascii="Arial" w:hAnsi="Arial" w:cs="Arial"/>
          <w:b w:val="0"/>
        </w:rPr>
        <w:t xml:space="preserve">(ANOVA; </w:t>
      </w:r>
      <w:r w:rsidR="000D7228" w:rsidRPr="00FD2DD0">
        <w:rPr>
          <w:rFonts w:ascii="Arial" w:hAnsi="Arial" w:cs="Arial"/>
          <w:b w:val="0"/>
          <w:i/>
        </w:rPr>
        <w:t>P</w:t>
      </w:r>
      <w:r w:rsidR="000D7228" w:rsidRPr="00FD2DD0">
        <w:rPr>
          <w:rFonts w:ascii="Arial" w:hAnsi="Arial" w:cs="Arial"/>
          <w:b w:val="0"/>
        </w:rPr>
        <w:t xml:space="preserve"> &lt; 0.05).</w:t>
      </w:r>
      <w:r w:rsidRPr="00FD2DD0">
        <w:rPr>
          <w:rFonts w:ascii="Arial" w:hAnsi="Arial" w:cs="Arial"/>
        </w:rPr>
        <w:br w:type="page"/>
      </w:r>
    </w:p>
    <w:p w14:paraId="679ED2BB" w14:textId="2E2BE386" w:rsidR="00382687" w:rsidRPr="00FD2DD0" w:rsidRDefault="0055199E" w:rsidP="0055199E">
      <w:pPr>
        <w:pStyle w:val="SMHeading"/>
        <w:spacing w:before="0" w:after="0"/>
        <w:jc w:val="center"/>
        <w:outlineLvl w:val="9"/>
        <w:rPr>
          <w:rFonts w:ascii="Arial" w:hAnsi="Arial" w:cs="Arial"/>
        </w:rPr>
      </w:pPr>
      <w:r>
        <w:rPr>
          <w:rFonts w:ascii="Arial" w:hAnsi="Arial" w:cs="Arial"/>
          <w:noProof/>
        </w:rPr>
        <w:lastRenderedPageBreak/>
        <w:drawing>
          <wp:inline distT="0" distB="0" distL="0" distR="0" wp14:anchorId="6D795C6C" wp14:editId="1B1A03B6">
            <wp:extent cx="4276386" cy="45097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80072" cy="4513657"/>
                    </a:xfrm>
                    <a:prstGeom prst="rect">
                      <a:avLst/>
                    </a:prstGeom>
                    <a:noFill/>
                  </pic:spPr>
                </pic:pic>
              </a:graphicData>
            </a:graphic>
          </wp:inline>
        </w:drawing>
      </w:r>
    </w:p>
    <w:p w14:paraId="530739CE" w14:textId="4AA718BD" w:rsidR="00382687" w:rsidRPr="00FD2DD0" w:rsidRDefault="00382687" w:rsidP="0098320F">
      <w:pPr>
        <w:pStyle w:val="SMHeading"/>
        <w:spacing w:before="0" w:after="0"/>
        <w:jc w:val="both"/>
        <w:rPr>
          <w:rFonts w:ascii="Arial" w:hAnsi="Arial" w:cs="Arial"/>
          <w:b w:val="0"/>
        </w:rPr>
      </w:pPr>
      <w:r w:rsidRPr="00FD2DD0">
        <w:rPr>
          <w:rFonts w:ascii="Arial" w:hAnsi="Arial" w:cs="Arial"/>
        </w:rPr>
        <w:t>Figure S9: Differences in baseline and amiloride-responsive transepithelial potential between non-CF and F508del-HNE are attenuated by CFTR modulators.</w:t>
      </w:r>
      <w:r w:rsidRPr="00FD2DD0">
        <w:rPr>
          <w:rFonts w:ascii="Arial" w:hAnsi="Arial" w:cs="Arial"/>
          <w:b w:val="0"/>
        </w:rPr>
        <w:t xml:space="preserve"> (</w:t>
      </w:r>
      <w:r w:rsidRPr="00FD2DD0">
        <w:rPr>
          <w:rFonts w:ascii="Arial" w:hAnsi="Arial" w:cs="Arial"/>
          <w:b w:val="0"/>
          <w:i/>
        </w:rPr>
        <w:t>A–B</w:t>
      </w:r>
      <w:r w:rsidRPr="00FD2DD0">
        <w:rPr>
          <w:rFonts w:ascii="Arial" w:hAnsi="Arial" w:cs="Arial"/>
          <w:b w:val="0"/>
        </w:rPr>
        <w:t>) Comparisons of baseline transepithelial potential difference (PD) (</w:t>
      </w:r>
      <w:r w:rsidRPr="00FD2DD0">
        <w:rPr>
          <w:rFonts w:ascii="Arial" w:hAnsi="Arial" w:cs="Arial"/>
          <w:b w:val="0"/>
          <w:i/>
          <w:iCs/>
        </w:rPr>
        <w:t>A</w:t>
      </w:r>
      <w:r w:rsidRPr="00FD2DD0">
        <w:rPr>
          <w:rFonts w:ascii="Arial" w:hAnsi="Arial" w:cs="Arial"/>
          <w:b w:val="0"/>
        </w:rPr>
        <w:t>) and ΔPD in response to amiloride (</w:t>
      </w:r>
      <w:r w:rsidRPr="00FD2DD0">
        <w:rPr>
          <w:rFonts w:ascii="Arial" w:hAnsi="Arial" w:cs="Arial"/>
          <w:b w:val="0"/>
          <w:i/>
          <w:iCs/>
        </w:rPr>
        <w:t>B</w:t>
      </w:r>
      <w:r w:rsidRPr="00FD2DD0">
        <w:rPr>
          <w:rFonts w:ascii="Arial" w:hAnsi="Arial" w:cs="Arial"/>
          <w:b w:val="0"/>
        </w:rPr>
        <w:t xml:space="preserve">) between non-CF HNE and F508del-HNE cultures. Original data for Panels </w:t>
      </w:r>
      <w:r w:rsidRPr="00FD2DD0">
        <w:rPr>
          <w:rFonts w:ascii="Arial" w:hAnsi="Arial" w:cs="Arial"/>
          <w:b w:val="0"/>
          <w:i/>
          <w:iCs/>
        </w:rPr>
        <w:t>A</w:t>
      </w:r>
      <w:r w:rsidRPr="00FD2DD0">
        <w:rPr>
          <w:rFonts w:ascii="Arial" w:hAnsi="Arial" w:cs="Arial"/>
          <w:b w:val="0"/>
        </w:rPr>
        <w:t xml:space="preserve"> and </w:t>
      </w:r>
      <w:r w:rsidRPr="00FD2DD0">
        <w:rPr>
          <w:rFonts w:ascii="Arial" w:hAnsi="Arial" w:cs="Arial"/>
          <w:b w:val="0"/>
          <w:i/>
          <w:iCs/>
        </w:rPr>
        <w:t>B</w:t>
      </w:r>
      <w:r w:rsidRPr="00FD2DD0">
        <w:rPr>
          <w:rFonts w:ascii="Arial" w:hAnsi="Arial" w:cs="Arial"/>
          <w:b w:val="0"/>
        </w:rPr>
        <w:t xml:space="preserve"> is presented in </w:t>
      </w:r>
      <w:r w:rsidRPr="00FD2DD0">
        <w:rPr>
          <w:rFonts w:ascii="Arial" w:hAnsi="Arial" w:cs="Arial"/>
          <w:b w:val="0"/>
        </w:rPr>
        <w:fldChar w:fldCharType="begin" w:fldLock="1"/>
      </w:r>
      <w:r w:rsidR="003B01C2">
        <w:rPr>
          <w:rFonts w:ascii="Arial" w:hAnsi="Arial" w:cs="Arial"/>
          <w:b w:val="0"/>
        </w:rPr>
        <w:instrText>ADDIN CSL_CITATION {"citationItems":[{"id":"ITEM-1","itemData":{"DOI":"10.1136/bmjresp-2020-000861","abstract":"ABSTRACT Introduction The incubation of airway epithelia cells at low temperatures is a common in vitro experimental approach used in the field of cystic fibrosis (CF) research to thermo- stabilise F508del- CFTR and increase its functional expression. Given that the airway epithelium includes numerous ion transporters other than CFTR, we hypothesised that there was an impact of low temperature incubation on CFTR- independent ionoregulatory mechanisms in airway epithelia derived from individuals with and without CF. Methods After differentiation at the air–liquid interface, nasal epithelia were incubated at either 37°C or 29°C (low temperature) for 48 hours prior to analysis in an Ussing chamber. Results While F508del- CFTR activity was increased after low temperature incubation, activity of CFTR in non- CF epithelia was unchanged. Importantly, cultures incubated at 29°C demonstrated decreased transepithelial potential difference (TEPD) and short- circuit currents (Isc) at baseline. The predominant factor contributing to the reduced baseline TEPD and Isc in 29°C cultures was the reduced activity of the epithelial sodium channel (ENaC), evidenced by a reduced responsiveness to amiloride. This effect was observed in cells derived from both non- CF and CF donors. Discussion Significant transcriptional downregulation of ENaC subunits β and γ were observed, which may partially explain the decreased ENaC activity. We speculate that low temperature incubation may be a useful experimental paradigm to reduce ENaC activity in in vitro epithelial cultures.","author":[{"dropping-particle":"","family":"Yadav","given":"Sangya","non-dropping-particle":"","parse-names":false,"suffix":""},{"dropping-particle":"","family":"Shaughnessy","given":"Ciaran A","non-dropping-particle":"","parse-names":false,"suffix":""},{"dropping-particle":"","family":"Zeitlin","given":"Pamela L","non-dropping-particle":"","parse-names":false,"suffix":""},{"dropping-particle":"","family":"Bratcher","given":"Preston E","non-dropping-particle":"","parse-names":false,"suffix":""}],"container-title":"BMJ Open Respiratory Research","id":"ITEM-1","issued":{"date-parts":[["2021"]]},"page":"e000861","title":"Downregulation of epithelial sodium channel (ENaC) activity in human airway epithelia after low temperature incubation","type":"article-journal","volume":"8"},"uris":["http://www.mendeley.com/documents/?uuid=6362cf10-f279-4315-aace-5b5757490227"]}],"mendeley":{"formattedCitation":"[20]","plainTextFormattedCitation":"[20]","previouslyFormattedCitation":"[20]"},"properties":{"noteIndex":0},"schema":"https://github.com/citation-style-language/schema/raw/master/csl-citation.json"}</w:instrText>
      </w:r>
      <w:r w:rsidRPr="00FD2DD0">
        <w:rPr>
          <w:rFonts w:ascii="Arial" w:hAnsi="Arial" w:cs="Arial"/>
          <w:b w:val="0"/>
        </w:rPr>
        <w:fldChar w:fldCharType="separate"/>
      </w:r>
      <w:r w:rsidR="00BE28B9" w:rsidRPr="00BE28B9">
        <w:rPr>
          <w:rFonts w:ascii="Arial" w:hAnsi="Arial" w:cs="Arial"/>
          <w:b w:val="0"/>
          <w:noProof/>
        </w:rPr>
        <w:t>[20]</w:t>
      </w:r>
      <w:r w:rsidRPr="00FD2DD0">
        <w:rPr>
          <w:rFonts w:ascii="Arial" w:hAnsi="Arial" w:cs="Arial"/>
          <w:b w:val="0"/>
        </w:rPr>
        <w:fldChar w:fldCharType="end"/>
      </w:r>
      <w:r w:rsidRPr="00FD2DD0">
        <w:rPr>
          <w:rFonts w:ascii="Arial" w:hAnsi="Arial" w:cs="Arial"/>
          <w:b w:val="0"/>
        </w:rPr>
        <w:t>. (</w:t>
      </w:r>
      <w:r w:rsidRPr="00FD2DD0">
        <w:rPr>
          <w:rFonts w:ascii="Arial" w:hAnsi="Arial" w:cs="Arial"/>
          <w:b w:val="0"/>
          <w:i/>
        </w:rPr>
        <w:t>C–D</w:t>
      </w:r>
      <w:r w:rsidRPr="00FD2DD0">
        <w:rPr>
          <w:rFonts w:ascii="Arial" w:hAnsi="Arial" w:cs="Arial"/>
          <w:b w:val="0"/>
        </w:rPr>
        <w:t>) Comparisons baseline PD (</w:t>
      </w:r>
      <w:r w:rsidRPr="00FD2DD0">
        <w:rPr>
          <w:rFonts w:ascii="Arial" w:hAnsi="Arial" w:cs="Arial"/>
          <w:b w:val="0"/>
          <w:i/>
          <w:iCs/>
        </w:rPr>
        <w:t>C</w:t>
      </w:r>
      <w:r w:rsidRPr="00FD2DD0">
        <w:rPr>
          <w:rFonts w:ascii="Arial" w:hAnsi="Arial" w:cs="Arial"/>
          <w:b w:val="0"/>
        </w:rPr>
        <w:t xml:space="preserve">) and ΔPD in response to amiloride (D) in F508del-HNE treated for 24 h with DMSO, the double combination of tezacaftor (VX-661) and ivacaftor (VX-770) (i.e., </w:t>
      </w:r>
      <w:r w:rsidR="0055199E">
        <w:rPr>
          <w:rFonts w:ascii="Arial" w:hAnsi="Arial" w:cs="Arial"/>
          <w:b w:val="0"/>
        </w:rPr>
        <w:t>Symdeko</w:t>
      </w:r>
      <w:r w:rsidRPr="00FD2DD0">
        <w:rPr>
          <w:rFonts w:ascii="Arial" w:hAnsi="Arial" w:cs="Arial"/>
          <w:b w:val="0"/>
        </w:rPr>
        <w:t xml:space="preserve">) or the triple combination of VX-661, VX-770, and VX-445 (i.e., Trikafta). All data are presented as mean (line), quartiles (box), and minimum and maximum values (bars). Asterisks indicate differences (ANOVA with Tukey’s </w:t>
      </w:r>
      <w:r w:rsidRPr="00FD2DD0">
        <w:rPr>
          <w:rFonts w:ascii="Arial" w:hAnsi="Arial" w:cs="Arial"/>
          <w:b w:val="0"/>
          <w:i/>
          <w:iCs/>
        </w:rPr>
        <w:t xml:space="preserve">post hoc </w:t>
      </w:r>
      <w:r w:rsidRPr="00FD2DD0">
        <w:rPr>
          <w:rFonts w:ascii="Arial" w:hAnsi="Arial" w:cs="Arial"/>
          <w:b w:val="0"/>
        </w:rPr>
        <w:t xml:space="preserve">comparisons): * </w:t>
      </w:r>
      <w:r w:rsidRPr="00FD2DD0">
        <w:rPr>
          <w:rFonts w:ascii="Arial" w:hAnsi="Arial" w:cs="Arial"/>
          <w:b w:val="0"/>
          <w:i/>
          <w:iCs/>
        </w:rPr>
        <w:t>P</w:t>
      </w:r>
      <w:r w:rsidRPr="00FD2DD0">
        <w:rPr>
          <w:rFonts w:ascii="Arial" w:hAnsi="Arial" w:cs="Arial"/>
          <w:b w:val="0"/>
        </w:rPr>
        <w:t xml:space="preserve"> &lt; 0.05; **** </w:t>
      </w:r>
      <w:r w:rsidRPr="00FD2DD0">
        <w:rPr>
          <w:rFonts w:ascii="Arial" w:hAnsi="Arial" w:cs="Arial"/>
          <w:b w:val="0"/>
          <w:i/>
          <w:iCs/>
        </w:rPr>
        <w:t>P</w:t>
      </w:r>
      <w:r w:rsidRPr="00FD2DD0">
        <w:rPr>
          <w:rFonts w:ascii="Arial" w:hAnsi="Arial" w:cs="Arial"/>
          <w:b w:val="0"/>
        </w:rPr>
        <w:t xml:space="preserve"> &lt; 0.0001.</w:t>
      </w:r>
    </w:p>
    <w:p w14:paraId="1A12E6E8" w14:textId="44A74EB9" w:rsidR="00BE28B9" w:rsidRDefault="00BE28B9">
      <w:pPr>
        <w:rPr>
          <w:rFonts w:ascii="Arial" w:eastAsia="Times New Roman" w:hAnsi="Arial" w:cs="Arial"/>
          <w:bCs/>
          <w:kern w:val="28"/>
          <w:sz w:val="24"/>
          <w:szCs w:val="24"/>
        </w:rPr>
      </w:pPr>
      <w:r>
        <w:rPr>
          <w:rFonts w:ascii="Arial" w:hAnsi="Arial" w:cs="Arial"/>
          <w:b/>
        </w:rPr>
        <w:br w:type="page"/>
      </w:r>
    </w:p>
    <w:p w14:paraId="18704140" w14:textId="7E295BD3" w:rsidR="00BE28B9" w:rsidRPr="00BE28B9" w:rsidRDefault="00BE28B9" w:rsidP="00BE28B9">
      <w:pPr>
        <w:widowControl w:val="0"/>
        <w:autoSpaceDE w:val="0"/>
        <w:autoSpaceDN w:val="0"/>
        <w:adjustRightInd w:val="0"/>
        <w:ind w:left="640" w:hanging="640"/>
        <w:jc w:val="center"/>
        <w:rPr>
          <w:rFonts w:ascii="Arial" w:hAnsi="Arial" w:cs="Arial"/>
          <w:b/>
          <w:sz w:val="24"/>
        </w:rPr>
      </w:pPr>
      <w:r>
        <w:rPr>
          <w:rFonts w:ascii="Arial" w:hAnsi="Arial" w:cs="Arial"/>
          <w:b/>
          <w:sz w:val="24"/>
        </w:rPr>
        <w:lastRenderedPageBreak/>
        <w:t>SUPPLEMENTARY BIBLIOGRAPHY</w:t>
      </w:r>
    </w:p>
    <w:p w14:paraId="61AF5905" w14:textId="77777777" w:rsidR="00BE28B9" w:rsidRDefault="00BE28B9" w:rsidP="00BE28B9">
      <w:pPr>
        <w:widowControl w:val="0"/>
        <w:autoSpaceDE w:val="0"/>
        <w:autoSpaceDN w:val="0"/>
        <w:adjustRightInd w:val="0"/>
        <w:ind w:left="640" w:hanging="640"/>
        <w:rPr>
          <w:rFonts w:ascii="Arial" w:hAnsi="Arial" w:cs="Arial"/>
          <w:b/>
          <w:sz w:val="16"/>
        </w:rPr>
      </w:pPr>
    </w:p>
    <w:p w14:paraId="58011DAC" w14:textId="5E0C8B1C" w:rsidR="00E12EF3" w:rsidRPr="00E12EF3" w:rsidRDefault="00BE28B9" w:rsidP="00E12EF3">
      <w:pPr>
        <w:widowControl w:val="0"/>
        <w:autoSpaceDE w:val="0"/>
        <w:autoSpaceDN w:val="0"/>
        <w:adjustRightInd w:val="0"/>
        <w:ind w:left="640" w:hanging="640"/>
        <w:rPr>
          <w:rFonts w:ascii="Arial" w:hAnsi="Arial" w:cs="Arial"/>
          <w:noProof/>
          <w:szCs w:val="24"/>
        </w:rPr>
      </w:pPr>
      <w:r w:rsidRPr="00BE28B9">
        <w:rPr>
          <w:rFonts w:ascii="Arial" w:hAnsi="Arial" w:cs="Arial"/>
          <w:b/>
          <w:sz w:val="16"/>
        </w:rPr>
        <w:fldChar w:fldCharType="begin" w:fldLock="1"/>
      </w:r>
      <w:r w:rsidRPr="00BE28B9">
        <w:rPr>
          <w:rFonts w:ascii="Arial" w:hAnsi="Arial" w:cs="Arial"/>
          <w:b/>
          <w:sz w:val="16"/>
        </w:rPr>
        <w:instrText xml:space="preserve">ADDIN Mendeley Bibliography CSL_BIBLIOGRAPHY </w:instrText>
      </w:r>
      <w:r w:rsidRPr="00BE28B9">
        <w:rPr>
          <w:rFonts w:ascii="Arial" w:hAnsi="Arial" w:cs="Arial"/>
          <w:b/>
          <w:sz w:val="16"/>
        </w:rPr>
        <w:fldChar w:fldCharType="separate"/>
      </w:r>
      <w:r w:rsidR="00E12EF3" w:rsidRPr="00E12EF3">
        <w:rPr>
          <w:rFonts w:ascii="Arial" w:hAnsi="Arial" w:cs="Arial"/>
          <w:noProof/>
          <w:szCs w:val="24"/>
        </w:rPr>
        <w:t xml:space="preserve">1 </w:t>
      </w:r>
      <w:r w:rsidR="00E12EF3" w:rsidRPr="00E12EF3">
        <w:rPr>
          <w:rFonts w:ascii="Arial" w:hAnsi="Arial" w:cs="Arial"/>
          <w:noProof/>
          <w:szCs w:val="24"/>
        </w:rPr>
        <w:tab/>
        <w:t xml:space="preserve">Kingwell K. FDA OKs first in vitro route to expanded approval. Nat Rev Drug Discov. 2017;16(9):591–2. </w:t>
      </w:r>
    </w:p>
    <w:p w14:paraId="3DDC22F4" w14:textId="77777777" w:rsidR="00E12EF3" w:rsidRPr="00E12EF3" w:rsidRDefault="00E12EF3" w:rsidP="00E12EF3">
      <w:pPr>
        <w:widowControl w:val="0"/>
        <w:autoSpaceDE w:val="0"/>
        <w:autoSpaceDN w:val="0"/>
        <w:adjustRightInd w:val="0"/>
        <w:ind w:left="640" w:hanging="640"/>
        <w:rPr>
          <w:rFonts w:ascii="Arial" w:hAnsi="Arial" w:cs="Arial"/>
          <w:noProof/>
          <w:szCs w:val="24"/>
        </w:rPr>
      </w:pPr>
      <w:r w:rsidRPr="00E12EF3">
        <w:rPr>
          <w:rFonts w:ascii="Arial" w:hAnsi="Arial" w:cs="Arial"/>
          <w:noProof/>
          <w:szCs w:val="24"/>
        </w:rPr>
        <w:t xml:space="preserve">2 </w:t>
      </w:r>
      <w:r w:rsidRPr="00E12EF3">
        <w:rPr>
          <w:rFonts w:ascii="Arial" w:hAnsi="Arial" w:cs="Arial"/>
          <w:noProof/>
          <w:szCs w:val="24"/>
        </w:rPr>
        <w:tab/>
        <w:t>Durmowicz T, Pacanowski M. Novel Approach Allows Expansion of Indication for Cystic Fibrosis Drug [Internet]. FDA News Events. 2017Available from: https://www.fda.gov/Drugs/NewsEvents/ucm559051.htm</w:t>
      </w:r>
    </w:p>
    <w:p w14:paraId="4135D1D1" w14:textId="77777777" w:rsidR="00E12EF3" w:rsidRPr="00E12EF3" w:rsidRDefault="00E12EF3" w:rsidP="00E12EF3">
      <w:pPr>
        <w:widowControl w:val="0"/>
        <w:autoSpaceDE w:val="0"/>
        <w:autoSpaceDN w:val="0"/>
        <w:adjustRightInd w:val="0"/>
        <w:ind w:left="640" w:hanging="640"/>
        <w:rPr>
          <w:rFonts w:ascii="Arial" w:hAnsi="Arial" w:cs="Arial"/>
          <w:noProof/>
          <w:szCs w:val="24"/>
        </w:rPr>
      </w:pPr>
      <w:r w:rsidRPr="00E12EF3">
        <w:rPr>
          <w:rFonts w:ascii="Arial" w:hAnsi="Arial" w:cs="Arial"/>
          <w:noProof/>
          <w:szCs w:val="24"/>
        </w:rPr>
        <w:t xml:space="preserve">3 </w:t>
      </w:r>
      <w:r w:rsidRPr="00E12EF3">
        <w:rPr>
          <w:rFonts w:ascii="Arial" w:hAnsi="Arial" w:cs="Arial"/>
          <w:noProof/>
          <w:szCs w:val="24"/>
        </w:rPr>
        <w:tab/>
        <w:t xml:space="preserve">Durmowicz AG, Lim R, Rogers H, Rosebraugh CJ, Chowdhury BA. The U.S. food and drug administration’s experience with ivacaftor in cystic fibrosis: Establishing efficacy using in vitro data in lieu of a clinical trial. Ann Am Thorac Soc. 2018;15(1):1–2. </w:t>
      </w:r>
    </w:p>
    <w:p w14:paraId="48BF1D56" w14:textId="77777777" w:rsidR="00E12EF3" w:rsidRPr="00E12EF3" w:rsidRDefault="00E12EF3" w:rsidP="00E12EF3">
      <w:pPr>
        <w:widowControl w:val="0"/>
        <w:autoSpaceDE w:val="0"/>
        <w:autoSpaceDN w:val="0"/>
        <w:adjustRightInd w:val="0"/>
        <w:ind w:left="640" w:hanging="640"/>
        <w:rPr>
          <w:rFonts w:ascii="Arial" w:hAnsi="Arial" w:cs="Arial"/>
          <w:noProof/>
          <w:szCs w:val="24"/>
        </w:rPr>
      </w:pPr>
      <w:r w:rsidRPr="00E12EF3">
        <w:rPr>
          <w:rFonts w:ascii="Arial" w:hAnsi="Arial" w:cs="Arial"/>
          <w:noProof/>
          <w:szCs w:val="24"/>
        </w:rPr>
        <w:t xml:space="preserve">4 </w:t>
      </w:r>
      <w:r w:rsidRPr="00E12EF3">
        <w:rPr>
          <w:rFonts w:ascii="Arial" w:hAnsi="Arial" w:cs="Arial"/>
          <w:noProof/>
          <w:szCs w:val="24"/>
        </w:rPr>
        <w:tab/>
        <w:t>Vertex Pharmaceuticals Incorporated. Prescribing Information: KALYDECO® (ivacaftor) tablets, for oral use. 2020Available from: https://pi.vrtx.com/files/uspi_ivacaftor.pdf</w:t>
      </w:r>
      <w:bookmarkStart w:id="1" w:name="_GoBack"/>
      <w:bookmarkEnd w:id="1"/>
    </w:p>
    <w:p w14:paraId="66D540FC" w14:textId="77777777" w:rsidR="00E12EF3" w:rsidRPr="00E12EF3" w:rsidRDefault="00E12EF3" w:rsidP="00E12EF3">
      <w:pPr>
        <w:widowControl w:val="0"/>
        <w:autoSpaceDE w:val="0"/>
        <w:autoSpaceDN w:val="0"/>
        <w:adjustRightInd w:val="0"/>
        <w:ind w:left="640" w:hanging="640"/>
        <w:rPr>
          <w:rFonts w:ascii="Arial" w:hAnsi="Arial" w:cs="Arial"/>
          <w:noProof/>
          <w:szCs w:val="24"/>
        </w:rPr>
      </w:pPr>
      <w:r w:rsidRPr="00E12EF3">
        <w:rPr>
          <w:rFonts w:ascii="Arial" w:hAnsi="Arial" w:cs="Arial"/>
          <w:noProof/>
          <w:szCs w:val="24"/>
        </w:rPr>
        <w:t xml:space="preserve">5 </w:t>
      </w:r>
      <w:r w:rsidRPr="00E12EF3">
        <w:rPr>
          <w:rFonts w:ascii="Arial" w:hAnsi="Arial" w:cs="Arial"/>
          <w:noProof/>
          <w:szCs w:val="24"/>
        </w:rPr>
        <w:tab/>
        <w:t>Vertex Pharmaceuticals Incorporated. Prescribing Information: SYMDEKO® (tezacaftor/ivacaftor) tablets; (ivacaftor) tablets, for oral use. 2019Available from: https://pi.vrtx.com/files/uspi_tezacaftor_ivacaftor.pdf</w:t>
      </w:r>
    </w:p>
    <w:p w14:paraId="1E2AEE19" w14:textId="77777777" w:rsidR="00E12EF3" w:rsidRPr="00E12EF3" w:rsidRDefault="00E12EF3" w:rsidP="00E12EF3">
      <w:pPr>
        <w:widowControl w:val="0"/>
        <w:autoSpaceDE w:val="0"/>
        <w:autoSpaceDN w:val="0"/>
        <w:adjustRightInd w:val="0"/>
        <w:ind w:left="640" w:hanging="640"/>
        <w:rPr>
          <w:rFonts w:ascii="Arial" w:hAnsi="Arial" w:cs="Arial"/>
          <w:noProof/>
          <w:szCs w:val="24"/>
        </w:rPr>
      </w:pPr>
      <w:r w:rsidRPr="00E12EF3">
        <w:rPr>
          <w:rFonts w:ascii="Arial" w:hAnsi="Arial" w:cs="Arial"/>
          <w:noProof/>
          <w:szCs w:val="24"/>
        </w:rPr>
        <w:t xml:space="preserve">6 </w:t>
      </w:r>
      <w:r w:rsidRPr="00E12EF3">
        <w:rPr>
          <w:rFonts w:ascii="Arial" w:hAnsi="Arial" w:cs="Arial"/>
          <w:noProof/>
          <w:szCs w:val="24"/>
        </w:rPr>
        <w:tab/>
        <w:t>Vertex Pharmaceuticals Incorporated. Prescribing Information: TRIKAFTA® (elexacaftor, tezacaftor, and ivacaftor tablets; ivacaftor tablets), co-packaged for oral use. 2021Available from: https://pi.vrtx.com/files/uspi_elexacaftor_tezacaftor_ivacaftor.pdf</w:t>
      </w:r>
    </w:p>
    <w:p w14:paraId="6FFCF3CB" w14:textId="77777777" w:rsidR="00E12EF3" w:rsidRPr="00E12EF3" w:rsidRDefault="00E12EF3" w:rsidP="00E12EF3">
      <w:pPr>
        <w:widowControl w:val="0"/>
        <w:autoSpaceDE w:val="0"/>
        <w:autoSpaceDN w:val="0"/>
        <w:adjustRightInd w:val="0"/>
        <w:ind w:left="640" w:hanging="640"/>
        <w:rPr>
          <w:rFonts w:ascii="Arial" w:hAnsi="Arial" w:cs="Arial"/>
          <w:noProof/>
          <w:szCs w:val="24"/>
        </w:rPr>
      </w:pPr>
      <w:r w:rsidRPr="00E12EF3">
        <w:rPr>
          <w:rFonts w:ascii="Arial" w:hAnsi="Arial" w:cs="Arial"/>
          <w:noProof/>
          <w:szCs w:val="24"/>
        </w:rPr>
        <w:t xml:space="preserve">7 </w:t>
      </w:r>
      <w:r w:rsidRPr="00E12EF3">
        <w:rPr>
          <w:rFonts w:ascii="Arial" w:hAnsi="Arial" w:cs="Arial"/>
          <w:noProof/>
          <w:szCs w:val="24"/>
        </w:rPr>
        <w:tab/>
        <w:t xml:space="preserve">Van Goor F, Hadida S, Grootenhuis PDJ, Burton B, Stack JH, Straley KS, et al. Correction of the F508del-CFTR protein processing defect in vitro by the investigational drug VX-809. Proc Natl Acad Sci U S A. 2011;108(46):18843–8. </w:t>
      </w:r>
    </w:p>
    <w:p w14:paraId="5621B439" w14:textId="77777777" w:rsidR="00E12EF3" w:rsidRPr="00E12EF3" w:rsidRDefault="00E12EF3" w:rsidP="00E12EF3">
      <w:pPr>
        <w:widowControl w:val="0"/>
        <w:autoSpaceDE w:val="0"/>
        <w:autoSpaceDN w:val="0"/>
        <w:adjustRightInd w:val="0"/>
        <w:ind w:left="640" w:hanging="640"/>
        <w:rPr>
          <w:rFonts w:ascii="Arial" w:hAnsi="Arial" w:cs="Arial"/>
          <w:noProof/>
          <w:szCs w:val="24"/>
        </w:rPr>
      </w:pPr>
      <w:r w:rsidRPr="00E12EF3">
        <w:rPr>
          <w:rFonts w:ascii="Arial" w:hAnsi="Arial" w:cs="Arial"/>
          <w:noProof/>
          <w:szCs w:val="24"/>
        </w:rPr>
        <w:t xml:space="preserve">8 </w:t>
      </w:r>
      <w:r w:rsidRPr="00E12EF3">
        <w:rPr>
          <w:rFonts w:ascii="Arial" w:hAnsi="Arial" w:cs="Arial"/>
          <w:noProof/>
          <w:szCs w:val="24"/>
        </w:rPr>
        <w:tab/>
        <w:t xml:space="preserve">Wainwright CE, Elborn JS, Ramsey BW, Marigowda G, Huang X, Cipolli M, et al. Lumacaftor-ivacaftor in patients with cystic fibrosis homozygous for phe508del CFTR. N Engl J Med. 2015;373(3):220–31. </w:t>
      </w:r>
    </w:p>
    <w:p w14:paraId="660BC3C0" w14:textId="77777777" w:rsidR="00E12EF3" w:rsidRPr="00E12EF3" w:rsidRDefault="00E12EF3" w:rsidP="00E12EF3">
      <w:pPr>
        <w:widowControl w:val="0"/>
        <w:autoSpaceDE w:val="0"/>
        <w:autoSpaceDN w:val="0"/>
        <w:adjustRightInd w:val="0"/>
        <w:ind w:left="640" w:hanging="640"/>
        <w:rPr>
          <w:rFonts w:ascii="Arial" w:hAnsi="Arial" w:cs="Arial"/>
          <w:noProof/>
          <w:szCs w:val="24"/>
        </w:rPr>
      </w:pPr>
      <w:r w:rsidRPr="00E12EF3">
        <w:rPr>
          <w:rFonts w:ascii="Arial" w:hAnsi="Arial" w:cs="Arial"/>
          <w:noProof/>
          <w:szCs w:val="24"/>
        </w:rPr>
        <w:t xml:space="preserve">9 </w:t>
      </w:r>
      <w:r w:rsidRPr="00E12EF3">
        <w:rPr>
          <w:rFonts w:ascii="Arial" w:hAnsi="Arial" w:cs="Arial"/>
          <w:noProof/>
          <w:szCs w:val="24"/>
        </w:rPr>
        <w:tab/>
        <w:t xml:space="preserve">Taylor-Cousar JL, Munck A, McKone EF, Van Der Ent CK, Moeller A, Simard C, et al. Tezacaftor–ivacaftor in patients with cystic fibrosis homozygous for Phe508del. N Engl J Med. 2017;377(21):2013–23. </w:t>
      </w:r>
    </w:p>
    <w:p w14:paraId="6C617CCE" w14:textId="77777777" w:rsidR="00E12EF3" w:rsidRPr="00E12EF3" w:rsidRDefault="00E12EF3" w:rsidP="00E12EF3">
      <w:pPr>
        <w:widowControl w:val="0"/>
        <w:autoSpaceDE w:val="0"/>
        <w:autoSpaceDN w:val="0"/>
        <w:adjustRightInd w:val="0"/>
        <w:ind w:left="640" w:hanging="640"/>
        <w:rPr>
          <w:rFonts w:ascii="Arial" w:hAnsi="Arial" w:cs="Arial"/>
          <w:noProof/>
          <w:szCs w:val="24"/>
        </w:rPr>
      </w:pPr>
      <w:r w:rsidRPr="00E12EF3">
        <w:rPr>
          <w:rFonts w:ascii="Arial" w:hAnsi="Arial" w:cs="Arial"/>
          <w:noProof/>
          <w:szCs w:val="24"/>
        </w:rPr>
        <w:t xml:space="preserve">10 </w:t>
      </w:r>
      <w:r w:rsidRPr="00E12EF3">
        <w:rPr>
          <w:rFonts w:ascii="Arial" w:hAnsi="Arial" w:cs="Arial"/>
          <w:noProof/>
          <w:szCs w:val="24"/>
        </w:rPr>
        <w:tab/>
        <w:t xml:space="preserve">Donaldson SH, Pilewski JM, Griese M, Cooke J, Viswanathan L, Tullis E, et al. Tezacaftor/ivacaftor in subjects with cystic fibrosis and F508del/F508del-CFTR or F508del/G551D-CFTR. Am J Respir Crit Care Med. 2018;197(2):214–24. </w:t>
      </w:r>
    </w:p>
    <w:p w14:paraId="72FDE5CA" w14:textId="77777777" w:rsidR="00E12EF3" w:rsidRPr="00E12EF3" w:rsidRDefault="00E12EF3" w:rsidP="00E12EF3">
      <w:pPr>
        <w:widowControl w:val="0"/>
        <w:autoSpaceDE w:val="0"/>
        <w:autoSpaceDN w:val="0"/>
        <w:adjustRightInd w:val="0"/>
        <w:ind w:left="640" w:hanging="640"/>
        <w:rPr>
          <w:rFonts w:ascii="Arial" w:hAnsi="Arial" w:cs="Arial"/>
          <w:noProof/>
          <w:szCs w:val="24"/>
        </w:rPr>
      </w:pPr>
      <w:r w:rsidRPr="00E12EF3">
        <w:rPr>
          <w:rFonts w:ascii="Arial" w:hAnsi="Arial" w:cs="Arial"/>
          <w:noProof/>
          <w:szCs w:val="24"/>
        </w:rPr>
        <w:t xml:space="preserve">11 </w:t>
      </w:r>
      <w:r w:rsidRPr="00E12EF3">
        <w:rPr>
          <w:rFonts w:ascii="Arial" w:hAnsi="Arial" w:cs="Arial"/>
          <w:noProof/>
          <w:szCs w:val="24"/>
        </w:rPr>
        <w:tab/>
        <w:t xml:space="preserve">Keating D, Marigowda G, Burr L, Daines C, Mall MA, McKone EF, et al. VX-445-tezacaftor-ivacaftor in patients with cystic fibrosis and one or two Phe508del alleles. N Engl J Med. 2018;379(17):1612–20. </w:t>
      </w:r>
    </w:p>
    <w:p w14:paraId="11657970" w14:textId="77777777" w:rsidR="00E12EF3" w:rsidRPr="00E12EF3" w:rsidRDefault="00E12EF3" w:rsidP="00E12EF3">
      <w:pPr>
        <w:widowControl w:val="0"/>
        <w:autoSpaceDE w:val="0"/>
        <w:autoSpaceDN w:val="0"/>
        <w:adjustRightInd w:val="0"/>
        <w:ind w:left="640" w:hanging="640"/>
        <w:rPr>
          <w:rFonts w:ascii="Arial" w:hAnsi="Arial" w:cs="Arial"/>
          <w:noProof/>
          <w:szCs w:val="24"/>
        </w:rPr>
      </w:pPr>
      <w:r w:rsidRPr="00E12EF3">
        <w:rPr>
          <w:rFonts w:ascii="Arial" w:hAnsi="Arial" w:cs="Arial"/>
          <w:noProof/>
          <w:szCs w:val="24"/>
        </w:rPr>
        <w:t xml:space="preserve">12 </w:t>
      </w:r>
      <w:r w:rsidRPr="00E12EF3">
        <w:rPr>
          <w:rFonts w:ascii="Arial" w:hAnsi="Arial" w:cs="Arial"/>
          <w:noProof/>
          <w:szCs w:val="24"/>
        </w:rPr>
        <w:tab/>
        <w:t xml:space="preserve">Van Goor F, Hadida S, Grootenhuis PDJ, Burton B, Cao D, Neuberger T, et al. Rescue of CF airway epithelial cell function in vitro by a CFTR potentiator, VX-770. Proc Natl Acad Sci U S A. 2009;106(44):18825–30. </w:t>
      </w:r>
    </w:p>
    <w:p w14:paraId="7CF06552" w14:textId="77777777" w:rsidR="00E12EF3" w:rsidRPr="00E12EF3" w:rsidRDefault="00E12EF3" w:rsidP="00E12EF3">
      <w:pPr>
        <w:widowControl w:val="0"/>
        <w:autoSpaceDE w:val="0"/>
        <w:autoSpaceDN w:val="0"/>
        <w:adjustRightInd w:val="0"/>
        <w:ind w:left="640" w:hanging="640"/>
        <w:rPr>
          <w:rFonts w:ascii="Arial" w:hAnsi="Arial" w:cs="Arial"/>
          <w:noProof/>
          <w:szCs w:val="24"/>
        </w:rPr>
      </w:pPr>
      <w:r w:rsidRPr="00E12EF3">
        <w:rPr>
          <w:rFonts w:ascii="Arial" w:hAnsi="Arial" w:cs="Arial"/>
          <w:noProof/>
          <w:szCs w:val="24"/>
        </w:rPr>
        <w:t xml:space="preserve">13 </w:t>
      </w:r>
      <w:r w:rsidRPr="00E12EF3">
        <w:rPr>
          <w:rFonts w:ascii="Arial" w:hAnsi="Arial" w:cs="Arial"/>
          <w:noProof/>
          <w:szCs w:val="24"/>
        </w:rPr>
        <w:tab/>
        <w:t xml:space="preserve">Accurso FJ, Rowe SM, Clancy JP, Boyle MP, Dunitz JM, Durie PR, et al. Effect of VX-770 in Persons with Cystic Fibrosis and the G551D- CFTR Mutation. N Engl J Med. 2010;363(21):1991–2003. </w:t>
      </w:r>
    </w:p>
    <w:p w14:paraId="2D6BFE5D" w14:textId="77777777" w:rsidR="00E12EF3" w:rsidRPr="00E12EF3" w:rsidRDefault="00E12EF3" w:rsidP="00E12EF3">
      <w:pPr>
        <w:widowControl w:val="0"/>
        <w:autoSpaceDE w:val="0"/>
        <w:autoSpaceDN w:val="0"/>
        <w:adjustRightInd w:val="0"/>
        <w:ind w:left="640" w:hanging="640"/>
        <w:rPr>
          <w:rFonts w:ascii="Arial" w:hAnsi="Arial" w:cs="Arial"/>
          <w:noProof/>
          <w:szCs w:val="24"/>
        </w:rPr>
      </w:pPr>
      <w:r w:rsidRPr="00E12EF3">
        <w:rPr>
          <w:rFonts w:ascii="Arial" w:hAnsi="Arial" w:cs="Arial"/>
          <w:noProof/>
          <w:szCs w:val="24"/>
        </w:rPr>
        <w:t xml:space="preserve">14 </w:t>
      </w:r>
      <w:r w:rsidRPr="00E12EF3">
        <w:rPr>
          <w:rFonts w:ascii="Arial" w:hAnsi="Arial" w:cs="Arial"/>
          <w:noProof/>
          <w:szCs w:val="24"/>
        </w:rPr>
        <w:tab/>
        <w:t>Rowe SM, Clancy JP, Wilschanski M. Nasal Potential Difference Measurements to Assess CFTR Ion Channel Activity. In: Amaral MD, Kunzelmann K, editors. Cystic Fibrosis: Diagnosis and Protocols, Volume I: Approaches to Study and Correct CFTR Defects. Totowa, NJ: Humana Press; 2011; pp 69–86.</w:t>
      </w:r>
    </w:p>
    <w:p w14:paraId="230A0E21" w14:textId="77777777" w:rsidR="00E12EF3" w:rsidRPr="00E12EF3" w:rsidRDefault="00E12EF3" w:rsidP="00E12EF3">
      <w:pPr>
        <w:widowControl w:val="0"/>
        <w:autoSpaceDE w:val="0"/>
        <w:autoSpaceDN w:val="0"/>
        <w:adjustRightInd w:val="0"/>
        <w:ind w:left="640" w:hanging="640"/>
        <w:rPr>
          <w:rFonts w:ascii="Arial" w:hAnsi="Arial" w:cs="Arial"/>
          <w:noProof/>
          <w:szCs w:val="24"/>
        </w:rPr>
      </w:pPr>
      <w:r w:rsidRPr="00E12EF3">
        <w:rPr>
          <w:rFonts w:ascii="Arial" w:hAnsi="Arial" w:cs="Arial"/>
          <w:noProof/>
          <w:szCs w:val="24"/>
        </w:rPr>
        <w:t xml:space="preserve">15 </w:t>
      </w:r>
      <w:r w:rsidRPr="00E12EF3">
        <w:rPr>
          <w:rFonts w:ascii="Arial" w:hAnsi="Arial" w:cs="Arial"/>
          <w:noProof/>
          <w:szCs w:val="24"/>
        </w:rPr>
        <w:tab/>
        <w:t xml:space="preserve">Alton EWFW, Currie D, Logan-Sinclair R, Warner JO, Hodson ME, Geddes DM. Nasal potential difference: A clinical diagnostic test for cystic fibrosis. Eur Respir J. 1990;3(8):922–6. </w:t>
      </w:r>
    </w:p>
    <w:p w14:paraId="53CCC162" w14:textId="77777777" w:rsidR="00E12EF3" w:rsidRPr="00E12EF3" w:rsidRDefault="00E12EF3" w:rsidP="00E12EF3">
      <w:pPr>
        <w:widowControl w:val="0"/>
        <w:autoSpaceDE w:val="0"/>
        <w:autoSpaceDN w:val="0"/>
        <w:adjustRightInd w:val="0"/>
        <w:ind w:left="640" w:hanging="640"/>
        <w:rPr>
          <w:rFonts w:ascii="Arial" w:hAnsi="Arial" w:cs="Arial"/>
          <w:noProof/>
          <w:szCs w:val="24"/>
        </w:rPr>
      </w:pPr>
      <w:r w:rsidRPr="00E12EF3">
        <w:rPr>
          <w:rFonts w:ascii="Arial" w:hAnsi="Arial" w:cs="Arial"/>
          <w:noProof/>
          <w:szCs w:val="24"/>
        </w:rPr>
        <w:t xml:space="preserve">16 </w:t>
      </w:r>
      <w:r w:rsidRPr="00E12EF3">
        <w:rPr>
          <w:rFonts w:ascii="Arial" w:hAnsi="Arial" w:cs="Arial"/>
          <w:noProof/>
          <w:szCs w:val="24"/>
        </w:rPr>
        <w:tab/>
        <w:t xml:space="preserve">Ho LP, Samways JM, Porteous DJ, Dorin JR, Carothers A, Greening AP, et al. Correlation between nasal potential difference measurements, genotype and clinical condition in patients with cystic fibrosis. Eur Respir J. 1997;10(9):2018–22. </w:t>
      </w:r>
    </w:p>
    <w:p w14:paraId="7123ABAF" w14:textId="77777777" w:rsidR="00E12EF3" w:rsidRPr="00E12EF3" w:rsidRDefault="00E12EF3" w:rsidP="00E12EF3">
      <w:pPr>
        <w:widowControl w:val="0"/>
        <w:autoSpaceDE w:val="0"/>
        <w:autoSpaceDN w:val="0"/>
        <w:adjustRightInd w:val="0"/>
        <w:ind w:left="640" w:hanging="640"/>
        <w:rPr>
          <w:rFonts w:ascii="Arial" w:hAnsi="Arial" w:cs="Arial"/>
          <w:noProof/>
          <w:szCs w:val="24"/>
        </w:rPr>
      </w:pPr>
      <w:r w:rsidRPr="00E12EF3">
        <w:rPr>
          <w:rFonts w:ascii="Arial" w:hAnsi="Arial" w:cs="Arial"/>
          <w:noProof/>
          <w:szCs w:val="24"/>
        </w:rPr>
        <w:t xml:space="preserve">17 </w:t>
      </w:r>
      <w:r w:rsidRPr="00E12EF3">
        <w:rPr>
          <w:rFonts w:ascii="Arial" w:hAnsi="Arial" w:cs="Arial"/>
          <w:noProof/>
          <w:szCs w:val="24"/>
        </w:rPr>
        <w:tab/>
        <w:t>Rowe SM, Liu B, Hill A, Hathorne H, Cohen M, Beamer JR, et al. Optimizing Nasal Potential Difference Analysis for CFTR Modulator Development: Assessment of Ivacaftor in CF Subjects with the G551D-CFTR Mutation. PLoS One. 2013;8(7). DOI: 10.1371/journal.pone.0066955</w:t>
      </w:r>
    </w:p>
    <w:p w14:paraId="007E45AD" w14:textId="77777777" w:rsidR="00E12EF3" w:rsidRPr="00E12EF3" w:rsidRDefault="00E12EF3" w:rsidP="00E12EF3">
      <w:pPr>
        <w:widowControl w:val="0"/>
        <w:autoSpaceDE w:val="0"/>
        <w:autoSpaceDN w:val="0"/>
        <w:adjustRightInd w:val="0"/>
        <w:ind w:left="640" w:hanging="640"/>
        <w:rPr>
          <w:rFonts w:ascii="Arial" w:hAnsi="Arial" w:cs="Arial"/>
          <w:noProof/>
          <w:szCs w:val="24"/>
        </w:rPr>
      </w:pPr>
      <w:r w:rsidRPr="00E12EF3">
        <w:rPr>
          <w:rFonts w:ascii="Arial" w:hAnsi="Arial" w:cs="Arial"/>
          <w:noProof/>
          <w:szCs w:val="24"/>
        </w:rPr>
        <w:t xml:space="preserve">18 </w:t>
      </w:r>
      <w:r w:rsidRPr="00E12EF3">
        <w:rPr>
          <w:rFonts w:ascii="Arial" w:hAnsi="Arial" w:cs="Arial"/>
          <w:noProof/>
          <w:szCs w:val="24"/>
        </w:rPr>
        <w:tab/>
        <w:t xml:space="preserve">Accurso FJ, Van Goor F, Zha J, Stone AJ, Dong Q, Ordonez CL, et al. Sweat chloride as a biomarker of CFTR activity: Proof of concept and ivacaftor clinical trial data. J Cyst Fibros. 2014;13(2):139–47. </w:t>
      </w:r>
    </w:p>
    <w:p w14:paraId="07439CF2" w14:textId="77777777" w:rsidR="00E12EF3" w:rsidRPr="00E12EF3" w:rsidRDefault="00E12EF3" w:rsidP="00E12EF3">
      <w:pPr>
        <w:widowControl w:val="0"/>
        <w:autoSpaceDE w:val="0"/>
        <w:autoSpaceDN w:val="0"/>
        <w:adjustRightInd w:val="0"/>
        <w:ind w:left="640" w:hanging="640"/>
        <w:rPr>
          <w:rFonts w:ascii="Arial" w:hAnsi="Arial" w:cs="Arial"/>
          <w:noProof/>
          <w:szCs w:val="24"/>
        </w:rPr>
      </w:pPr>
      <w:r w:rsidRPr="00E12EF3">
        <w:rPr>
          <w:rFonts w:ascii="Arial" w:hAnsi="Arial" w:cs="Arial"/>
          <w:noProof/>
          <w:szCs w:val="24"/>
        </w:rPr>
        <w:t xml:space="preserve">19 </w:t>
      </w:r>
      <w:r w:rsidRPr="00E12EF3">
        <w:rPr>
          <w:rFonts w:ascii="Arial" w:hAnsi="Arial" w:cs="Arial"/>
          <w:noProof/>
          <w:szCs w:val="24"/>
        </w:rPr>
        <w:tab/>
        <w:t xml:space="preserve">Pranke I, Hatton A, Masson A, Flament T, Le Bourgeois M, Chedevergne F, et al. Might brushed nasal cells be a surrogate for CFTR modulator clinical response? Am J Respir Crit Care Med. </w:t>
      </w:r>
      <w:r w:rsidRPr="00E12EF3">
        <w:rPr>
          <w:rFonts w:ascii="Arial" w:hAnsi="Arial" w:cs="Arial"/>
          <w:noProof/>
          <w:szCs w:val="24"/>
        </w:rPr>
        <w:lastRenderedPageBreak/>
        <w:t xml:space="preserve">2019;199(1):123–6. </w:t>
      </w:r>
    </w:p>
    <w:p w14:paraId="47E8B200" w14:textId="77777777" w:rsidR="00E12EF3" w:rsidRPr="00E12EF3" w:rsidRDefault="00E12EF3" w:rsidP="00E12EF3">
      <w:pPr>
        <w:widowControl w:val="0"/>
        <w:autoSpaceDE w:val="0"/>
        <w:autoSpaceDN w:val="0"/>
        <w:adjustRightInd w:val="0"/>
        <w:ind w:left="640" w:hanging="640"/>
        <w:rPr>
          <w:rFonts w:ascii="Arial" w:hAnsi="Arial" w:cs="Arial"/>
          <w:noProof/>
          <w:szCs w:val="24"/>
        </w:rPr>
      </w:pPr>
      <w:r w:rsidRPr="00E12EF3">
        <w:rPr>
          <w:rFonts w:ascii="Arial" w:hAnsi="Arial" w:cs="Arial"/>
          <w:noProof/>
          <w:szCs w:val="24"/>
        </w:rPr>
        <w:t xml:space="preserve">20 </w:t>
      </w:r>
      <w:r w:rsidRPr="00E12EF3">
        <w:rPr>
          <w:rFonts w:ascii="Arial" w:hAnsi="Arial" w:cs="Arial"/>
          <w:noProof/>
          <w:szCs w:val="24"/>
        </w:rPr>
        <w:tab/>
        <w:t xml:space="preserve">Yadav S, Shaughnessy CA, Zeitlin PL, Bratcher PE. Downregulation of epithelial sodium channel (ENaC) activity in human airway epithelia after low temperature incubation. BMJ Open Respir Res. 2021;8:e000861. </w:t>
      </w:r>
    </w:p>
    <w:p w14:paraId="45019748" w14:textId="77777777" w:rsidR="00E12EF3" w:rsidRPr="00E12EF3" w:rsidRDefault="00E12EF3" w:rsidP="00E12EF3">
      <w:pPr>
        <w:widowControl w:val="0"/>
        <w:autoSpaceDE w:val="0"/>
        <w:autoSpaceDN w:val="0"/>
        <w:adjustRightInd w:val="0"/>
        <w:ind w:left="640" w:hanging="640"/>
        <w:rPr>
          <w:rFonts w:ascii="Arial" w:hAnsi="Arial" w:cs="Arial"/>
          <w:noProof/>
          <w:szCs w:val="24"/>
        </w:rPr>
      </w:pPr>
      <w:r w:rsidRPr="00E12EF3">
        <w:rPr>
          <w:rFonts w:ascii="Arial" w:hAnsi="Arial" w:cs="Arial"/>
          <w:noProof/>
          <w:szCs w:val="24"/>
        </w:rPr>
        <w:t xml:space="preserve">21 </w:t>
      </w:r>
      <w:r w:rsidRPr="00E12EF3">
        <w:rPr>
          <w:rFonts w:ascii="Arial" w:hAnsi="Arial" w:cs="Arial"/>
          <w:noProof/>
          <w:szCs w:val="24"/>
        </w:rPr>
        <w:tab/>
        <w:t xml:space="preserve">Illek B, Zhang L, Lewis NC, Moss RB, Dong J, Fischer H. Defective function of the cystic fibrosis-causing missense mutation G551D is recoved by genistein. Am J Physiol - Cell Physiol. 1999;46:833–9. </w:t>
      </w:r>
    </w:p>
    <w:p w14:paraId="69158F41" w14:textId="77777777" w:rsidR="00E12EF3" w:rsidRPr="00E12EF3" w:rsidRDefault="00E12EF3" w:rsidP="00E12EF3">
      <w:pPr>
        <w:widowControl w:val="0"/>
        <w:autoSpaceDE w:val="0"/>
        <w:autoSpaceDN w:val="0"/>
        <w:adjustRightInd w:val="0"/>
        <w:ind w:left="640" w:hanging="640"/>
        <w:rPr>
          <w:rFonts w:ascii="Arial" w:hAnsi="Arial" w:cs="Arial"/>
          <w:noProof/>
          <w:szCs w:val="24"/>
        </w:rPr>
      </w:pPr>
      <w:r w:rsidRPr="00E12EF3">
        <w:rPr>
          <w:rFonts w:ascii="Arial" w:hAnsi="Arial" w:cs="Arial"/>
          <w:noProof/>
          <w:szCs w:val="24"/>
        </w:rPr>
        <w:t xml:space="preserve">22 </w:t>
      </w:r>
      <w:r w:rsidRPr="00E12EF3">
        <w:rPr>
          <w:rFonts w:ascii="Arial" w:hAnsi="Arial" w:cs="Arial"/>
          <w:noProof/>
          <w:szCs w:val="24"/>
        </w:rPr>
        <w:tab/>
        <w:t xml:space="preserve">Bratcher PE, Yadav S, Shaughnessy CA, Thornell IM, Zeitlin PL. Effect of apical chloride concentration on the measurement of responses to CFTR modulation in airway epithelia cultured from nasal brushings. Physiol Rep. 2020;8:e14603. </w:t>
      </w:r>
    </w:p>
    <w:p w14:paraId="7B25923E" w14:textId="77777777" w:rsidR="00E12EF3" w:rsidRPr="00E12EF3" w:rsidRDefault="00E12EF3" w:rsidP="00E12EF3">
      <w:pPr>
        <w:widowControl w:val="0"/>
        <w:autoSpaceDE w:val="0"/>
        <w:autoSpaceDN w:val="0"/>
        <w:adjustRightInd w:val="0"/>
        <w:ind w:left="640" w:hanging="640"/>
        <w:rPr>
          <w:rFonts w:ascii="Arial" w:hAnsi="Arial" w:cs="Arial"/>
          <w:noProof/>
          <w:szCs w:val="24"/>
        </w:rPr>
      </w:pPr>
      <w:r w:rsidRPr="00E12EF3">
        <w:rPr>
          <w:rFonts w:ascii="Arial" w:hAnsi="Arial" w:cs="Arial"/>
          <w:noProof/>
          <w:szCs w:val="24"/>
        </w:rPr>
        <w:t xml:space="preserve">23 </w:t>
      </w:r>
      <w:r w:rsidRPr="00E12EF3">
        <w:rPr>
          <w:rFonts w:ascii="Arial" w:hAnsi="Arial" w:cs="Arial"/>
          <w:noProof/>
          <w:szCs w:val="24"/>
        </w:rPr>
        <w:tab/>
        <w:t xml:space="preserve">Eckford PDW, Li C, Ramjeesingh M, Bear CE. Cystic fibrosis transmembrane conductance regulator (CFTR) potentiator VX-770 (ivacaftor) opens the defective channel gate of mutant CFTR in a phosphorylationdependent but ATP-independent manner. J Biol Chem. 2012;287(44):36639–49. </w:t>
      </w:r>
    </w:p>
    <w:p w14:paraId="6B68485C" w14:textId="77777777" w:rsidR="00E12EF3" w:rsidRPr="00E12EF3" w:rsidRDefault="00E12EF3" w:rsidP="00E12EF3">
      <w:pPr>
        <w:widowControl w:val="0"/>
        <w:autoSpaceDE w:val="0"/>
        <w:autoSpaceDN w:val="0"/>
        <w:adjustRightInd w:val="0"/>
        <w:ind w:left="640" w:hanging="640"/>
        <w:rPr>
          <w:rFonts w:ascii="Arial" w:hAnsi="Arial" w:cs="Arial"/>
          <w:noProof/>
          <w:szCs w:val="24"/>
        </w:rPr>
      </w:pPr>
      <w:r w:rsidRPr="00E12EF3">
        <w:rPr>
          <w:rFonts w:ascii="Arial" w:hAnsi="Arial" w:cs="Arial"/>
          <w:noProof/>
          <w:szCs w:val="24"/>
        </w:rPr>
        <w:t xml:space="preserve">24 </w:t>
      </w:r>
      <w:r w:rsidRPr="00E12EF3">
        <w:rPr>
          <w:rFonts w:ascii="Arial" w:hAnsi="Arial" w:cs="Arial"/>
          <w:noProof/>
          <w:szCs w:val="24"/>
        </w:rPr>
        <w:tab/>
        <w:t xml:space="preserve">Cholon DM, Quinney NL, Fulcher ML, Esther CR, Das J, Dokholyan N V., et al. Potentiator ivacaftor abrogates pharmacological correction of ΔF508 CFTR in cystic fibrosis. Sci Transl Med. 2014;6(246):1–12. </w:t>
      </w:r>
    </w:p>
    <w:p w14:paraId="1AACEABC" w14:textId="77777777" w:rsidR="00E12EF3" w:rsidRPr="00E12EF3" w:rsidRDefault="00E12EF3" w:rsidP="00E12EF3">
      <w:pPr>
        <w:widowControl w:val="0"/>
        <w:autoSpaceDE w:val="0"/>
        <w:autoSpaceDN w:val="0"/>
        <w:adjustRightInd w:val="0"/>
        <w:ind w:left="640" w:hanging="640"/>
        <w:rPr>
          <w:rFonts w:ascii="Arial" w:hAnsi="Arial" w:cs="Arial"/>
          <w:noProof/>
          <w:szCs w:val="24"/>
        </w:rPr>
      </w:pPr>
      <w:r w:rsidRPr="00E12EF3">
        <w:rPr>
          <w:rFonts w:ascii="Arial" w:hAnsi="Arial" w:cs="Arial"/>
          <w:noProof/>
          <w:szCs w:val="24"/>
        </w:rPr>
        <w:t xml:space="preserve">25 </w:t>
      </w:r>
      <w:r w:rsidRPr="00E12EF3">
        <w:rPr>
          <w:rFonts w:ascii="Arial" w:hAnsi="Arial" w:cs="Arial"/>
          <w:noProof/>
          <w:szCs w:val="24"/>
        </w:rPr>
        <w:tab/>
        <w:t xml:space="preserve">Veit G, Avramescu RG, Perdomo D, Phuan PW, Bagdany M, Apaja PM, et al. Some gating potentiators, including VX-770, diminish ΔF508-CFTR functional expression. Sci Transl Med. 2014;6(246):1–14. </w:t>
      </w:r>
    </w:p>
    <w:p w14:paraId="76B5E4C4" w14:textId="77777777" w:rsidR="00E12EF3" w:rsidRPr="00E12EF3" w:rsidRDefault="00E12EF3" w:rsidP="00E12EF3">
      <w:pPr>
        <w:widowControl w:val="0"/>
        <w:autoSpaceDE w:val="0"/>
        <w:autoSpaceDN w:val="0"/>
        <w:adjustRightInd w:val="0"/>
        <w:ind w:left="640" w:hanging="640"/>
        <w:rPr>
          <w:rFonts w:ascii="Arial" w:hAnsi="Arial" w:cs="Arial"/>
          <w:noProof/>
          <w:szCs w:val="24"/>
        </w:rPr>
      </w:pPr>
      <w:r w:rsidRPr="00E12EF3">
        <w:rPr>
          <w:rFonts w:ascii="Arial" w:hAnsi="Arial" w:cs="Arial"/>
          <w:noProof/>
          <w:szCs w:val="24"/>
        </w:rPr>
        <w:t xml:space="preserve">26 </w:t>
      </w:r>
      <w:r w:rsidRPr="00E12EF3">
        <w:rPr>
          <w:rFonts w:ascii="Arial" w:hAnsi="Arial" w:cs="Arial"/>
          <w:noProof/>
          <w:szCs w:val="24"/>
        </w:rPr>
        <w:tab/>
        <w:t xml:space="preserve">Cui G, Stauffer BB, Imhoff BR, Rab A, Hong JS, Sorscher EJ, et al. VX-770-mediated potentiation of numerous human CFTR disease mutants is influenced by phosphorylation level. Sci Rep. 2019;9(1):1–17. </w:t>
      </w:r>
    </w:p>
    <w:p w14:paraId="3B16356E" w14:textId="77777777" w:rsidR="00E12EF3" w:rsidRPr="00E12EF3" w:rsidRDefault="00E12EF3" w:rsidP="00E12EF3">
      <w:pPr>
        <w:widowControl w:val="0"/>
        <w:autoSpaceDE w:val="0"/>
        <w:autoSpaceDN w:val="0"/>
        <w:adjustRightInd w:val="0"/>
        <w:ind w:left="640" w:hanging="640"/>
        <w:rPr>
          <w:rFonts w:ascii="Arial" w:hAnsi="Arial" w:cs="Arial"/>
          <w:noProof/>
        </w:rPr>
      </w:pPr>
      <w:r w:rsidRPr="00E12EF3">
        <w:rPr>
          <w:rFonts w:ascii="Arial" w:hAnsi="Arial" w:cs="Arial"/>
          <w:noProof/>
          <w:szCs w:val="24"/>
        </w:rPr>
        <w:t xml:space="preserve">27 </w:t>
      </w:r>
      <w:r w:rsidRPr="00E12EF3">
        <w:rPr>
          <w:rFonts w:ascii="Arial" w:hAnsi="Arial" w:cs="Arial"/>
          <w:noProof/>
          <w:szCs w:val="24"/>
        </w:rPr>
        <w:tab/>
        <w:t xml:space="preserve">Pyle LC, Ehrhardt A, Mitchell LH, Fan L, Ren A, Naren AP, et al. Regulatory domain phosphorylation to distinguish the mechanistic basis underlying acute CFTR modulators. Am J Physiol - Lung Cell Mol Physiol. 2011;301(4):587–97. </w:t>
      </w:r>
    </w:p>
    <w:p w14:paraId="6183E958" w14:textId="5EBF15F2" w:rsidR="00382687" w:rsidRPr="00FD2DD0" w:rsidRDefault="00BE28B9" w:rsidP="0098320F">
      <w:pPr>
        <w:pStyle w:val="Refhead"/>
        <w:spacing w:before="0" w:after="0"/>
        <w:jc w:val="both"/>
        <w:rPr>
          <w:rFonts w:ascii="Arial" w:hAnsi="Arial" w:cs="Arial"/>
          <w:b w:val="0"/>
        </w:rPr>
      </w:pPr>
      <w:r w:rsidRPr="00BE28B9">
        <w:rPr>
          <w:rFonts w:ascii="Arial" w:hAnsi="Arial" w:cs="Arial"/>
          <w:b w:val="0"/>
          <w:sz w:val="20"/>
        </w:rPr>
        <w:fldChar w:fldCharType="end"/>
      </w:r>
    </w:p>
    <w:sectPr w:rsidR="00382687" w:rsidRPr="00FD2DD0" w:rsidSect="00EC5B1B">
      <w:pgSz w:w="12240" w:h="15840"/>
      <w:pgMar w:top="1440" w:right="1440" w:bottom="1440" w:left="1440" w:header="432" w:footer="7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E5993A" w14:textId="77777777" w:rsidR="00727079" w:rsidRDefault="00727079" w:rsidP="004A10BE">
      <w:r>
        <w:separator/>
      </w:r>
    </w:p>
  </w:endnote>
  <w:endnote w:type="continuationSeparator" w:id="0">
    <w:p w14:paraId="30E19487" w14:textId="77777777" w:rsidR="00727079" w:rsidRDefault="00727079" w:rsidP="004A1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BlissRegular">
    <w:altName w:val="Cambria"/>
    <w:panose1 w:val="00000000000000000000"/>
    <w:charset w:val="00"/>
    <w:family w:val="roman"/>
    <w:notTrueType/>
    <w:pitch w:val="variable"/>
    <w:sig w:usb0="00000003" w:usb1="00000000" w:usb2="00000000" w:usb3="00000000" w:csb0="00000001" w:csb1="00000000"/>
  </w:font>
  <w:font w:name="BlissMedium">
    <w:altName w:val="Cambria"/>
    <w:panose1 w:val="00000000000000000000"/>
    <w:charset w:val="00"/>
    <w:family w:val="roman"/>
    <w:notTrueType/>
    <w:pitch w:val="variable"/>
    <w:sig w:usb0="00000003" w:usb1="00000000" w:usb2="00000000" w:usb3="00000000" w:csb0="00000001" w:csb1="00000000"/>
  </w:font>
  <w:font w:name="BlissBold">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839DAC" w14:textId="77777777" w:rsidR="00727079" w:rsidRDefault="00727079" w:rsidP="004A10BE">
      <w:r>
        <w:separator/>
      </w:r>
    </w:p>
  </w:footnote>
  <w:footnote w:type="continuationSeparator" w:id="0">
    <w:p w14:paraId="4F15D562" w14:textId="77777777" w:rsidR="00727079" w:rsidRDefault="00727079" w:rsidP="004A10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8306B6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2C0A9C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FF879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7B8AB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8FC95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C76FF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34C55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C06808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50088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8A39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78067D"/>
    <w:multiLevelType w:val="hybridMultilevel"/>
    <w:tmpl w:val="9FB67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61D"/>
    <w:rsid w:val="00011067"/>
    <w:rsid w:val="00023672"/>
    <w:rsid w:val="00067A6E"/>
    <w:rsid w:val="0008650E"/>
    <w:rsid w:val="000B5268"/>
    <w:rsid w:val="000C134D"/>
    <w:rsid w:val="000C4D0F"/>
    <w:rsid w:val="000D7228"/>
    <w:rsid w:val="000E4E26"/>
    <w:rsid w:val="00175CBB"/>
    <w:rsid w:val="00186DCD"/>
    <w:rsid w:val="001A3BF2"/>
    <w:rsid w:val="001C6EDA"/>
    <w:rsid w:val="001D19AF"/>
    <w:rsid w:val="00213053"/>
    <w:rsid w:val="00240A26"/>
    <w:rsid w:val="002657B0"/>
    <w:rsid w:val="00276A3E"/>
    <w:rsid w:val="002A6FB9"/>
    <w:rsid w:val="003202D7"/>
    <w:rsid w:val="00321A4F"/>
    <w:rsid w:val="003309A2"/>
    <w:rsid w:val="00376FB8"/>
    <w:rsid w:val="00382687"/>
    <w:rsid w:val="003B01C2"/>
    <w:rsid w:val="003D6AF9"/>
    <w:rsid w:val="003E0800"/>
    <w:rsid w:val="003E0A6E"/>
    <w:rsid w:val="00400A65"/>
    <w:rsid w:val="004940DD"/>
    <w:rsid w:val="004A10BE"/>
    <w:rsid w:val="004B386E"/>
    <w:rsid w:val="004F059E"/>
    <w:rsid w:val="00521E20"/>
    <w:rsid w:val="005341F3"/>
    <w:rsid w:val="00540789"/>
    <w:rsid w:val="0055199E"/>
    <w:rsid w:val="00552069"/>
    <w:rsid w:val="005633E2"/>
    <w:rsid w:val="005A4BFD"/>
    <w:rsid w:val="00623EFD"/>
    <w:rsid w:val="006359E6"/>
    <w:rsid w:val="0064261D"/>
    <w:rsid w:val="00664164"/>
    <w:rsid w:val="006A022D"/>
    <w:rsid w:val="006B6540"/>
    <w:rsid w:val="006E30D9"/>
    <w:rsid w:val="00727079"/>
    <w:rsid w:val="00741F08"/>
    <w:rsid w:val="007B2757"/>
    <w:rsid w:val="008573F1"/>
    <w:rsid w:val="00882953"/>
    <w:rsid w:val="008B220C"/>
    <w:rsid w:val="008D7795"/>
    <w:rsid w:val="008F3F37"/>
    <w:rsid w:val="0093733A"/>
    <w:rsid w:val="00943D39"/>
    <w:rsid w:val="00955C09"/>
    <w:rsid w:val="009624CA"/>
    <w:rsid w:val="00962AC5"/>
    <w:rsid w:val="00983034"/>
    <w:rsid w:val="0098320F"/>
    <w:rsid w:val="00990595"/>
    <w:rsid w:val="009B1602"/>
    <w:rsid w:val="009D5179"/>
    <w:rsid w:val="009D60E0"/>
    <w:rsid w:val="00A11FF8"/>
    <w:rsid w:val="00A161A3"/>
    <w:rsid w:val="00A30B08"/>
    <w:rsid w:val="00A37B06"/>
    <w:rsid w:val="00A624D9"/>
    <w:rsid w:val="00AA166E"/>
    <w:rsid w:val="00AB7B33"/>
    <w:rsid w:val="00AC4693"/>
    <w:rsid w:val="00AE3304"/>
    <w:rsid w:val="00B81F5B"/>
    <w:rsid w:val="00B97444"/>
    <w:rsid w:val="00BE28B9"/>
    <w:rsid w:val="00C917E9"/>
    <w:rsid w:val="00C9197A"/>
    <w:rsid w:val="00C93AD2"/>
    <w:rsid w:val="00CE3B9E"/>
    <w:rsid w:val="00D0079B"/>
    <w:rsid w:val="00D521D6"/>
    <w:rsid w:val="00D70D17"/>
    <w:rsid w:val="00E12EF3"/>
    <w:rsid w:val="00E4043D"/>
    <w:rsid w:val="00E435A8"/>
    <w:rsid w:val="00E62A5D"/>
    <w:rsid w:val="00E657B5"/>
    <w:rsid w:val="00E6724B"/>
    <w:rsid w:val="00E81A31"/>
    <w:rsid w:val="00E97871"/>
    <w:rsid w:val="00EC5B1B"/>
    <w:rsid w:val="00F623A9"/>
    <w:rsid w:val="00FA2894"/>
    <w:rsid w:val="00FB2A95"/>
    <w:rsid w:val="00FC1B25"/>
    <w:rsid w:val="00FD2DD0"/>
    <w:rsid w:val="00FD31B4"/>
    <w:rsid w:val="00FE47AD"/>
    <w:rsid w:val="00FF0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506B51"/>
  <w15:chartTrackingRefBased/>
  <w15:docId w15:val="{D5841FC5-35DA-4654-BA86-FDDFF8BC5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7F20"/>
  </w:style>
  <w:style w:type="paragraph" w:styleId="Heading1">
    <w:name w:val="heading 1"/>
    <w:basedOn w:val="Normal"/>
    <w:next w:val="Normal"/>
    <w:link w:val="Heading1Char"/>
    <w:uiPriority w:val="9"/>
    <w:qFormat/>
    <w:rsid w:val="0038268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Text">
    <w:name w:val="Base_Text"/>
    <w:rsid w:val="009A3899"/>
    <w:pPr>
      <w:spacing w:before="120"/>
    </w:pPr>
    <w:rPr>
      <w:rFonts w:eastAsia="Times New Roman"/>
      <w:sz w:val="24"/>
      <w:szCs w:val="24"/>
    </w:rPr>
  </w:style>
  <w:style w:type="paragraph" w:customStyle="1" w:styleId="1stparatext">
    <w:name w:val="1st para text"/>
    <w:basedOn w:val="BaseText"/>
    <w:rsid w:val="009A3899"/>
  </w:style>
  <w:style w:type="paragraph" w:customStyle="1" w:styleId="BaseHeading">
    <w:name w:val="Base_Heading"/>
    <w:rsid w:val="009A3899"/>
    <w:pPr>
      <w:keepNext/>
      <w:spacing w:before="240"/>
      <w:outlineLvl w:val="0"/>
    </w:pPr>
    <w:rPr>
      <w:rFonts w:eastAsia="Times New Roman"/>
      <w:kern w:val="28"/>
      <w:sz w:val="28"/>
      <w:szCs w:val="28"/>
    </w:rPr>
  </w:style>
  <w:style w:type="paragraph" w:customStyle="1" w:styleId="AbstractHead">
    <w:name w:val="Abstract Head"/>
    <w:basedOn w:val="BaseHeading"/>
    <w:rsid w:val="009A3899"/>
  </w:style>
  <w:style w:type="paragraph" w:customStyle="1" w:styleId="AbstractSummary">
    <w:name w:val="Abstract/Summary"/>
    <w:basedOn w:val="BaseText"/>
    <w:rsid w:val="009A3899"/>
  </w:style>
  <w:style w:type="paragraph" w:customStyle="1" w:styleId="Referencesandnotes">
    <w:name w:val="References and notes"/>
    <w:basedOn w:val="BaseText"/>
    <w:rsid w:val="009A3899"/>
    <w:pPr>
      <w:ind w:left="720" w:hanging="720"/>
    </w:pPr>
  </w:style>
  <w:style w:type="paragraph" w:customStyle="1" w:styleId="Acknowledgement">
    <w:name w:val="Acknowledgement"/>
    <w:basedOn w:val="Referencesandnotes"/>
    <w:rsid w:val="009A3899"/>
  </w:style>
  <w:style w:type="paragraph" w:customStyle="1" w:styleId="Subhead">
    <w:name w:val="Subhead"/>
    <w:basedOn w:val="BaseHeading"/>
    <w:rsid w:val="009A3899"/>
    <w:rPr>
      <w:b/>
      <w:bCs/>
      <w:sz w:val="24"/>
      <w:szCs w:val="24"/>
    </w:rPr>
  </w:style>
  <w:style w:type="paragraph" w:customStyle="1" w:styleId="AppendixHead">
    <w:name w:val="AppendixHead"/>
    <w:basedOn w:val="Subhead"/>
    <w:rsid w:val="009A3899"/>
  </w:style>
  <w:style w:type="paragraph" w:customStyle="1" w:styleId="AppendixSubhead">
    <w:name w:val="AppendixSubhead"/>
    <w:basedOn w:val="Subhead"/>
    <w:rsid w:val="009A3899"/>
  </w:style>
  <w:style w:type="paragraph" w:customStyle="1" w:styleId="Articletype">
    <w:name w:val="Article type"/>
    <w:basedOn w:val="BaseText"/>
    <w:rsid w:val="009A3899"/>
  </w:style>
  <w:style w:type="character" w:customStyle="1" w:styleId="aubase">
    <w:name w:val="au_base"/>
    <w:rsid w:val="009A3899"/>
    <w:rPr>
      <w:sz w:val="24"/>
    </w:rPr>
  </w:style>
  <w:style w:type="character" w:customStyle="1" w:styleId="aucollab">
    <w:name w:val="au_collab"/>
    <w:rsid w:val="009A3899"/>
    <w:rPr>
      <w:sz w:val="24"/>
      <w:bdr w:val="none" w:sz="0" w:space="0" w:color="auto"/>
      <w:shd w:val="clear" w:color="auto" w:fill="C0C0C0"/>
    </w:rPr>
  </w:style>
  <w:style w:type="character" w:customStyle="1" w:styleId="audeg">
    <w:name w:val="au_deg"/>
    <w:rsid w:val="009A3899"/>
    <w:rPr>
      <w:sz w:val="24"/>
      <w:bdr w:val="none" w:sz="0" w:space="0" w:color="auto"/>
      <w:shd w:val="clear" w:color="auto" w:fill="FFFF00"/>
    </w:rPr>
  </w:style>
  <w:style w:type="character" w:customStyle="1" w:styleId="aufname">
    <w:name w:val="au_fname"/>
    <w:rsid w:val="009A3899"/>
    <w:rPr>
      <w:sz w:val="24"/>
      <w:bdr w:val="none" w:sz="0" w:space="0" w:color="auto"/>
      <w:shd w:val="clear" w:color="auto" w:fill="00FFFF"/>
    </w:rPr>
  </w:style>
  <w:style w:type="character" w:customStyle="1" w:styleId="aurole">
    <w:name w:val="au_role"/>
    <w:rsid w:val="009A3899"/>
    <w:rPr>
      <w:sz w:val="24"/>
      <w:bdr w:val="none" w:sz="0" w:space="0" w:color="auto"/>
      <w:shd w:val="clear" w:color="auto" w:fill="808000"/>
    </w:rPr>
  </w:style>
  <w:style w:type="character" w:customStyle="1" w:styleId="ausuffix">
    <w:name w:val="au_suffix"/>
    <w:rsid w:val="009A3899"/>
    <w:rPr>
      <w:sz w:val="24"/>
      <w:bdr w:val="none" w:sz="0" w:space="0" w:color="auto"/>
      <w:shd w:val="clear" w:color="auto" w:fill="FF00FF"/>
    </w:rPr>
  </w:style>
  <w:style w:type="character" w:customStyle="1" w:styleId="ausurname">
    <w:name w:val="au_surname"/>
    <w:rsid w:val="009A3899"/>
    <w:rPr>
      <w:sz w:val="24"/>
      <w:bdr w:val="none" w:sz="0" w:space="0" w:color="auto"/>
      <w:shd w:val="clear" w:color="auto" w:fill="00FF00"/>
    </w:rPr>
  </w:style>
  <w:style w:type="paragraph" w:customStyle="1" w:styleId="AuthorAttribute">
    <w:name w:val="Author Attribute"/>
    <w:basedOn w:val="BaseText"/>
    <w:rsid w:val="009A3899"/>
    <w:pPr>
      <w:spacing w:before="480"/>
    </w:pPr>
  </w:style>
  <w:style w:type="paragraph" w:customStyle="1" w:styleId="Footnote">
    <w:name w:val="Footnote"/>
    <w:basedOn w:val="BaseText"/>
    <w:rsid w:val="009A3899"/>
  </w:style>
  <w:style w:type="paragraph" w:customStyle="1" w:styleId="AuthorFootnote">
    <w:name w:val="AuthorFootnote"/>
    <w:basedOn w:val="Footnote"/>
    <w:rsid w:val="009A3899"/>
    <w:pPr>
      <w:autoSpaceDE w:val="0"/>
      <w:autoSpaceDN w:val="0"/>
      <w:adjustRightInd w:val="0"/>
    </w:pPr>
    <w:rPr>
      <w:lang w:bidi="he-IL"/>
    </w:rPr>
  </w:style>
  <w:style w:type="paragraph" w:customStyle="1" w:styleId="Authors">
    <w:name w:val="Authors"/>
    <w:basedOn w:val="BaseText"/>
    <w:rsid w:val="009A3899"/>
    <w:pPr>
      <w:spacing w:after="360"/>
      <w:jc w:val="center"/>
    </w:pPr>
  </w:style>
  <w:style w:type="paragraph" w:styleId="BalloonText">
    <w:name w:val="Balloon Text"/>
    <w:basedOn w:val="Normal"/>
    <w:link w:val="BalloonTextChar"/>
    <w:semiHidden/>
    <w:rsid w:val="009A3899"/>
    <w:rPr>
      <w:rFonts w:ascii="Lucida Grande" w:eastAsia="Times New Roman" w:hAnsi="Lucida Grande"/>
      <w:sz w:val="18"/>
      <w:szCs w:val="18"/>
    </w:rPr>
  </w:style>
  <w:style w:type="character" w:customStyle="1" w:styleId="BalloonTextChar">
    <w:name w:val="Balloon Text Char"/>
    <w:link w:val="BalloonText"/>
    <w:semiHidden/>
    <w:rsid w:val="009A3899"/>
    <w:rPr>
      <w:rFonts w:ascii="Lucida Grande" w:eastAsia="Times New Roman" w:hAnsi="Lucida Grande"/>
      <w:sz w:val="18"/>
      <w:szCs w:val="18"/>
    </w:rPr>
  </w:style>
  <w:style w:type="character" w:customStyle="1" w:styleId="bibarticle">
    <w:name w:val="bib_article"/>
    <w:rsid w:val="009A3899"/>
    <w:rPr>
      <w:sz w:val="24"/>
      <w:bdr w:val="none" w:sz="0" w:space="0" w:color="auto"/>
      <w:shd w:val="clear" w:color="auto" w:fill="00FFFF"/>
    </w:rPr>
  </w:style>
  <w:style w:type="character" w:customStyle="1" w:styleId="bibbase">
    <w:name w:val="bib_base"/>
    <w:rsid w:val="009A3899"/>
    <w:rPr>
      <w:sz w:val="24"/>
    </w:rPr>
  </w:style>
  <w:style w:type="character" w:customStyle="1" w:styleId="bibcomment">
    <w:name w:val="bib_comment"/>
    <w:basedOn w:val="bibbase"/>
    <w:rsid w:val="009A3899"/>
    <w:rPr>
      <w:sz w:val="24"/>
    </w:rPr>
  </w:style>
  <w:style w:type="character" w:customStyle="1" w:styleId="bibdeg">
    <w:name w:val="bib_deg"/>
    <w:basedOn w:val="bibbase"/>
    <w:rsid w:val="009A3899"/>
    <w:rPr>
      <w:sz w:val="24"/>
    </w:rPr>
  </w:style>
  <w:style w:type="character" w:customStyle="1" w:styleId="bibdoi">
    <w:name w:val="bib_doi"/>
    <w:rsid w:val="009A3899"/>
    <w:rPr>
      <w:sz w:val="24"/>
      <w:bdr w:val="none" w:sz="0" w:space="0" w:color="auto"/>
      <w:shd w:val="clear" w:color="auto" w:fill="00FF00"/>
    </w:rPr>
  </w:style>
  <w:style w:type="character" w:customStyle="1" w:styleId="bibetal">
    <w:name w:val="bib_etal"/>
    <w:rsid w:val="009A3899"/>
    <w:rPr>
      <w:sz w:val="24"/>
      <w:bdr w:val="none" w:sz="0" w:space="0" w:color="auto"/>
      <w:shd w:val="clear" w:color="auto" w:fill="008080"/>
    </w:rPr>
  </w:style>
  <w:style w:type="character" w:customStyle="1" w:styleId="bibfname">
    <w:name w:val="bib_fname"/>
    <w:rsid w:val="009A3899"/>
    <w:rPr>
      <w:sz w:val="24"/>
      <w:bdr w:val="none" w:sz="0" w:space="0" w:color="auto"/>
      <w:shd w:val="clear" w:color="auto" w:fill="FFFF00"/>
    </w:rPr>
  </w:style>
  <w:style w:type="character" w:customStyle="1" w:styleId="bibfpage">
    <w:name w:val="bib_fpage"/>
    <w:rsid w:val="009A3899"/>
    <w:rPr>
      <w:sz w:val="24"/>
      <w:bdr w:val="none" w:sz="0" w:space="0" w:color="auto"/>
      <w:shd w:val="clear" w:color="auto" w:fill="808080"/>
    </w:rPr>
  </w:style>
  <w:style w:type="character" w:customStyle="1" w:styleId="bibissue">
    <w:name w:val="bib_issue"/>
    <w:rsid w:val="009A3899"/>
    <w:rPr>
      <w:sz w:val="24"/>
      <w:bdr w:val="none" w:sz="0" w:space="0" w:color="auto"/>
      <w:shd w:val="clear" w:color="auto" w:fill="FFFF00"/>
    </w:rPr>
  </w:style>
  <w:style w:type="character" w:customStyle="1" w:styleId="bibjournal">
    <w:name w:val="bib_journal"/>
    <w:rsid w:val="009A3899"/>
    <w:rPr>
      <w:sz w:val="24"/>
      <w:bdr w:val="none" w:sz="0" w:space="0" w:color="auto"/>
      <w:shd w:val="clear" w:color="auto" w:fill="808000"/>
    </w:rPr>
  </w:style>
  <w:style w:type="character" w:customStyle="1" w:styleId="biblpage">
    <w:name w:val="bib_lpage"/>
    <w:rsid w:val="009A3899"/>
    <w:rPr>
      <w:sz w:val="24"/>
      <w:bdr w:val="none" w:sz="0" w:space="0" w:color="auto"/>
      <w:shd w:val="clear" w:color="auto" w:fill="808080"/>
    </w:rPr>
  </w:style>
  <w:style w:type="character" w:customStyle="1" w:styleId="bibmedline">
    <w:name w:val="bib_medline"/>
    <w:basedOn w:val="bibbase"/>
    <w:rsid w:val="009A3899"/>
    <w:rPr>
      <w:sz w:val="24"/>
    </w:rPr>
  </w:style>
  <w:style w:type="character" w:customStyle="1" w:styleId="bibnumber">
    <w:name w:val="bib_number"/>
    <w:basedOn w:val="bibbase"/>
    <w:rsid w:val="009A3899"/>
    <w:rPr>
      <w:sz w:val="24"/>
    </w:rPr>
  </w:style>
  <w:style w:type="character" w:customStyle="1" w:styleId="biborganization">
    <w:name w:val="bib_organization"/>
    <w:rsid w:val="009A3899"/>
    <w:rPr>
      <w:sz w:val="24"/>
      <w:bdr w:val="none" w:sz="0" w:space="0" w:color="auto"/>
      <w:shd w:val="clear" w:color="auto" w:fill="808000"/>
    </w:rPr>
  </w:style>
  <w:style w:type="character" w:customStyle="1" w:styleId="bibsuffix">
    <w:name w:val="bib_suffix"/>
    <w:basedOn w:val="bibbase"/>
    <w:rsid w:val="009A3899"/>
    <w:rPr>
      <w:sz w:val="24"/>
    </w:rPr>
  </w:style>
  <w:style w:type="character" w:customStyle="1" w:styleId="bibsuppl">
    <w:name w:val="bib_suppl"/>
    <w:rsid w:val="009A3899"/>
    <w:rPr>
      <w:sz w:val="24"/>
      <w:bdr w:val="none" w:sz="0" w:space="0" w:color="auto"/>
      <w:shd w:val="clear" w:color="auto" w:fill="FFFF00"/>
    </w:rPr>
  </w:style>
  <w:style w:type="character" w:customStyle="1" w:styleId="bibsurname">
    <w:name w:val="bib_surname"/>
    <w:rsid w:val="009A3899"/>
    <w:rPr>
      <w:sz w:val="24"/>
      <w:bdr w:val="none" w:sz="0" w:space="0" w:color="auto"/>
      <w:shd w:val="clear" w:color="auto" w:fill="FFFF00"/>
    </w:rPr>
  </w:style>
  <w:style w:type="character" w:customStyle="1" w:styleId="bibunpubl">
    <w:name w:val="bib_unpubl"/>
    <w:basedOn w:val="bibbase"/>
    <w:rsid w:val="009A3899"/>
    <w:rPr>
      <w:sz w:val="24"/>
    </w:rPr>
  </w:style>
  <w:style w:type="character" w:customStyle="1" w:styleId="biburl">
    <w:name w:val="bib_url"/>
    <w:rsid w:val="009A3899"/>
    <w:rPr>
      <w:sz w:val="24"/>
      <w:bdr w:val="none" w:sz="0" w:space="0" w:color="auto"/>
      <w:shd w:val="clear" w:color="auto" w:fill="00FF00"/>
    </w:rPr>
  </w:style>
  <w:style w:type="character" w:customStyle="1" w:styleId="bibvolume">
    <w:name w:val="bib_volume"/>
    <w:rsid w:val="009A3899"/>
    <w:rPr>
      <w:sz w:val="24"/>
      <w:bdr w:val="none" w:sz="0" w:space="0" w:color="auto"/>
      <w:shd w:val="clear" w:color="auto" w:fill="00FF00"/>
    </w:rPr>
  </w:style>
  <w:style w:type="character" w:customStyle="1" w:styleId="bibyear">
    <w:name w:val="bib_year"/>
    <w:rsid w:val="009A3899"/>
    <w:rPr>
      <w:sz w:val="24"/>
      <w:bdr w:val="none" w:sz="0" w:space="0" w:color="auto"/>
      <w:shd w:val="clear" w:color="auto" w:fill="FF00FF"/>
    </w:rPr>
  </w:style>
  <w:style w:type="paragraph" w:customStyle="1" w:styleId="BookorMeetingInformation">
    <w:name w:val="Book or Meeting Information"/>
    <w:basedOn w:val="BaseText"/>
    <w:rsid w:val="009A3899"/>
  </w:style>
  <w:style w:type="paragraph" w:customStyle="1" w:styleId="BookInformation">
    <w:name w:val="BookInformation"/>
    <w:basedOn w:val="BaseText"/>
    <w:rsid w:val="009A3899"/>
  </w:style>
  <w:style w:type="paragraph" w:customStyle="1" w:styleId="Level2Head">
    <w:name w:val="Level 2 Head"/>
    <w:basedOn w:val="BaseHeading"/>
    <w:rsid w:val="009A3899"/>
    <w:pPr>
      <w:outlineLvl w:val="1"/>
    </w:pPr>
    <w:rPr>
      <w:i/>
      <w:iCs/>
      <w:sz w:val="24"/>
      <w:szCs w:val="24"/>
    </w:rPr>
  </w:style>
  <w:style w:type="paragraph" w:customStyle="1" w:styleId="BoxLevel2Head">
    <w:name w:val="BoxLevel 2 Head"/>
    <w:basedOn w:val="Level2Head"/>
    <w:rsid w:val="009A3899"/>
    <w:pPr>
      <w:shd w:val="clear" w:color="auto" w:fill="E6E6E6"/>
    </w:pPr>
  </w:style>
  <w:style w:type="paragraph" w:customStyle="1" w:styleId="BoxListUnnumbered">
    <w:name w:val="BoxListUnnumbered"/>
    <w:basedOn w:val="BaseText"/>
    <w:rsid w:val="009A3899"/>
    <w:pPr>
      <w:shd w:val="clear" w:color="auto" w:fill="E6E6E6"/>
      <w:ind w:left="1080" w:hanging="360"/>
    </w:pPr>
  </w:style>
  <w:style w:type="paragraph" w:customStyle="1" w:styleId="BoxList">
    <w:name w:val="BoxList"/>
    <w:basedOn w:val="BoxListUnnumbered"/>
    <w:rsid w:val="009A3899"/>
  </w:style>
  <w:style w:type="paragraph" w:customStyle="1" w:styleId="BoxSubhead">
    <w:name w:val="BoxSubhead"/>
    <w:basedOn w:val="Subhead"/>
    <w:rsid w:val="009A3899"/>
    <w:pPr>
      <w:shd w:val="clear" w:color="auto" w:fill="E6E6E6"/>
    </w:pPr>
  </w:style>
  <w:style w:type="paragraph" w:customStyle="1" w:styleId="Paragraph">
    <w:name w:val="Paragraph"/>
    <w:basedOn w:val="BaseText"/>
    <w:rsid w:val="009A3899"/>
    <w:pPr>
      <w:ind w:firstLine="720"/>
    </w:pPr>
  </w:style>
  <w:style w:type="paragraph" w:customStyle="1" w:styleId="BoxText">
    <w:name w:val="BoxText"/>
    <w:basedOn w:val="Paragraph"/>
    <w:rsid w:val="009A3899"/>
    <w:pPr>
      <w:shd w:val="clear" w:color="auto" w:fill="E6E6E6"/>
    </w:pPr>
  </w:style>
  <w:style w:type="paragraph" w:customStyle="1" w:styleId="BoxTitle">
    <w:name w:val="BoxTitle"/>
    <w:basedOn w:val="BaseHeading"/>
    <w:rsid w:val="009A3899"/>
    <w:pPr>
      <w:shd w:val="clear" w:color="auto" w:fill="E6E6E6"/>
    </w:pPr>
    <w:rPr>
      <w:b/>
      <w:sz w:val="24"/>
      <w:szCs w:val="24"/>
    </w:rPr>
  </w:style>
  <w:style w:type="paragraph" w:customStyle="1" w:styleId="BulletedText">
    <w:name w:val="Bulleted Text"/>
    <w:basedOn w:val="BaseText"/>
    <w:rsid w:val="009A3899"/>
    <w:pPr>
      <w:ind w:left="720" w:hanging="720"/>
    </w:pPr>
  </w:style>
  <w:style w:type="paragraph" w:customStyle="1" w:styleId="career-magazine">
    <w:name w:val="career-magazine"/>
    <w:basedOn w:val="BaseText"/>
    <w:rsid w:val="009A3899"/>
    <w:pPr>
      <w:jc w:val="right"/>
    </w:pPr>
    <w:rPr>
      <w:color w:val="FF0000"/>
    </w:rPr>
  </w:style>
  <w:style w:type="paragraph" w:customStyle="1" w:styleId="career-stage">
    <w:name w:val="career-stage"/>
    <w:basedOn w:val="BaseText"/>
    <w:rsid w:val="009A3899"/>
    <w:pPr>
      <w:jc w:val="right"/>
    </w:pPr>
    <w:rPr>
      <w:color w:val="339966"/>
    </w:rPr>
  </w:style>
  <w:style w:type="character" w:customStyle="1" w:styleId="citebase">
    <w:name w:val="cite_base"/>
    <w:rsid w:val="009A3899"/>
    <w:rPr>
      <w:sz w:val="24"/>
    </w:rPr>
  </w:style>
  <w:style w:type="character" w:customStyle="1" w:styleId="citebib">
    <w:name w:val="cite_bib"/>
    <w:rsid w:val="009A3899"/>
    <w:rPr>
      <w:sz w:val="24"/>
      <w:bdr w:val="none" w:sz="0" w:space="0" w:color="auto"/>
      <w:shd w:val="clear" w:color="auto" w:fill="00FFFF"/>
    </w:rPr>
  </w:style>
  <w:style w:type="character" w:customStyle="1" w:styleId="citebox">
    <w:name w:val="cite_box"/>
    <w:basedOn w:val="citebase"/>
    <w:rsid w:val="009A3899"/>
    <w:rPr>
      <w:sz w:val="24"/>
    </w:rPr>
  </w:style>
  <w:style w:type="character" w:customStyle="1" w:styleId="citeen">
    <w:name w:val="cite_en"/>
    <w:rsid w:val="009A3899"/>
    <w:rPr>
      <w:sz w:val="24"/>
      <w:shd w:val="clear" w:color="auto" w:fill="FFFF00"/>
      <w:vertAlign w:val="superscript"/>
    </w:rPr>
  </w:style>
  <w:style w:type="character" w:customStyle="1" w:styleId="citeeq">
    <w:name w:val="cite_eq"/>
    <w:rsid w:val="009A3899"/>
    <w:rPr>
      <w:sz w:val="24"/>
      <w:bdr w:val="none" w:sz="0" w:space="0" w:color="auto"/>
      <w:shd w:val="clear" w:color="auto" w:fill="FF99CC"/>
    </w:rPr>
  </w:style>
  <w:style w:type="character" w:customStyle="1" w:styleId="citefig">
    <w:name w:val="cite_fig"/>
    <w:rsid w:val="009A3899"/>
    <w:rPr>
      <w:color w:val="000000"/>
      <w:sz w:val="24"/>
      <w:bdr w:val="none" w:sz="0" w:space="0" w:color="auto"/>
      <w:shd w:val="clear" w:color="auto" w:fill="00FF00"/>
    </w:rPr>
  </w:style>
  <w:style w:type="character" w:customStyle="1" w:styleId="citefn">
    <w:name w:val="cite_fn"/>
    <w:rsid w:val="009A3899"/>
    <w:rPr>
      <w:sz w:val="24"/>
      <w:bdr w:val="none" w:sz="0" w:space="0" w:color="auto"/>
      <w:shd w:val="clear" w:color="auto" w:fill="FF0000"/>
    </w:rPr>
  </w:style>
  <w:style w:type="character" w:customStyle="1" w:styleId="citetbl">
    <w:name w:val="cite_tbl"/>
    <w:rsid w:val="009A3899"/>
    <w:rPr>
      <w:color w:val="000000"/>
      <w:sz w:val="24"/>
      <w:bdr w:val="none" w:sz="0" w:space="0" w:color="auto"/>
      <w:shd w:val="clear" w:color="auto" w:fill="FF00FF"/>
    </w:rPr>
  </w:style>
  <w:style w:type="character" w:styleId="CommentReference">
    <w:name w:val="annotation reference"/>
    <w:rsid w:val="009A3899"/>
    <w:rPr>
      <w:sz w:val="18"/>
      <w:szCs w:val="18"/>
    </w:rPr>
  </w:style>
  <w:style w:type="paragraph" w:styleId="CommentText">
    <w:name w:val="annotation text"/>
    <w:basedOn w:val="Normal"/>
    <w:link w:val="CommentTextChar"/>
    <w:semiHidden/>
    <w:rsid w:val="009A3899"/>
    <w:rPr>
      <w:rFonts w:eastAsia="Times New Roman"/>
    </w:rPr>
  </w:style>
  <w:style w:type="character" w:customStyle="1" w:styleId="CommentTextChar">
    <w:name w:val="Comment Text Char"/>
    <w:link w:val="CommentText"/>
    <w:semiHidden/>
    <w:rsid w:val="009A3899"/>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9A3899"/>
    <w:rPr>
      <w:b/>
      <w:bCs/>
    </w:rPr>
  </w:style>
  <w:style w:type="character" w:customStyle="1" w:styleId="CommentSubjectChar">
    <w:name w:val="Comment Subject Char"/>
    <w:link w:val="CommentSubject"/>
    <w:uiPriority w:val="99"/>
    <w:semiHidden/>
    <w:rsid w:val="009A3899"/>
    <w:rPr>
      <w:rFonts w:ascii="Times New Roman" w:eastAsia="Times New Roman" w:hAnsi="Times New Roman"/>
      <w:b/>
      <w:bCs/>
      <w:sz w:val="20"/>
      <w:szCs w:val="20"/>
    </w:rPr>
  </w:style>
  <w:style w:type="paragraph" w:customStyle="1" w:styleId="ContinuedParagraph">
    <w:name w:val="ContinuedParagraph"/>
    <w:basedOn w:val="Paragraph"/>
    <w:rsid w:val="009A3899"/>
    <w:pPr>
      <w:ind w:firstLine="0"/>
    </w:pPr>
  </w:style>
  <w:style w:type="character" w:customStyle="1" w:styleId="ContractNumber">
    <w:name w:val="Contract Number"/>
    <w:rsid w:val="009A3899"/>
    <w:rPr>
      <w:sz w:val="24"/>
      <w:szCs w:val="24"/>
      <w:bdr w:val="none" w:sz="0" w:space="0" w:color="auto"/>
      <w:shd w:val="clear" w:color="auto" w:fill="CCFFCC"/>
    </w:rPr>
  </w:style>
  <w:style w:type="character" w:customStyle="1" w:styleId="ContractSponsor">
    <w:name w:val="Contract Sponsor"/>
    <w:rsid w:val="009A3899"/>
    <w:rPr>
      <w:sz w:val="24"/>
      <w:szCs w:val="24"/>
      <w:bdr w:val="none" w:sz="0" w:space="0" w:color="auto"/>
      <w:shd w:val="clear" w:color="auto" w:fill="FFCC99"/>
    </w:rPr>
  </w:style>
  <w:style w:type="paragraph" w:customStyle="1" w:styleId="Correspondence">
    <w:name w:val="Correspondence"/>
    <w:basedOn w:val="BaseText"/>
    <w:rsid w:val="009A3899"/>
    <w:pPr>
      <w:spacing w:before="0" w:after="240"/>
    </w:pPr>
  </w:style>
  <w:style w:type="paragraph" w:customStyle="1" w:styleId="DateAccepted">
    <w:name w:val="Date Accepted"/>
    <w:basedOn w:val="BaseText"/>
    <w:rsid w:val="009A3899"/>
    <w:pPr>
      <w:spacing w:before="360"/>
    </w:pPr>
  </w:style>
  <w:style w:type="paragraph" w:customStyle="1" w:styleId="Deck">
    <w:name w:val="Deck"/>
    <w:basedOn w:val="BaseHeading"/>
    <w:rsid w:val="009A3899"/>
    <w:pPr>
      <w:outlineLvl w:val="1"/>
    </w:pPr>
  </w:style>
  <w:style w:type="paragraph" w:customStyle="1" w:styleId="DefTerm">
    <w:name w:val="DefTerm"/>
    <w:basedOn w:val="BaseText"/>
    <w:rsid w:val="009A3899"/>
    <w:pPr>
      <w:ind w:left="720"/>
    </w:pPr>
  </w:style>
  <w:style w:type="paragraph" w:customStyle="1" w:styleId="Definition">
    <w:name w:val="Definition"/>
    <w:basedOn w:val="DefTerm"/>
    <w:rsid w:val="009A3899"/>
    <w:pPr>
      <w:ind w:left="1080" w:hanging="360"/>
    </w:pPr>
  </w:style>
  <w:style w:type="paragraph" w:customStyle="1" w:styleId="DefListTitle">
    <w:name w:val="DefListTitle"/>
    <w:basedOn w:val="BaseHeading"/>
    <w:rsid w:val="009A3899"/>
  </w:style>
  <w:style w:type="paragraph" w:customStyle="1" w:styleId="discipline">
    <w:name w:val="discipline"/>
    <w:basedOn w:val="BaseText"/>
    <w:rsid w:val="009A3899"/>
    <w:pPr>
      <w:jc w:val="right"/>
    </w:pPr>
    <w:rPr>
      <w:color w:val="993366"/>
    </w:rPr>
  </w:style>
  <w:style w:type="paragraph" w:customStyle="1" w:styleId="Editors">
    <w:name w:val="Editors"/>
    <w:basedOn w:val="Authors"/>
    <w:rsid w:val="009A3899"/>
  </w:style>
  <w:style w:type="character" w:styleId="Emphasis">
    <w:name w:val="Emphasis"/>
    <w:uiPriority w:val="20"/>
    <w:qFormat/>
    <w:rsid w:val="009A3899"/>
    <w:rPr>
      <w:i/>
      <w:iCs/>
    </w:rPr>
  </w:style>
  <w:style w:type="character" w:styleId="EndnoteReference">
    <w:name w:val="endnote reference"/>
    <w:semiHidden/>
    <w:rsid w:val="009A3899"/>
    <w:rPr>
      <w:vertAlign w:val="superscript"/>
    </w:rPr>
  </w:style>
  <w:style w:type="paragraph" w:styleId="EndnoteText">
    <w:name w:val="endnote text"/>
    <w:basedOn w:val="Normal"/>
    <w:link w:val="EndnoteTextChar"/>
    <w:semiHidden/>
    <w:rsid w:val="009A3899"/>
    <w:rPr>
      <w:rFonts w:ascii="Cambria" w:eastAsia="Cambria" w:hAnsi="Cambria"/>
    </w:rPr>
  </w:style>
  <w:style w:type="character" w:customStyle="1" w:styleId="EndnoteTextChar">
    <w:name w:val="Endnote Text Char"/>
    <w:link w:val="EndnoteText"/>
    <w:semiHidden/>
    <w:rsid w:val="009A3899"/>
    <w:rPr>
      <w:rFonts w:ascii="Cambria" w:eastAsia="Cambria" w:hAnsi="Cambria"/>
      <w:sz w:val="20"/>
      <w:szCs w:val="20"/>
    </w:rPr>
  </w:style>
  <w:style w:type="character" w:customStyle="1" w:styleId="eqno">
    <w:name w:val="eq_no"/>
    <w:basedOn w:val="citebase"/>
    <w:rsid w:val="009A3899"/>
    <w:rPr>
      <w:sz w:val="24"/>
    </w:rPr>
  </w:style>
  <w:style w:type="paragraph" w:customStyle="1" w:styleId="Equation">
    <w:name w:val="Equation"/>
    <w:basedOn w:val="BaseText"/>
    <w:rsid w:val="009A3899"/>
    <w:pPr>
      <w:jc w:val="center"/>
    </w:pPr>
  </w:style>
  <w:style w:type="paragraph" w:customStyle="1" w:styleId="FieldCodes">
    <w:name w:val="FieldCodes"/>
    <w:basedOn w:val="BaseText"/>
    <w:rsid w:val="009A3899"/>
  </w:style>
  <w:style w:type="paragraph" w:customStyle="1" w:styleId="Legend">
    <w:name w:val="Legend"/>
    <w:basedOn w:val="BaseHeading"/>
    <w:rsid w:val="009A3899"/>
    <w:rPr>
      <w:sz w:val="24"/>
      <w:szCs w:val="24"/>
    </w:rPr>
  </w:style>
  <w:style w:type="paragraph" w:customStyle="1" w:styleId="FigureCopyright">
    <w:name w:val="FigureCopyright"/>
    <w:basedOn w:val="Legend"/>
    <w:rsid w:val="009A3899"/>
    <w:pPr>
      <w:autoSpaceDE w:val="0"/>
      <w:autoSpaceDN w:val="0"/>
      <w:adjustRightInd w:val="0"/>
      <w:spacing w:before="80"/>
    </w:pPr>
    <w:rPr>
      <w:lang w:bidi="he-IL"/>
    </w:rPr>
  </w:style>
  <w:style w:type="paragraph" w:customStyle="1" w:styleId="FigureCredit">
    <w:name w:val="FigureCredit"/>
    <w:basedOn w:val="FigureCopyright"/>
    <w:rsid w:val="009A3899"/>
  </w:style>
  <w:style w:type="character" w:styleId="FollowedHyperlink">
    <w:name w:val="FollowedHyperlink"/>
    <w:rsid w:val="009A3899"/>
    <w:rPr>
      <w:color w:val="800080"/>
      <w:u w:val="single"/>
    </w:rPr>
  </w:style>
  <w:style w:type="paragraph" w:styleId="Footer">
    <w:name w:val="footer"/>
    <w:basedOn w:val="Normal"/>
    <w:link w:val="FooterChar"/>
    <w:rsid w:val="009A3899"/>
    <w:pPr>
      <w:tabs>
        <w:tab w:val="center" w:pos="4320"/>
        <w:tab w:val="right" w:pos="8640"/>
      </w:tabs>
    </w:pPr>
    <w:rPr>
      <w:rFonts w:eastAsia="Times New Roman"/>
    </w:rPr>
  </w:style>
  <w:style w:type="character" w:customStyle="1" w:styleId="FooterChar">
    <w:name w:val="Footer Char"/>
    <w:link w:val="Footer"/>
    <w:rsid w:val="009A3899"/>
    <w:rPr>
      <w:rFonts w:ascii="Times New Roman" w:eastAsia="Times New Roman" w:hAnsi="Times New Roman"/>
      <w:sz w:val="20"/>
      <w:szCs w:val="20"/>
    </w:rPr>
  </w:style>
  <w:style w:type="character" w:styleId="FootnoteReference">
    <w:name w:val="footnote reference"/>
    <w:semiHidden/>
    <w:rsid w:val="009A3899"/>
    <w:rPr>
      <w:vertAlign w:val="superscript"/>
    </w:rPr>
  </w:style>
  <w:style w:type="paragraph" w:customStyle="1" w:styleId="Gloss">
    <w:name w:val="Gloss"/>
    <w:basedOn w:val="AbstractSummary"/>
    <w:rsid w:val="009A3899"/>
  </w:style>
  <w:style w:type="paragraph" w:customStyle="1" w:styleId="Glossary">
    <w:name w:val="Glossary"/>
    <w:basedOn w:val="BaseText"/>
    <w:rsid w:val="009A3899"/>
  </w:style>
  <w:style w:type="paragraph" w:customStyle="1" w:styleId="GlossHead">
    <w:name w:val="GlossHead"/>
    <w:basedOn w:val="AbstractHead"/>
    <w:rsid w:val="009A3899"/>
  </w:style>
  <w:style w:type="paragraph" w:customStyle="1" w:styleId="GraphicAltText">
    <w:name w:val="GraphicAltText"/>
    <w:basedOn w:val="Legend"/>
    <w:rsid w:val="009A3899"/>
    <w:pPr>
      <w:autoSpaceDE w:val="0"/>
      <w:autoSpaceDN w:val="0"/>
      <w:adjustRightInd w:val="0"/>
    </w:pPr>
  </w:style>
  <w:style w:type="paragraph" w:customStyle="1" w:styleId="GraphicCredit">
    <w:name w:val="GraphicCredit"/>
    <w:basedOn w:val="FigureCredit"/>
    <w:rsid w:val="009A3899"/>
  </w:style>
  <w:style w:type="paragraph" w:customStyle="1" w:styleId="Head">
    <w:name w:val="Head"/>
    <w:basedOn w:val="BaseHeading"/>
    <w:rsid w:val="009A3899"/>
    <w:pPr>
      <w:spacing w:before="120" w:after="120"/>
      <w:jc w:val="center"/>
    </w:pPr>
    <w:rPr>
      <w:b/>
      <w:bCs/>
    </w:rPr>
  </w:style>
  <w:style w:type="paragraph" w:styleId="Header">
    <w:name w:val="header"/>
    <w:basedOn w:val="Normal"/>
    <w:link w:val="HeaderChar"/>
    <w:rsid w:val="009A3899"/>
    <w:pPr>
      <w:tabs>
        <w:tab w:val="center" w:pos="4320"/>
        <w:tab w:val="right" w:pos="8640"/>
      </w:tabs>
    </w:pPr>
    <w:rPr>
      <w:rFonts w:eastAsia="Times New Roman"/>
    </w:rPr>
  </w:style>
  <w:style w:type="character" w:customStyle="1" w:styleId="HeaderChar">
    <w:name w:val="Header Char"/>
    <w:link w:val="Header"/>
    <w:rsid w:val="009A3899"/>
    <w:rPr>
      <w:rFonts w:ascii="Times New Roman" w:eastAsia="Times New Roman" w:hAnsi="Times New Roman"/>
      <w:sz w:val="20"/>
      <w:szCs w:val="20"/>
    </w:rPr>
  </w:style>
  <w:style w:type="character" w:styleId="HTMLAcronym">
    <w:name w:val="HTML Acronym"/>
    <w:basedOn w:val="DefaultParagraphFont"/>
    <w:rsid w:val="009A3899"/>
  </w:style>
  <w:style w:type="character" w:styleId="HTMLCite">
    <w:name w:val="HTML Cite"/>
    <w:rsid w:val="009A3899"/>
    <w:rPr>
      <w:i/>
      <w:iCs/>
    </w:rPr>
  </w:style>
  <w:style w:type="character" w:styleId="HTMLCode">
    <w:name w:val="HTML Code"/>
    <w:rsid w:val="009A3899"/>
    <w:rPr>
      <w:rFonts w:ascii="Courier New" w:hAnsi="Courier New" w:cs="Courier New"/>
      <w:sz w:val="20"/>
      <w:szCs w:val="20"/>
    </w:rPr>
  </w:style>
  <w:style w:type="character" w:styleId="HTMLDefinition">
    <w:name w:val="HTML Definition"/>
    <w:rsid w:val="009A3899"/>
    <w:rPr>
      <w:i/>
      <w:iCs/>
    </w:rPr>
  </w:style>
  <w:style w:type="character" w:styleId="HTMLKeyboard">
    <w:name w:val="HTML Keyboard"/>
    <w:rsid w:val="009A3899"/>
    <w:rPr>
      <w:rFonts w:ascii="Courier New" w:hAnsi="Courier New" w:cs="Courier New"/>
      <w:sz w:val="20"/>
      <w:szCs w:val="20"/>
    </w:rPr>
  </w:style>
  <w:style w:type="paragraph" w:styleId="HTMLPreformatted">
    <w:name w:val="HTML Preformatted"/>
    <w:basedOn w:val="Normal"/>
    <w:link w:val="HTMLPreformattedChar"/>
    <w:rsid w:val="009A3899"/>
    <w:rPr>
      <w:rFonts w:ascii="Consolas" w:eastAsia="Times New Roman" w:hAnsi="Consolas"/>
    </w:rPr>
  </w:style>
  <w:style w:type="character" w:customStyle="1" w:styleId="HTMLPreformattedChar">
    <w:name w:val="HTML Preformatted Char"/>
    <w:link w:val="HTMLPreformatted"/>
    <w:rsid w:val="009A3899"/>
    <w:rPr>
      <w:rFonts w:ascii="Consolas" w:eastAsia="Times New Roman" w:hAnsi="Consolas"/>
      <w:sz w:val="20"/>
      <w:szCs w:val="20"/>
    </w:rPr>
  </w:style>
  <w:style w:type="character" w:styleId="HTMLSample">
    <w:name w:val="HTML Sample"/>
    <w:rsid w:val="009A3899"/>
    <w:rPr>
      <w:rFonts w:ascii="Courier New" w:hAnsi="Courier New" w:cs="Courier New"/>
    </w:rPr>
  </w:style>
  <w:style w:type="character" w:styleId="HTMLTypewriter">
    <w:name w:val="HTML Typewriter"/>
    <w:rsid w:val="009A3899"/>
    <w:rPr>
      <w:rFonts w:ascii="Courier New" w:hAnsi="Courier New" w:cs="Courier New"/>
      <w:sz w:val="20"/>
      <w:szCs w:val="20"/>
    </w:rPr>
  </w:style>
  <w:style w:type="character" w:styleId="HTMLVariable">
    <w:name w:val="HTML Variable"/>
    <w:rsid w:val="009A3899"/>
    <w:rPr>
      <w:i/>
      <w:iCs/>
    </w:rPr>
  </w:style>
  <w:style w:type="character" w:styleId="Hyperlink">
    <w:name w:val="Hyperlink"/>
    <w:rsid w:val="009A3899"/>
    <w:rPr>
      <w:color w:val="0000FF"/>
      <w:u w:val="single"/>
    </w:rPr>
  </w:style>
  <w:style w:type="paragraph" w:customStyle="1" w:styleId="InstructionsText">
    <w:name w:val="Instructions Text"/>
    <w:basedOn w:val="BaseText"/>
    <w:rsid w:val="009A3899"/>
  </w:style>
  <w:style w:type="paragraph" w:customStyle="1" w:styleId="Overline">
    <w:name w:val="Overline"/>
    <w:basedOn w:val="BaseText"/>
    <w:rsid w:val="009A3899"/>
  </w:style>
  <w:style w:type="paragraph" w:customStyle="1" w:styleId="IssueName">
    <w:name w:val="IssueName"/>
    <w:basedOn w:val="Overline"/>
    <w:rsid w:val="009A3899"/>
  </w:style>
  <w:style w:type="paragraph" w:customStyle="1" w:styleId="Keywords">
    <w:name w:val="Keywords"/>
    <w:basedOn w:val="BaseText"/>
    <w:rsid w:val="009A3899"/>
  </w:style>
  <w:style w:type="paragraph" w:customStyle="1" w:styleId="Level3Head">
    <w:name w:val="Level 3 Head"/>
    <w:basedOn w:val="BaseHeading"/>
    <w:rsid w:val="009A3899"/>
    <w:pPr>
      <w:outlineLvl w:val="2"/>
    </w:pPr>
    <w:rPr>
      <w:sz w:val="24"/>
      <w:szCs w:val="24"/>
      <w:u w:val="single"/>
    </w:rPr>
  </w:style>
  <w:style w:type="paragraph" w:customStyle="1" w:styleId="Level4Head">
    <w:name w:val="Level 4 Head"/>
    <w:basedOn w:val="BaseHeading"/>
    <w:rsid w:val="009A3899"/>
    <w:pPr>
      <w:ind w:left="346"/>
    </w:pPr>
    <w:rPr>
      <w:sz w:val="24"/>
      <w:szCs w:val="24"/>
    </w:rPr>
  </w:style>
  <w:style w:type="character" w:styleId="LineNumber">
    <w:name w:val="line number"/>
    <w:basedOn w:val="DefaultParagraphFont"/>
    <w:rsid w:val="00FD2DD0"/>
    <w:rPr>
      <w:rFonts w:ascii="Arial" w:hAnsi="Arial"/>
      <w:sz w:val="20"/>
    </w:rPr>
  </w:style>
  <w:style w:type="paragraph" w:customStyle="1" w:styleId="Literaryquote">
    <w:name w:val="Literary quote"/>
    <w:basedOn w:val="BaseText"/>
    <w:rsid w:val="009A3899"/>
    <w:pPr>
      <w:ind w:left="1440" w:right="1440"/>
    </w:pPr>
  </w:style>
  <w:style w:type="paragraph" w:customStyle="1" w:styleId="MaterialsText">
    <w:name w:val="Materials Text"/>
    <w:basedOn w:val="BaseText"/>
    <w:rsid w:val="009A3899"/>
  </w:style>
  <w:style w:type="paragraph" w:customStyle="1" w:styleId="NoteInProof">
    <w:name w:val="NoteInProof"/>
    <w:basedOn w:val="BaseText"/>
    <w:rsid w:val="009A3899"/>
  </w:style>
  <w:style w:type="paragraph" w:customStyle="1" w:styleId="Notes">
    <w:name w:val="Notes"/>
    <w:basedOn w:val="BaseText"/>
    <w:rsid w:val="009A3899"/>
    <w:rPr>
      <w:i/>
    </w:rPr>
  </w:style>
  <w:style w:type="paragraph" w:customStyle="1" w:styleId="Notes-Helvetica">
    <w:name w:val="Notes-Helvetica"/>
    <w:basedOn w:val="BaseText"/>
    <w:rsid w:val="009A3899"/>
    <w:rPr>
      <w:i/>
    </w:rPr>
  </w:style>
  <w:style w:type="paragraph" w:customStyle="1" w:styleId="NumberedInstructions">
    <w:name w:val="Numbered Instructions"/>
    <w:basedOn w:val="BaseText"/>
    <w:rsid w:val="009A3899"/>
  </w:style>
  <w:style w:type="paragraph" w:customStyle="1" w:styleId="OutlineLevel1">
    <w:name w:val="OutlineLevel1"/>
    <w:basedOn w:val="BaseHeading"/>
    <w:rsid w:val="009A3899"/>
    <w:rPr>
      <w:b/>
      <w:bCs/>
    </w:rPr>
  </w:style>
  <w:style w:type="paragraph" w:customStyle="1" w:styleId="OutlineLevel2">
    <w:name w:val="OutlineLevel2"/>
    <w:basedOn w:val="BaseHeading"/>
    <w:rsid w:val="009A3899"/>
    <w:pPr>
      <w:ind w:left="360"/>
      <w:outlineLvl w:val="1"/>
    </w:pPr>
    <w:rPr>
      <w:b/>
      <w:bCs/>
      <w:sz w:val="24"/>
      <w:szCs w:val="24"/>
    </w:rPr>
  </w:style>
  <w:style w:type="paragraph" w:customStyle="1" w:styleId="OutlineLevel3">
    <w:name w:val="OutlineLevel3"/>
    <w:basedOn w:val="BaseHeading"/>
    <w:rsid w:val="009A3899"/>
    <w:pPr>
      <w:ind w:left="720"/>
      <w:outlineLvl w:val="2"/>
    </w:pPr>
    <w:rPr>
      <w:b/>
      <w:bCs/>
      <w:sz w:val="24"/>
      <w:szCs w:val="24"/>
    </w:rPr>
  </w:style>
  <w:style w:type="character" w:styleId="PageNumber">
    <w:name w:val="page number"/>
    <w:basedOn w:val="DefaultParagraphFont"/>
    <w:rsid w:val="009A3899"/>
  </w:style>
  <w:style w:type="paragraph" w:customStyle="1" w:styleId="Preformat">
    <w:name w:val="Preformat"/>
    <w:basedOn w:val="BaseText"/>
    <w:rsid w:val="009A3899"/>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9A3899"/>
  </w:style>
  <w:style w:type="paragraph" w:customStyle="1" w:styleId="ProductInformation">
    <w:name w:val="ProductInformation"/>
    <w:basedOn w:val="BaseText"/>
    <w:rsid w:val="009A3899"/>
  </w:style>
  <w:style w:type="paragraph" w:customStyle="1" w:styleId="ProductTitle">
    <w:name w:val="ProductTitle"/>
    <w:basedOn w:val="BaseText"/>
    <w:rsid w:val="009A3899"/>
    <w:rPr>
      <w:b/>
      <w:bCs/>
    </w:rPr>
  </w:style>
  <w:style w:type="paragraph" w:customStyle="1" w:styleId="PublishedOnline">
    <w:name w:val="Published Online"/>
    <w:basedOn w:val="DateAccepted"/>
    <w:rsid w:val="009A3899"/>
  </w:style>
  <w:style w:type="paragraph" w:customStyle="1" w:styleId="RecipeMaterials">
    <w:name w:val="Recipe Materials"/>
    <w:basedOn w:val="BaseText"/>
    <w:rsid w:val="009A3899"/>
  </w:style>
  <w:style w:type="paragraph" w:customStyle="1" w:styleId="Refhead">
    <w:name w:val="Ref head"/>
    <w:basedOn w:val="BaseHeading"/>
    <w:rsid w:val="009A3899"/>
    <w:pPr>
      <w:spacing w:before="120" w:after="120"/>
    </w:pPr>
    <w:rPr>
      <w:b/>
      <w:bCs/>
      <w:sz w:val="24"/>
      <w:szCs w:val="24"/>
    </w:rPr>
  </w:style>
  <w:style w:type="paragraph" w:customStyle="1" w:styleId="ReferenceNote">
    <w:name w:val="Reference Note"/>
    <w:basedOn w:val="Referencesandnotes"/>
    <w:rsid w:val="009A3899"/>
  </w:style>
  <w:style w:type="paragraph" w:customStyle="1" w:styleId="ReferencesandnotesLong">
    <w:name w:val="References and notes Long"/>
    <w:basedOn w:val="BaseText"/>
    <w:rsid w:val="009A3899"/>
    <w:pPr>
      <w:ind w:left="720" w:hanging="720"/>
    </w:pPr>
  </w:style>
  <w:style w:type="paragraph" w:customStyle="1" w:styleId="region">
    <w:name w:val="region"/>
    <w:basedOn w:val="BaseText"/>
    <w:rsid w:val="009A3899"/>
    <w:pPr>
      <w:jc w:val="right"/>
    </w:pPr>
    <w:rPr>
      <w:color w:val="0000FF"/>
    </w:rPr>
  </w:style>
  <w:style w:type="paragraph" w:customStyle="1" w:styleId="RelatedArticle">
    <w:name w:val="RelatedArticle"/>
    <w:basedOn w:val="Referencesandnotes"/>
    <w:rsid w:val="009A3899"/>
  </w:style>
  <w:style w:type="paragraph" w:customStyle="1" w:styleId="RunHead">
    <w:name w:val="RunHead"/>
    <w:basedOn w:val="BaseText"/>
    <w:rsid w:val="009A3899"/>
  </w:style>
  <w:style w:type="paragraph" w:customStyle="1" w:styleId="SOMContent">
    <w:name w:val="SOMContent"/>
    <w:basedOn w:val="1stparatext"/>
    <w:rsid w:val="009A3899"/>
  </w:style>
  <w:style w:type="paragraph" w:customStyle="1" w:styleId="SOMHead">
    <w:name w:val="SOMHead"/>
    <w:basedOn w:val="BaseHeading"/>
    <w:rsid w:val="009A3899"/>
    <w:rPr>
      <w:b/>
      <w:sz w:val="24"/>
      <w:szCs w:val="24"/>
    </w:rPr>
  </w:style>
  <w:style w:type="paragraph" w:customStyle="1" w:styleId="Speaker">
    <w:name w:val="Speaker"/>
    <w:basedOn w:val="Paragraph"/>
    <w:rsid w:val="009A3899"/>
    <w:pPr>
      <w:autoSpaceDE w:val="0"/>
      <w:autoSpaceDN w:val="0"/>
      <w:adjustRightInd w:val="0"/>
    </w:pPr>
    <w:rPr>
      <w:b/>
      <w:lang w:bidi="he-IL"/>
    </w:rPr>
  </w:style>
  <w:style w:type="paragraph" w:customStyle="1" w:styleId="Speech">
    <w:name w:val="Speech"/>
    <w:basedOn w:val="Paragraph"/>
    <w:rsid w:val="009A3899"/>
    <w:pPr>
      <w:autoSpaceDE w:val="0"/>
      <w:autoSpaceDN w:val="0"/>
      <w:adjustRightInd w:val="0"/>
    </w:pPr>
    <w:rPr>
      <w:lang w:bidi="he-IL"/>
    </w:rPr>
  </w:style>
  <w:style w:type="character" w:styleId="Strong">
    <w:name w:val="Strong"/>
    <w:uiPriority w:val="22"/>
    <w:qFormat/>
    <w:rsid w:val="009A3899"/>
    <w:rPr>
      <w:b/>
      <w:bCs/>
    </w:rPr>
  </w:style>
  <w:style w:type="paragraph" w:customStyle="1" w:styleId="SX-Abstract">
    <w:name w:val="SX-Abstract"/>
    <w:basedOn w:val="Normal"/>
    <w:qFormat/>
    <w:rsid w:val="009A3899"/>
    <w:pPr>
      <w:widowControl w:val="0"/>
      <w:spacing w:before="120" w:after="240" w:line="210" w:lineRule="exact"/>
      <w:ind w:left="700" w:right="700"/>
      <w:jc w:val="both"/>
    </w:pPr>
    <w:rPr>
      <w:rFonts w:ascii="BlissRegular" w:eastAsia="Times New Roman" w:hAnsi="BlissRegular"/>
      <w:b/>
    </w:rPr>
  </w:style>
  <w:style w:type="paragraph" w:customStyle="1" w:styleId="SX-Affiliation">
    <w:name w:val="SX-Affiliation"/>
    <w:basedOn w:val="Normal"/>
    <w:next w:val="Normal"/>
    <w:qFormat/>
    <w:rsid w:val="009A3899"/>
    <w:pPr>
      <w:spacing w:after="160" w:line="190" w:lineRule="exact"/>
    </w:pPr>
    <w:rPr>
      <w:rFonts w:ascii="BlissRegular" w:eastAsia="Times New Roman" w:hAnsi="BlissRegular"/>
      <w:sz w:val="16"/>
    </w:rPr>
  </w:style>
  <w:style w:type="paragraph" w:customStyle="1" w:styleId="SX-Articlehead">
    <w:name w:val="SX-Article head"/>
    <w:basedOn w:val="Normal"/>
    <w:qFormat/>
    <w:rsid w:val="009A3899"/>
    <w:pPr>
      <w:spacing w:before="210" w:line="210" w:lineRule="exact"/>
      <w:ind w:firstLine="288"/>
      <w:jc w:val="both"/>
    </w:pPr>
    <w:rPr>
      <w:rFonts w:eastAsia="Times New Roman"/>
      <w:b/>
      <w:sz w:val="18"/>
    </w:rPr>
  </w:style>
  <w:style w:type="paragraph" w:customStyle="1" w:styleId="SX-Authornames">
    <w:name w:val="SX-Author names"/>
    <w:basedOn w:val="Normal"/>
    <w:rsid w:val="009A3899"/>
    <w:pPr>
      <w:spacing w:after="120" w:line="210" w:lineRule="exact"/>
    </w:pPr>
    <w:rPr>
      <w:rFonts w:ascii="BlissMedium" w:eastAsia="Times New Roman" w:hAnsi="BlissMedium"/>
    </w:rPr>
  </w:style>
  <w:style w:type="paragraph" w:customStyle="1" w:styleId="SX-Bodytext">
    <w:name w:val="SX-Body text"/>
    <w:basedOn w:val="Normal"/>
    <w:next w:val="Normal"/>
    <w:rsid w:val="009A3899"/>
    <w:pPr>
      <w:spacing w:line="210" w:lineRule="exact"/>
      <w:ind w:firstLine="288"/>
      <w:jc w:val="both"/>
    </w:pPr>
    <w:rPr>
      <w:rFonts w:eastAsia="Times New Roman"/>
      <w:sz w:val="18"/>
    </w:rPr>
  </w:style>
  <w:style w:type="paragraph" w:customStyle="1" w:styleId="SX-Bodytextflush">
    <w:name w:val="SX-Body text flush"/>
    <w:basedOn w:val="SX-Bodytext"/>
    <w:next w:val="SX-Bodytext"/>
    <w:rsid w:val="009A3899"/>
    <w:pPr>
      <w:ind w:firstLine="0"/>
    </w:pPr>
  </w:style>
  <w:style w:type="paragraph" w:customStyle="1" w:styleId="SX-Correspondence">
    <w:name w:val="SX-Correspondence"/>
    <w:basedOn w:val="SX-Affiliation"/>
    <w:qFormat/>
    <w:rsid w:val="009A3899"/>
    <w:pPr>
      <w:spacing w:after="80"/>
    </w:pPr>
  </w:style>
  <w:style w:type="paragraph" w:customStyle="1" w:styleId="SX-Date">
    <w:name w:val="SX-Date"/>
    <w:basedOn w:val="Normal"/>
    <w:qFormat/>
    <w:rsid w:val="009A3899"/>
    <w:pPr>
      <w:spacing w:before="180" w:line="190" w:lineRule="exact"/>
      <w:ind w:left="245" w:hanging="245"/>
      <w:jc w:val="both"/>
    </w:pPr>
    <w:rPr>
      <w:rFonts w:eastAsia="Times New Roman"/>
      <w:sz w:val="16"/>
    </w:rPr>
  </w:style>
  <w:style w:type="paragraph" w:customStyle="1" w:styleId="SX-Equation">
    <w:name w:val="SX-Equation"/>
    <w:basedOn w:val="SX-Bodytextflush"/>
    <w:next w:val="SX-Bodytext"/>
    <w:rsid w:val="009A3899"/>
    <w:pPr>
      <w:autoSpaceDE w:val="0"/>
      <w:autoSpaceDN w:val="0"/>
      <w:adjustRightInd w:val="0"/>
      <w:spacing w:line="240" w:lineRule="auto"/>
      <w:jc w:val="center"/>
    </w:pPr>
  </w:style>
  <w:style w:type="paragraph" w:customStyle="1" w:styleId="SX-Legend">
    <w:name w:val="SX-Legend"/>
    <w:basedOn w:val="SX-Authornames"/>
    <w:rsid w:val="009A3899"/>
    <w:pPr>
      <w:jc w:val="both"/>
    </w:pPr>
    <w:rPr>
      <w:sz w:val="18"/>
    </w:rPr>
  </w:style>
  <w:style w:type="paragraph" w:customStyle="1" w:styleId="SX-References">
    <w:name w:val="SX-References"/>
    <w:basedOn w:val="Normal"/>
    <w:rsid w:val="009A3899"/>
    <w:pPr>
      <w:spacing w:line="190" w:lineRule="exact"/>
      <w:ind w:left="245" w:hanging="245"/>
      <w:jc w:val="both"/>
    </w:pPr>
    <w:rPr>
      <w:rFonts w:eastAsia="Times New Roman"/>
      <w:sz w:val="16"/>
    </w:rPr>
  </w:style>
  <w:style w:type="paragraph" w:customStyle="1" w:styleId="SX-RefHead">
    <w:name w:val="SX-RefHead"/>
    <w:basedOn w:val="Normal"/>
    <w:rsid w:val="009A3899"/>
    <w:pPr>
      <w:spacing w:before="200" w:line="190" w:lineRule="exact"/>
    </w:pPr>
    <w:rPr>
      <w:rFonts w:eastAsia="Times New Roman"/>
      <w:b/>
      <w:sz w:val="16"/>
    </w:rPr>
  </w:style>
  <w:style w:type="character" w:customStyle="1" w:styleId="SX-reflink">
    <w:name w:val="SX-reflink"/>
    <w:uiPriority w:val="1"/>
    <w:qFormat/>
    <w:rsid w:val="009A3899"/>
    <w:rPr>
      <w:color w:val="0000FF"/>
      <w:sz w:val="16"/>
      <w:u w:val="words"/>
      <w:bdr w:val="none" w:sz="0" w:space="0" w:color="auto"/>
      <w:shd w:val="clear" w:color="auto" w:fill="FFFFFF"/>
    </w:rPr>
  </w:style>
  <w:style w:type="paragraph" w:customStyle="1" w:styleId="SX-SOMHead">
    <w:name w:val="SX-SOMHead"/>
    <w:basedOn w:val="SX-RefHead"/>
    <w:rsid w:val="009A3899"/>
  </w:style>
  <w:style w:type="paragraph" w:customStyle="1" w:styleId="SX-Tablehead">
    <w:name w:val="SX-Tablehead"/>
    <w:basedOn w:val="Normal"/>
    <w:qFormat/>
    <w:rsid w:val="009A3899"/>
    <w:rPr>
      <w:rFonts w:eastAsia="Times New Roman"/>
      <w:szCs w:val="24"/>
    </w:rPr>
  </w:style>
  <w:style w:type="paragraph" w:customStyle="1" w:styleId="SX-Tablelegend">
    <w:name w:val="SX-Tablelegend"/>
    <w:basedOn w:val="Normal"/>
    <w:qFormat/>
    <w:rsid w:val="009A3899"/>
    <w:pPr>
      <w:spacing w:line="190" w:lineRule="exact"/>
      <w:ind w:left="245" w:hanging="245"/>
      <w:jc w:val="both"/>
    </w:pPr>
    <w:rPr>
      <w:rFonts w:eastAsia="Times New Roman"/>
      <w:sz w:val="16"/>
    </w:rPr>
  </w:style>
  <w:style w:type="paragraph" w:customStyle="1" w:styleId="SX-Tabletext">
    <w:name w:val="SX-Tabletext"/>
    <w:basedOn w:val="Normal"/>
    <w:qFormat/>
    <w:rsid w:val="009A3899"/>
    <w:pPr>
      <w:spacing w:line="210" w:lineRule="exact"/>
      <w:jc w:val="center"/>
    </w:pPr>
    <w:rPr>
      <w:rFonts w:eastAsia="Times New Roman"/>
      <w:sz w:val="18"/>
    </w:rPr>
  </w:style>
  <w:style w:type="paragraph" w:customStyle="1" w:styleId="SX-Tabletitle">
    <w:name w:val="SX-Tabletitle"/>
    <w:basedOn w:val="Normal"/>
    <w:qFormat/>
    <w:rsid w:val="009A3899"/>
    <w:pPr>
      <w:spacing w:after="120" w:line="210" w:lineRule="exact"/>
      <w:jc w:val="both"/>
    </w:pPr>
    <w:rPr>
      <w:rFonts w:ascii="BlissMedium" w:eastAsia="Times New Roman" w:hAnsi="BlissMedium"/>
      <w:sz w:val="18"/>
    </w:rPr>
  </w:style>
  <w:style w:type="paragraph" w:customStyle="1" w:styleId="SX-Title">
    <w:name w:val="SX-Title"/>
    <w:basedOn w:val="Normal"/>
    <w:rsid w:val="009A3899"/>
    <w:pPr>
      <w:spacing w:after="240" w:line="500" w:lineRule="exact"/>
    </w:pPr>
    <w:rPr>
      <w:rFonts w:ascii="BlissBold" w:eastAsia="Times New Roman" w:hAnsi="BlissBold"/>
      <w:b/>
      <w:sz w:val="44"/>
    </w:rPr>
  </w:style>
  <w:style w:type="paragraph" w:customStyle="1" w:styleId="Tablecolumnhead">
    <w:name w:val="Table column head"/>
    <w:basedOn w:val="BaseText"/>
    <w:rsid w:val="009A3899"/>
    <w:pPr>
      <w:spacing w:before="0"/>
    </w:pPr>
  </w:style>
  <w:style w:type="paragraph" w:customStyle="1" w:styleId="Tabletext">
    <w:name w:val="Table text"/>
    <w:basedOn w:val="BaseText"/>
    <w:rsid w:val="009A3899"/>
    <w:pPr>
      <w:spacing w:before="0"/>
    </w:pPr>
  </w:style>
  <w:style w:type="paragraph" w:customStyle="1" w:styleId="TableLegend">
    <w:name w:val="TableLegend"/>
    <w:basedOn w:val="BaseText"/>
    <w:rsid w:val="009A3899"/>
    <w:pPr>
      <w:spacing w:before="0"/>
    </w:pPr>
  </w:style>
  <w:style w:type="paragraph" w:customStyle="1" w:styleId="TableTitle">
    <w:name w:val="TableTitle"/>
    <w:basedOn w:val="BaseHeading"/>
    <w:rsid w:val="009A3899"/>
  </w:style>
  <w:style w:type="paragraph" w:customStyle="1" w:styleId="Teaser">
    <w:name w:val="Teaser"/>
    <w:basedOn w:val="BaseText"/>
    <w:rsid w:val="009A3899"/>
  </w:style>
  <w:style w:type="paragraph" w:customStyle="1" w:styleId="TWIS">
    <w:name w:val="TWIS"/>
    <w:basedOn w:val="AbstractSummary"/>
    <w:rsid w:val="009A3899"/>
    <w:pPr>
      <w:autoSpaceDE w:val="0"/>
      <w:autoSpaceDN w:val="0"/>
      <w:adjustRightInd w:val="0"/>
    </w:pPr>
  </w:style>
  <w:style w:type="paragraph" w:customStyle="1" w:styleId="TWISorEC">
    <w:name w:val="TWIS or EC"/>
    <w:basedOn w:val="Normal"/>
    <w:rsid w:val="009A3899"/>
    <w:pPr>
      <w:spacing w:line="210" w:lineRule="exact"/>
    </w:pPr>
    <w:rPr>
      <w:rFonts w:ascii="BlissRegular" w:eastAsia="Times New Roman" w:hAnsi="BlissRegular"/>
      <w:sz w:val="19"/>
    </w:rPr>
  </w:style>
  <w:style w:type="paragraph" w:customStyle="1" w:styleId="work-sector">
    <w:name w:val="work-sector"/>
    <w:basedOn w:val="BaseText"/>
    <w:rsid w:val="009A3899"/>
    <w:pPr>
      <w:jc w:val="right"/>
    </w:pPr>
    <w:rPr>
      <w:color w:val="003300"/>
    </w:rPr>
  </w:style>
  <w:style w:type="paragraph" w:customStyle="1" w:styleId="DOI">
    <w:name w:val="DOI"/>
    <w:basedOn w:val="DateAccepted"/>
    <w:qFormat/>
    <w:rsid w:val="009A7F20"/>
  </w:style>
  <w:style w:type="character" w:customStyle="1" w:styleId="custom-cit-author">
    <w:name w:val="custom-cit-author"/>
    <w:basedOn w:val="DefaultParagraphFont"/>
    <w:rsid w:val="00943D39"/>
  </w:style>
  <w:style w:type="character" w:customStyle="1" w:styleId="custom-cit-title">
    <w:name w:val="custom-cit-title"/>
    <w:basedOn w:val="DefaultParagraphFont"/>
    <w:rsid w:val="00943D39"/>
  </w:style>
  <w:style w:type="character" w:customStyle="1" w:styleId="custom-cit-jour-title">
    <w:name w:val="custom-cit-jour-title"/>
    <w:basedOn w:val="DefaultParagraphFont"/>
    <w:rsid w:val="00943D39"/>
  </w:style>
  <w:style w:type="character" w:customStyle="1" w:styleId="custom-cit-volume">
    <w:name w:val="custom-cit-volume"/>
    <w:basedOn w:val="DefaultParagraphFont"/>
    <w:rsid w:val="00943D39"/>
  </w:style>
  <w:style w:type="character" w:customStyle="1" w:styleId="custom-cit-volume-sep">
    <w:name w:val="custom-cit-volume-sep"/>
    <w:basedOn w:val="DefaultParagraphFont"/>
    <w:rsid w:val="00943D39"/>
  </w:style>
  <w:style w:type="character" w:customStyle="1" w:styleId="custom-cit-fpage">
    <w:name w:val="custom-cit-fpage"/>
    <w:basedOn w:val="DefaultParagraphFont"/>
    <w:rsid w:val="00943D39"/>
  </w:style>
  <w:style w:type="character" w:customStyle="1" w:styleId="custom-cit-date">
    <w:name w:val="custom-cit-date"/>
    <w:basedOn w:val="DefaultParagraphFont"/>
    <w:rsid w:val="00943D39"/>
  </w:style>
  <w:style w:type="character" w:customStyle="1" w:styleId="UnresolvedMention">
    <w:name w:val="Unresolved Mention"/>
    <w:uiPriority w:val="99"/>
    <w:semiHidden/>
    <w:unhideWhenUsed/>
    <w:rsid w:val="00175CBB"/>
    <w:rPr>
      <w:color w:val="605E5C"/>
      <w:shd w:val="clear" w:color="auto" w:fill="E1DFDD"/>
    </w:rPr>
  </w:style>
  <w:style w:type="paragraph" w:customStyle="1" w:styleId="SMHeading">
    <w:name w:val="SM Heading"/>
    <w:basedOn w:val="Heading1"/>
    <w:qFormat/>
    <w:rsid w:val="00382687"/>
    <w:pPr>
      <w:keepLines w:val="0"/>
      <w:spacing w:after="60"/>
    </w:pPr>
    <w:rPr>
      <w:rFonts w:ascii="Times New Roman" w:eastAsia="Times New Roman" w:hAnsi="Times New Roman" w:cs="Times New Roman"/>
      <w:b/>
      <w:bCs/>
      <w:color w:val="auto"/>
      <w:kern w:val="32"/>
      <w:sz w:val="24"/>
      <w:szCs w:val="24"/>
    </w:rPr>
  </w:style>
  <w:style w:type="character" w:customStyle="1" w:styleId="Heading1Char">
    <w:name w:val="Heading 1 Char"/>
    <w:basedOn w:val="DefaultParagraphFont"/>
    <w:link w:val="Heading1"/>
    <w:uiPriority w:val="9"/>
    <w:rsid w:val="00382687"/>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macintosh"/>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74C7A77CE0514C8EA9972A6AA0B0A5" ma:contentTypeVersion="12" ma:contentTypeDescription="Create a new document." ma:contentTypeScope="" ma:versionID="7e99b502f0bad2f53a83bf4b0d33dbb9">
  <xsd:schema xmlns:xsd="http://www.w3.org/2001/XMLSchema" xmlns:xs="http://www.w3.org/2001/XMLSchema" xmlns:p="http://schemas.microsoft.com/office/2006/metadata/properties" xmlns:ns3="6abc619b-39d1-41b2-8433-a04451f34412" xmlns:ns4="4369a23a-a739-4e75-a877-0d1fab5acdb5" targetNamespace="http://schemas.microsoft.com/office/2006/metadata/properties" ma:root="true" ma:fieldsID="ae3ecaaf132394621abbb87c81b186b7" ns3:_="" ns4:_="">
    <xsd:import namespace="6abc619b-39d1-41b2-8433-a04451f34412"/>
    <xsd:import namespace="4369a23a-a739-4e75-a877-0d1fab5acdb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bc619b-39d1-41b2-8433-a04451f3441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69a23a-a739-4e75-a877-0d1fab5acdb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4F31E-965C-4426-AB88-26F42FE0149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3AEE76-923C-41C5-99E3-A0990FF220BA}">
  <ds:schemaRefs>
    <ds:schemaRef ds:uri="http://schemas.microsoft.com/sharepoint/v3/contenttype/forms"/>
  </ds:schemaRefs>
</ds:datastoreItem>
</file>

<file path=customXml/itemProps3.xml><?xml version="1.0" encoding="utf-8"?>
<ds:datastoreItem xmlns:ds="http://schemas.openxmlformats.org/officeDocument/2006/customXml" ds:itemID="{1F2AC658-7A56-40DE-922C-1162C1D4B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bc619b-39d1-41b2-8433-a04451f34412"/>
    <ds:schemaRef ds:uri="4369a23a-a739-4e75-a877-0d1fab5acd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E9F797-FC49-4B49-958C-DD77FA8DB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18748</Words>
  <Characters>106864</Characters>
  <Application>Microsoft Office Word</Application>
  <DocSecurity>0</DocSecurity>
  <Lines>890</Lines>
  <Paragraphs>250</Paragraphs>
  <ScaleCrop>false</ScaleCrop>
  <HeadingPairs>
    <vt:vector size="2" baseType="variant">
      <vt:variant>
        <vt:lpstr>Title</vt:lpstr>
      </vt:variant>
      <vt:variant>
        <vt:i4>1</vt:i4>
      </vt:variant>
    </vt:vector>
  </HeadingPairs>
  <TitlesOfParts>
    <vt:vector size="1" baseType="lpstr">
      <vt:lpstr>Science Manuscript Template</vt:lpstr>
    </vt:vector>
  </TitlesOfParts>
  <Company>Microsoft</Company>
  <LinksUpToDate>false</LinksUpToDate>
  <CharactersWithSpaces>125362</CharactersWithSpaces>
  <SharedDoc>false</SharedDoc>
  <HLinks>
    <vt:vector size="12" baseType="variant">
      <vt:variant>
        <vt:i4>2228274</vt:i4>
      </vt:variant>
      <vt:variant>
        <vt:i4>3</vt:i4>
      </vt:variant>
      <vt:variant>
        <vt:i4>0</vt:i4>
      </vt:variant>
      <vt:variant>
        <vt:i4>5</vt:i4>
      </vt:variant>
      <vt:variant>
        <vt:lpwstr>https://stm.sciencemag.org/content/information-authors</vt:lpwstr>
      </vt:variant>
      <vt:variant>
        <vt:lpwstr/>
      </vt:variant>
      <vt:variant>
        <vt:i4>2883708</vt:i4>
      </vt:variant>
      <vt:variant>
        <vt:i4>0</vt:i4>
      </vt:variant>
      <vt:variant>
        <vt:i4>0</vt:i4>
      </vt:variant>
      <vt:variant>
        <vt:i4>5</vt:i4>
      </vt:variant>
      <vt:variant>
        <vt:lpwstr>https://cts.sciencemag.org/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Science Manuscript Template</dc:title>
  <dc:subject/>
  <dc:creator>bhanson</dc:creator>
  <cp:keywords/>
  <cp:lastModifiedBy>Shaughnessy, Ciaran</cp:lastModifiedBy>
  <cp:revision>4</cp:revision>
  <cp:lastPrinted>2012-01-29T18:20:00Z</cp:lastPrinted>
  <dcterms:created xsi:type="dcterms:W3CDTF">2021-08-17T15:13:00Z</dcterms:created>
  <dcterms:modified xsi:type="dcterms:W3CDTF">2021-08-18T14:43:00Z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0x0101009674C7A77CE0514C8EA9972A6AA0B0A5</vt:lpwstr>
  </property>
  <property fmtid="{D5CDD505-2E9C-101B-9397-08002B2CF9AE}" pid="3" name="Mendeley Recent Style Id 0_1">
    <vt:lpwstr>http://www.zotero.org/styles/ajp-lung-cellular-and-molecular-physiology</vt:lpwstr>
  </property>
  <property fmtid="{D5CDD505-2E9C-101B-9397-08002B2CF9AE}" pid="4" name="Mendeley Recent Style Name 0_1">
    <vt:lpwstr>American Journal of Physiology - Lung Cellular and Molecular Physiology</vt:lpwstr>
  </property>
  <property fmtid="{D5CDD505-2E9C-101B-9397-08002B2CF9AE}" pid="5" name="Mendeley Recent Style Id 1_1">
    <vt:lpwstr>http://www.zotero.org/styles/ajp-regulatory-integrative-and-comparative-physiology</vt:lpwstr>
  </property>
  <property fmtid="{D5CDD505-2E9C-101B-9397-08002B2CF9AE}" pid="6" name="Mendeley Recent Style Name 1_1">
    <vt:lpwstr>American Journal of Physiology - Regulatory, Integrative, and Comparative Physiology</vt:lpwstr>
  </property>
  <property fmtid="{D5CDD505-2E9C-101B-9397-08002B2CF9AE}" pid="7" name="Mendeley Recent Style Id 2_1">
    <vt:lpwstr>http://www.zotero.org/styles/harvard-cite-them-right</vt:lpwstr>
  </property>
  <property fmtid="{D5CDD505-2E9C-101B-9397-08002B2CF9AE}" pid="8" name="Mendeley Recent Style Name 2_1">
    <vt:lpwstr>Cite Them Right 10th edition - Harvard</vt:lpwstr>
  </property>
  <property fmtid="{D5CDD505-2E9C-101B-9397-08002B2CF9AE}" pid="9" name="Mendeley Recent Style Id 3_1">
    <vt:lpwstr>http://www.zotero.org/styles/ieee</vt:lpwstr>
  </property>
  <property fmtid="{D5CDD505-2E9C-101B-9397-08002B2CF9AE}" pid="10" name="Mendeley Recent Style Name 3_1">
    <vt:lpwstr>IEEE</vt:lpwstr>
  </property>
  <property fmtid="{D5CDD505-2E9C-101B-9397-08002B2CF9AE}" pid="11" name="Mendeley Recent Style Id 4_1">
    <vt:lpwstr>http://www.zotero.org/styles/journal-of-cystic-fibrosis</vt:lpwstr>
  </property>
  <property fmtid="{D5CDD505-2E9C-101B-9397-08002B2CF9AE}" pid="12" name="Mendeley Recent Style Name 4_1">
    <vt:lpwstr>Journal of Cystic Fibrosis</vt:lpwstr>
  </property>
  <property fmtid="{D5CDD505-2E9C-101B-9397-08002B2CF9AE}" pid="13" name="Mendeley Recent Style Id 5_1">
    <vt:lpwstr>http://www.zotero.org/styles/journal-of-experimental-zoology</vt:lpwstr>
  </property>
  <property fmtid="{D5CDD505-2E9C-101B-9397-08002B2CF9AE}" pid="14" name="Mendeley Recent Style Name 5_1">
    <vt:lpwstr>Journal of Experimental Zoology</vt:lpwstr>
  </property>
  <property fmtid="{D5CDD505-2E9C-101B-9397-08002B2CF9AE}" pid="15" name="Mendeley Recent Style Id 6_1">
    <vt:lpwstr>http://www.zotero.org/styles/nature-communications</vt:lpwstr>
  </property>
  <property fmtid="{D5CDD505-2E9C-101B-9397-08002B2CF9AE}" pid="16" name="Mendeley Recent Style Name 6_1">
    <vt:lpwstr>Nature Communications</vt:lpwstr>
  </property>
  <property fmtid="{D5CDD505-2E9C-101B-9397-08002B2CF9AE}" pid="17" name="Mendeley Recent Style Id 7_1">
    <vt:lpwstr>http://www.zotero.org/styles/pnas</vt:lpwstr>
  </property>
  <property fmtid="{D5CDD505-2E9C-101B-9397-08002B2CF9AE}" pid="18" name="Mendeley Recent Style Name 7_1">
    <vt:lpwstr>Proceedings of the National Academy of Sciences of the United States of America</vt:lpwstr>
  </property>
  <property fmtid="{D5CDD505-2E9C-101B-9397-08002B2CF9AE}" pid="19" name="Mendeley Recent Style Id 8_1">
    <vt:lpwstr>http://www.zotero.org/styles/science-translational-medicine</vt:lpwstr>
  </property>
  <property fmtid="{D5CDD505-2E9C-101B-9397-08002B2CF9AE}" pid="20" name="Mendeley Recent Style Name 8_1">
    <vt:lpwstr>Science Translational Medicine</vt:lpwstr>
  </property>
  <property fmtid="{D5CDD505-2E9C-101B-9397-08002B2CF9AE}" pid="21" name="Mendeley Recent Style Id 9_1">
    <vt:lpwstr>http://www.zotero.org/styles/the-journal-of-experimental-biology</vt:lpwstr>
  </property>
  <property fmtid="{D5CDD505-2E9C-101B-9397-08002B2CF9AE}" pid="22" name="Mendeley Recent Style Name 9_1">
    <vt:lpwstr>The Journal of Experimental Biology</vt:lpwstr>
  </property>
  <property fmtid="{D5CDD505-2E9C-101B-9397-08002B2CF9AE}" pid="23" name="Mendeley Document_1">
    <vt:lpwstr>True</vt:lpwstr>
  </property>
  <property fmtid="{D5CDD505-2E9C-101B-9397-08002B2CF9AE}" pid="24" name="Mendeley Citation Style_1">
    <vt:lpwstr>http://www.zotero.org/styles/cellular-physiology-and-biochemistry</vt:lpwstr>
  </property>
  <property fmtid="{D5CDD505-2E9C-101B-9397-08002B2CF9AE}" pid="25" name="Mendeley Unique User Id_1">
    <vt:lpwstr>3b875b2b-972c-383e-ad3d-2d836514c852</vt:lpwstr>
  </property>
</Properties>
</file>