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04A8C0" w14:textId="027B5303" w:rsidR="00E70535" w:rsidRPr="007F168A" w:rsidRDefault="00E70535">
      <w:pPr>
        <w:rPr>
          <w:rFonts w:ascii="Times New Roman" w:hAnsi="Times New Roman" w:cs="Times New Roman"/>
          <w:b/>
          <w:bCs/>
          <w:sz w:val="20"/>
          <w:szCs w:val="20"/>
          <w:lang w:val="en-GB"/>
        </w:rPr>
      </w:pPr>
      <w:r w:rsidRPr="007F168A">
        <w:rPr>
          <w:rFonts w:ascii="Times New Roman" w:hAnsi="Times New Roman" w:cs="Times New Roman"/>
          <w:b/>
          <w:bCs/>
          <w:sz w:val="20"/>
          <w:szCs w:val="20"/>
          <w:lang w:val="en-GB"/>
        </w:rPr>
        <w:t>Supplementary material</w:t>
      </w:r>
    </w:p>
    <w:p w14:paraId="502C58E2" w14:textId="505AA8D1" w:rsidR="00E70535" w:rsidRPr="007F168A" w:rsidRDefault="00E70535">
      <w:pPr>
        <w:rPr>
          <w:rFonts w:ascii="Times New Roman" w:hAnsi="Times New Roman" w:cs="Times New Roman"/>
          <w:sz w:val="20"/>
          <w:szCs w:val="20"/>
          <w:lang w:val="en-GB"/>
        </w:rPr>
      </w:pPr>
    </w:p>
    <w:p w14:paraId="3C13C435" w14:textId="2A0AE75B" w:rsidR="00542133" w:rsidRPr="007F168A" w:rsidRDefault="00FC1CDE" w:rsidP="008F6198">
      <w:pPr>
        <w:spacing w:line="480" w:lineRule="auto"/>
        <w:rPr>
          <w:rFonts w:ascii="Times New Roman" w:hAnsi="Times New Roman" w:cs="Times New Roman"/>
          <w:color w:val="000000" w:themeColor="text1"/>
          <w:sz w:val="20"/>
          <w:szCs w:val="20"/>
          <w:lang w:val="en-GB"/>
        </w:rPr>
      </w:pPr>
      <w:r w:rsidRPr="007F168A">
        <w:rPr>
          <w:rFonts w:ascii="Times New Roman" w:hAnsi="Times New Roman" w:cs="Times New Roman"/>
          <w:color w:val="000000" w:themeColor="text1"/>
          <w:sz w:val="20"/>
          <w:szCs w:val="20"/>
          <w:lang w:val="en-GB"/>
        </w:rPr>
        <w:t>As stated in the discussion, the</w:t>
      </w:r>
      <w:r w:rsidR="008F6198" w:rsidRPr="007F168A">
        <w:rPr>
          <w:rFonts w:ascii="Times New Roman" w:hAnsi="Times New Roman" w:cs="Times New Roman"/>
          <w:color w:val="000000" w:themeColor="text1"/>
          <w:sz w:val="20"/>
          <w:szCs w:val="20"/>
          <w:lang w:val="en-GB"/>
        </w:rPr>
        <w:t xml:space="preserve"> design employed in the experiment presented here</w:t>
      </w:r>
      <w:r w:rsidRPr="007F168A">
        <w:rPr>
          <w:rFonts w:ascii="Times New Roman" w:hAnsi="Times New Roman" w:cs="Times New Roman"/>
          <w:color w:val="000000" w:themeColor="text1"/>
          <w:sz w:val="20"/>
          <w:szCs w:val="20"/>
          <w:lang w:val="en-GB"/>
        </w:rPr>
        <w:t xml:space="preserve"> may have allowed participants to detect the congruence or incongruence of the two predictions very early in each trial, maybe as soon as the tone sequence started. Specifically, </w:t>
      </w:r>
      <w:r w:rsidR="008F6198" w:rsidRPr="007F168A">
        <w:rPr>
          <w:rFonts w:ascii="Times New Roman" w:hAnsi="Times New Roman" w:cs="Times New Roman"/>
          <w:color w:val="000000" w:themeColor="text1"/>
          <w:sz w:val="20"/>
          <w:szCs w:val="20"/>
          <w:lang w:val="en-GB"/>
        </w:rPr>
        <w:t>parti</w:t>
      </w:r>
      <w:bookmarkStart w:id="0" w:name="_GoBack"/>
      <w:bookmarkEnd w:id="0"/>
      <w:r w:rsidR="008F6198" w:rsidRPr="007F168A">
        <w:rPr>
          <w:rFonts w:ascii="Times New Roman" w:hAnsi="Times New Roman" w:cs="Times New Roman"/>
          <w:color w:val="000000" w:themeColor="text1"/>
          <w:sz w:val="20"/>
          <w:szCs w:val="20"/>
          <w:lang w:val="en-GB"/>
        </w:rPr>
        <w:t xml:space="preserve">cipants </w:t>
      </w:r>
      <w:r w:rsidR="008F6198" w:rsidRPr="007F168A">
        <w:rPr>
          <w:rFonts w:ascii="Times New Roman" w:hAnsi="Times New Roman" w:cs="Times New Roman"/>
          <w:color w:val="000000" w:themeColor="text1"/>
          <w:sz w:val="20"/>
          <w:szCs w:val="20"/>
        </w:rPr>
        <w:t>may have learned that the probability of predictions being congruent is more likely than the probability of predictions being incongruent (71,42% vs. 28.58%, respectively), so that the first stimuli in the sequence could generate an immediate PE response when predicting a last tone different from that indicated by the cue. This PE could be processed before the last tone is presented, which would result in reduced PE in response to the last tone. Such processing would not occur when both predictions are congruent, which would result in larger PE when they are concurrently violated, compared to when only one is violated. In order to test this, we analysed the ERPs in response to the first stimuli in the sequence</w:t>
      </w:r>
      <w:r w:rsidRPr="007F168A">
        <w:rPr>
          <w:rFonts w:ascii="Times New Roman" w:hAnsi="Times New Roman" w:cs="Times New Roman"/>
          <w:color w:val="000000" w:themeColor="text1"/>
          <w:sz w:val="20"/>
          <w:szCs w:val="20"/>
          <w:lang w:val="en-GB"/>
        </w:rPr>
        <w:t xml:space="preserve">s. </w:t>
      </w:r>
      <w:r w:rsidR="009469D7" w:rsidRPr="007F168A">
        <w:rPr>
          <w:rFonts w:ascii="Times New Roman" w:hAnsi="Times New Roman" w:cs="Times New Roman"/>
          <w:color w:val="000000" w:themeColor="text1"/>
          <w:sz w:val="20"/>
          <w:szCs w:val="20"/>
          <w:lang w:val="en-GB"/>
        </w:rPr>
        <w:t xml:space="preserve">Such analyses were carried out </w:t>
      </w:r>
      <w:r w:rsidR="00542133" w:rsidRPr="007F168A">
        <w:rPr>
          <w:rFonts w:ascii="Times New Roman" w:hAnsi="Times New Roman" w:cs="Times New Roman"/>
          <w:color w:val="000000" w:themeColor="text1"/>
          <w:sz w:val="20"/>
          <w:szCs w:val="20"/>
          <w:lang w:val="en-GB"/>
        </w:rPr>
        <w:t xml:space="preserve">in a similar way as for the main ERP analyses in response to the last stimuli, i.e., </w:t>
      </w:r>
      <w:r w:rsidR="009D7BB9" w:rsidRPr="007F168A">
        <w:rPr>
          <w:rFonts w:ascii="Times New Roman" w:hAnsi="Times New Roman" w:cs="Times New Roman"/>
          <w:color w:val="000000" w:themeColor="text1"/>
          <w:sz w:val="20"/>
          <w:szCs w:val="20"/>
          <w:lang w:val="en-GB"/>
        </w:rPr>
        <w:t xml:space="preserve">for the same components </w:t>
      </w:r>
      <w:r w:rsidR="009469D7" w:rsidRPr="007F168A">
        <w:rPr>
          <w:rFonts w:ascii="Times New Roman" w:hAnsi="Times New Roman" w:cs="Times New Roman"/>
          <w:color w:val="000000" w:themeColor="text1"/>
          <w:sz w:val="20"/>
          <w:szCs w:val="20"/>
          <w:lang w:val="en-GB"/>
        </w:rPr>
        <w:t>in the same electrode clusters</w:t>
      </w:r>
      <w:r w:rsidR="009D7BB9" w:rsidRPr="007F168A">
        <w:rPr>
          <w:rFonts w:ascii="Times New Roman" w:hAnsi="Times New Roman" w:cs="Times New Roman"/>
          <w:color w:val="000000" w:themeColor="text1"/>
          <w:sz w:val="20"/>
          <w:szCs w:val="20"/>
          <w:lang w:val="en-GB"/>
        </w:rPr>
        <w:t xml:space="preserve"> and time windows</w:t>
      </w:r>
      <w:r w:rsidR="00250B77" w:rsidRPr="007F168A">
        <w:rPr>
          <w:rFonts w:ascii="Times New Roman" w:hAnsi="Times New Roman" w:cs="Times New Roman"/>
          <w:color w:val="000000" w:themeColor="text1"/>
          <w:sz w:val="20"/>
          <w:szCs w:val="20"/>
          <w:lang w:val="en-GB"/>
        </w:rPr>
        <w:t>, and with the same statistical approach</w:t>
      </w:r>
      <w:r w:rsidR="0041243A" w:rsidRPr="007F168A">
        <w:rPr>
          <w:rFonts w:ascii="Times New Roman" w:hAnsi="Times New Roman" w:cs="Times New Roman"/>
          <w:color w:val="000000" w:themeColor="text1"/>
          <w:sz w:val="20"/>
          <w:szCs w:val="20"/>
          <w:lang w:val="en-GB"/>
        </w:rPr>
        <w:t xml:space="preserve"> (see Methods section)</w:t>
      </w:r>
      <w:r w:rsidR="00250B77" w:rsidRPr="007F168A">
        <w:rPr>
          <w:rFonts w:ascii="Times New Roman" w:hAnsi="Times New Roman" w:cs="Times New Roman"/>
          <w:color w:val="000000" w:themeColor="text1"/>
          <w:sz w:val="20"/>
          <w:szCs w:val="20"/>
          <w:lang w:val="en-GB"/>
        </w:rPr>
        <w:t xml:space="preserve">. </w:t>
      </w:r>
      <w:r w:rsidR="00542133" w:rsidRPr="007F168A">
        <w:rPr>
          <w:rFonts w:ascii="Times New Roman" w:hAnsi="Times New Roman" w:cs="Times New Roman"/>
          <w:color w:val="000000" w:themeColor="text1"/>
          <w:sz w:val="20"/>
          <w:szCs w:val="20"/>
          <w:lang w:val="en-GB"/>
        </w:rPr>
        <w:t xml:space="preserve"> No significant effects were observed in any of the components, which argues against the existence </w:t>
      </w:r>
      <w:r w:rsidR="00250B77" w:rsidRPr="007F168A">
        <w:rPr>
          <w:rFonts w:ascii="Times New Roman" w:hAnsi="Times New Roman" w:cs="Times New Roman"/>
          <w:color w:val="000000" w:themeColor="text1"/>
          <w:sz w:val="20"/>
          <w:szCs w:val="20"/>
          <w:lang w:val="en-GB"/>
        </w:rPr>
        <w:t xml:space="preserve">in the ERPS </w:t>
      </w:r>
      <w:r w:rsidR="00542133" w:rsidRPr="007F168A">
        <w:rPr>
          <w:rFonts w:ascii="Times New Roman" w:hAnsi="Times New Roman" w:cs="Times New Roman"/>
          <w:color w:val="000000" w:themeColor="text1"/>
          <w:sz w:val="20"/>
          <w:szCs w:val="20"/>
          <w:lang w:val="en-GB"/>
        </w:rPr>
        <w:t xml:space="preserve">of a PE response </w:t>
      </w:r>
      <w:r w:rsidR="00250B77" w:rsidRPr="007F168A">
        <w:rPr>
          <w:rFonts w:ascii="Times New Roman" w:hAnsi="Times New Roman" w:cs="Times New Roman"/>
          <w:color w:val="000000" w:themeColor="text1"/>
          <w:sz w:val="20"/>
          <w:szCs w:val="20"/>
          <w:lang w:val="en-GB"/>
        </w:rPr>
        <w:t>elicited by</w:t>
      </w:r>
      <w:r w:rsidR="00542133" w:rsidRPr="007F168A">
        <w:rPr>
          <w:rFonts w:ascii="Times New Roman" w:hAnsi="Times New Roman" w:cs="Times New Roman"/>
          <w:color w:val="000000" w:themeColor="text1"/>
          <w:sz w:val="20"/>
          <w:szCs w:val="20"/>
          <w:lang w:val="en-GB"/>
        </w:rPr>
        <w:t xml:space="preserve"> the early detection of the incongruence between predictions.  </w:t>
      </w:r>
    </w:p>
    <w:p w14:paraId="4065F64A" w14:textId="437A1C49" w:rsidR="008F6198" w:rsidRPr="007F168A" w:rsidRDefault="00FC1CDE" w:rsidP="008F6198">
      <w:pPr>
        <w:spacing w:line="480" w:lineRule="auto"/>
        <w:rPr>
          <w:rFonts w:ascii="Times New Roman" w:hAnsi="Times New Roman" w:cs="Times New Roman"/>
          <w:color w:val="000000" w:themeColor="text1"/>
          <w:sz w:val="20"/>
          <w:szCs w:val="20"/>
          <w:lang w:val="en-GB"/>
        </w:rPr>
      </w:pPr>
      <w:r w:rsidRPr="007F168A">
        <w:rPr>
          <w:rFonts w:ascii="Times New Roman" w:hAnsi="Times New Roman" w:cs="Times New Roman"/>
          <w:color w:val="000000" w:themeColor="text1"/>
          <w:sz w:val="20"/>
          <w:szCs w:val="20"/>
          <w:lang w:val="en-GB"/>
        </w:rPr>
        <w:t xml:space="preserve">The </w:t>
      </w:r>
      <w:r w:rsidR="00250B77" w:rsidRPr="007F168A">
        <w:rPr>
          <w:rFonts w:ascii="Times New Roman" w:hAnsi="Times New Roman" w:cs="Times New Roman"/>
          <w:color w:val="000000" w:themeColor="text1"/>
          <w:sz w:val="20"/>
          <w:szCs w:val="20"/>
          <w:lang w:val="en-GB"/>
        </w:rPr>
        <w:t>ERP waveforms and the results of those analyses</w:t>
      </w:r>
      <w:r w:rsidRPr="007F168A">
        <w:rPr>
          <w:rFonts w:ascii="Times New Roman" w:hAnsi="Times New Roman" w:cs="Times New Roman"/>
          <w:color w:val="000000" w:themeColor="text1"/>
          <w:sz w:val="20"/>
          <w:szCs w:val="20"/>
          <w:lang w:val="en-GB"/>
        </w:rPr>
        <w:t xml:space="preserve"> are presented in the figures below.</w:t>
      </w:r>
    </w:p>
    <w:p w14:paraId="3E9BF6CF" w14:textId="00583852" w:rsidR="00E55438" w:rsidRPr="007F168A" w:rsidRDefault="00E55438" w:rsidP="008F6198">
      <w:pPr>
        <w:spacing w:line="480" w:lineRule="auto"/>
        <w:rPr>
          <w:rFonts w:ascii="Times New Roman" w:hAnsi="Times New Roman" w:cs="Times New Roman"/>
          <w:color w:val="000000" w:themeColor="text1"/>
          <w:sz w:val="20"/>
          <w:szCs w:val="20"/>
          <w:lang w:val="en-GB"/>
        </w:rPr>
      </w:pPr>
    </w:p>
    <w:p w14:paraId="53756274" w14:textId="594ECC9D" w:rsidR="00E55438" w:rsidRPr="007F168A" w:rsidRDefault="00E55438" w:rsidP="008F6198">
      <w:pPr>
        <w:spacing w:line="480" w:lineRule="auto"/>
        <w:rPr>
          <w:rFonts w:ascii="Times New Roman" w:hAnsi="Times New Roman" w:cs="Times New Roman"/>
          <w:color w:val="000000" w:themeColor="text1"/>
          <w:sz w:val="20"/>
          <w:szCs w:val="20"/>
          <w:lang w:val="en-GB"/>
        </w:rPr>
      </w:pPr>
    </w:p>
    <w:p w14:paraId="3F0C8E68" w14:textId="5FC010C8" w:rsidR="00E55438" w:rsidRPr="007F168A" w:rsidRDefault="00E55438" w:rsidP="008F6198">
      <w:pPr>
        <w:spacing w:line="480" w:lineRule="auto"/>
        <w:rPr>
          <w:rFonts w:ascii="Times New Roman" w:hAnsi="Times New Roman" w:cs="Times New Roman"/>
          <w:color w:val="000000" w:themeColor="text1"/>
          <w:sz w:val="20"/>
          <w:szCs w:val="20"/>
          <w:lang w:val="en-GB"/>
        </w:rPr>
      </w:pPr>
    </w:p>
    <w:p w14:paraId="6650C329" w14:textId="435BFB6C" w:rsidR="00E55438" w:rsidRPr="007F168A" w:rsidRDefault="00E55438" w:rsidP="008F6198">
      <w:pPr>
        <w:spacing w:line="480" w:lineRule="auto"/>
        <w:rPr>
          <w:rFonts w:ascii="Times New Roman" w:hAnsi="Times New Roman" w:cs="Times New Roman"/>
          <w:color w:val="000000" w:themeColor="text1"/>
          <w:sz w:val="20"/>
          <w:szCs w:val="20"/>
          <w:lang w:val="en-GB"/>
        </w:rPr>
      </w:pPr>
    </w:p>
    <w:p w14:paraId="3AC93DEB" w14:textId="5559387C" w:rsidR="00E55438" w:rsidRPr="007F168A" w:rsidRDefault="00E55438" w:rsidP="008F6198">
      <w:pPr>
        <w:spacing w:line="480" w:lineRule="auto"/>
        <w:rPr>
          <w:rFonts w:ascii="Times New Roman" w:hAnsi="Times New Roman" w:cs="Times New Roman"/>
          <w:color w:val="000000" w:themeColor="text1"/>
          <w:sz w:val="20"/>
          <w:szCs w:val="20"/>
          <w:lang w:val="en-GB"/>
        </w:rPr>
      </w:pPr>
    </w:p>
    <w:p w14:paraId="5AD8DE43" w14:textId="4CD39BC9" w:rsidR="00E55438" w:rsidRPr="007F168A" w:rsidRDefault="00E55438" w:rsidP="008F6198">
      <w:pPr>
        <w:spacing w:line="480" w:lineRule="auto"/>
        <w:rPr>
          <w:rFonts w:ascii="Times New Roman" w:hAnsi="Times New Roman" w:cs="Times New Roman"/>
          <w:color w:val="000000" w:themeColor="text1"/>
          <w:sz w:val="20"/>
          <w:szCs w:val="20"/>
          <w:lang w:val="en-GB"/>
        </w:rPr>
      </w:pPr>
    </w:p>
    <w:p w14:paraId="6D0C59FD" w14:textId="0DE5354D" w:rsidR="00E55438" w:rsidRPr="007F168A" w:rsidRDefault="00E55438" w:rsidP="008F6198">
      <w:pPr>
        <w:spacing w:line="480" w:lineRule="auto"/>
        <w:rPr>
          <w:rFonts w:ascii="Times New Roman" w:hAnsi="Times New Roman" w:cs="Times New Roman"/>
          <w:color w:val="000000" w:themeColor="text1"/>
          <w:sz w:val="20"/>
          <w:szCs w:val="20"/>
          <w:lang w:val="en-GB"/>
        </w:rPr>
      </w:pPr>
    </w:p>
    <w:p w14:paraId="2D3A7E26" w14:textId="380653F8" w:rsidR="00E55438" w:rsidRPr="007F168A" w:rsidRDefault="00E55438" w:rsidP="008F6198">
      <w:pPr>
        <w:spacing w:line="480" w:lineRule="auto"/>
        <w:rPr>
          <w:rFonts w:ascii="Times New Roman" w:hAnsi="Times New Roman" w:cs="Times New Roman"/>
          <w:color w:val="000000" w:themeColor="text1"/>
          <w:sz w:val="20"/>
          <w:szCs w:val="20"/>
          <w:lang w:val="en-GB"/>
        </w:rPr>
      </w:pPr>
    </w:p>
    <w:p w14:paraId="65D0149A" w14:textId="7AB34B08" w:rsidR="00E55438" w:rsidRPr="007F168A" w:rsidRDefault="00E55438" w:rsidP="008F6198">
      <w:pPr>
        <w:spacing w:line="480" w:lineRule="auto"/>
        <w:rPr>
          <w:rFonts w:ascii="Times New Roman" w:hAnsi="Times New Roman" w:cs="Times New Roman"/>
          <w:color w:val="000000" w:themeColor="text1"/>
          <w:sz w:val="20"/>
          <w:szCs w:val="20"/>
          <w:lang w:val="en-GB"/>
        </w:rPr>
      </w:pPr>
    </w:p>
    <w:p w14:paraId="4B52721C" w14:textId="77777777" w:rsidR="00E55438" w:rsidRPr="007F168A" w:rsidRDefault="00E55438" w:rsidP="008F6198">
      <w:pPr>
        <w:spacing w:line="480" w:lineRule="auto"/>
        <w:rPr>
          <w:rFonts w:ascii="Times New Roman" w:hAnsi="Times New Roman" w:cs="Times New Roman"/>
          <w:sz w:val="20"/>
          <w:szCs w:val="20"/>
          <w:lang w:val="en-GB"/>
        </w:rPr>
      </w:pPr>
    </w:p>
    <w:p w14:paraId="630CAB05" w14:textId="77777777" w:rsidR="008F6198" w:rsidRPr="007F168A" w:rsidRDefault="008F6198">
      <w:pPr>
        <w:rPr>
          <w:rFonts w:ascii="Times New Roman" w:hAnsi="Times New Roman" w:cs="Times New Roman"/>
          <w:sz w:val="20"/>
          <w:szCs w:val="20"/>
          <w:lang w:val="en-GB"/>
        </w:rPr>
      </w:pPr>
    </w:p>
    <w:p w14:paraId="1E3E7F4F" w14:textId="2AF63C75" w:rsidR="00E70535" w:rsidRPr="007F168A" w:rsidRDefault="00E70535">
      <w:pPr>
        <w:rPr>
          <w:lang w:val="en-GB"/>
        </w:rPr>
      </w:pPr>
      <w:r w:rsidRPr="007F168A">
        <w:rPr>
          <w:noProof/>
        </w:rPr>
        <w:lastRenderedPageBreak/>
        <w:drawing>
          <wp:inline distT="0" distB="0" distL="0" distR="0" wp14:anchorId="4FB7BB05" wp14:editId="63610AA8">
            <wp:extent cx="5731510" cy="1438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1438275"/>
                    </a:xfrm>
                    <a:prstGeom prst="rect">
                      <a:avLst/>
                    </a:prstGeom>
                  </pic:spPr>
                </pic:pic>
              </a:graphicData>
            </a:graphic>
          </wp:inline>
        </w:drawing>
      </w:r>
    </w:p>
    <w:p w14:paraId="1A5DDCA1" w14:textId="01A2F54A" w:rsidR="00E70535" w:rsidRPr="007F168A" w:rsidRDefault="00E70535">
      <w:pPr>
        <w:rPr>
          <w:rFonts w:ascii="Times New Roman" w:hAnsi="Times New Roman" w:cs="Times New Roman"/>
          <w:sz w:val="20"/>
          <w:szCs w:val="20"/>
          <w:lang w:val="en-GB"/>
        </w:rPr>
      </w:pPr>
      <w:r w:rsidRPr="007F168A">
        <w:rPr>
          <w:rFonts w:ascii="Times New Roman" w:hAnsi="Times New Roman" w:cs="Times New Roman"/>
          <w:sz w:val="20"/>
          <w:szCs w:val="20"/>
          <w:lang w:val="en-GB"/>
        </w:rPr>
        <w:t xml:space="preserve">Figure 1. ERPs time-locked to the first tones in the sequences at the same electrode clusters where </w:t>
      </w:r>
      <w:r w:rsidR="008A70F2" w:rsidRPr="007F168A">
        <w:rPr>
          <w:rFonts w:ascii="Times New Roman" w:hAnsi="Times New Roman" w:cs="Times New Roman"/>
          <w:sz w:val="20"/>
          <w:szCs w:val="20"/>
          <w:lang w:val="en-GB"/>
        </w:rPr>
        <w:t xml:space="preserve">the main </w:t>
      </w:r>
      <w:r w:rsidRPr="007F168A">
        <w:rPr>
          <w:rFonts w:ascii="Times New Roman" w:hAnsi="Times New Roman" w:cs="Times New Roman"/>
          <w:sz w:val="20"/>
          <w:szCs w:val="20"/>
          <w:lang w:val="en-GB"/>
        </w:rPr>
        <w:t>ERP</w:t>
      </w:r>
      <w:r w:rsidR="008A70F2" w:rsidRPr="007F168A">
        <w:rPr>
          <w:rFonts w:ascii="Times New Roman" w:hAnsi="Times New Roman" w:cs="Times New Roman"/>
          <w:sz w:val="20"/>
          <w:szCs w:val="20"/>
          <w:lang w:val="en-GB"/>
        </w:rPr>
        <w:t xml:space="preserve"> analyses,</w:t>
      </w:r>
      <w:r w:rsidRPr="007F168A">
        <w:rPr>
          <w:rFonts w:ascii="Times New Roman" w:hAnsi="Times New Roman" w:cs="Times New Roman"/>
          <w:sz w:val="20"/>
          <w:szCs w:val="20"/>
          <w:lang w:val="en-GB"/>
        </w:rPr>
        <w:t xml:space="preserve"> time-locked to the last stimulus</w:t>
      </w:r>
      <w:r w:rsidR="008A70F2" w:rsidRPr="007F168A">
        <w:rPr>
          <w:rFonts w:ascii="Times New Roman" w:hAnsi="Times New Roman" w:cs="Times New Roman"/>
          <w:sz w:val="20"/>
          <w:szCs w:val="20"/>
          <w:lang w:val="en-GB"/>
        </w:rPr>
        <w:t>,</w:t>
      </w:r>
      <w:r w:rsidRPr="007F168A">
        <w:rPr>
          <w:rFonts w:ascii="Times New Roman" w:hAnsi="Times New Roman" w:cs="Times New Roman"/>
          <w:sz w:val="20"/>
          <w:szCs w:val="20"/>
          <w:lang w:val="en-GB"/>
        </w:rPr>
        <w:t xml:space="preserve"> were </w:t>
      </w:r>
      <w:r w:rsidR="008A70F2" w:rsidRPr="007F168A">
        <w:rPr>
          <w:rFonts w:ascii="Times New Roman" w:hAnsi="Times New Roman" w:cs="Times New Roman"/>
          <w:sz w:val="20"/>
          <w:szCs w:val="20"/>
          <w:lang w:val="en-GB"/>
        </w:rPr>
        <w:t>performed (see Methods section)</w:t>
      </w:r>
      <w:r w:rsidRPr="007F168A">
        <w:rPr>
          <w:rFonts w:ascii="Times New Roman" w:hAnsi="Times New Roman" w:cs="Times New Roman"/>
          <w:sz w:val="20"/>
          <w:szCs w:val="20"/>
          <w:lang w:val="en-GB"/>
        </w:rPr>
        <w:t xml:space="preserve">. </w:t>
      </w:r>
    </w:p>
    <w:p w14:paraId="46E9573F" w14:textId="00C4E162" w:rsidR="00E70535" w:rsidRPr="007F168A" w:rsidRDefault="00E70535">
      <w:pPr>
        <w:rPr>
          <w:rFonts w:ascii="Times New Roman" w:hAnsi="Times New Roman" w:cs="Times New Roman"/>
          <w:sz w:val="20"/>
          <w:szCs w:val="20"/>
          <w:lang w:val="en-GB"/>
        </w:rPr>
      </w:pPr>
    </w:p>
    <w:p w14:paraId="1C0729BF" w14:textId="59D94041" w:rsidR="00E70535" w:rsidRPr="007F168A" w:rsidRDefault="00E70535">
      <w:pPr>
        <w:rPr>
          <w:rFonts w:ascii="Times New Roman" w:hAnsi="Times New Roman" w:cs="Times New Roman"/>
          <w:sz w:val="20"/>
          <w:szCs w:val="20"/>
          <w:lang w:val="en-GB"/>
        </w:rPr>
      </w:pPr>
    </w:p>
    <w:p w14:paraId="7E82E7F8" w14:textId="46B1A63C" w:rsidR="00E70535" w:rsidRPr="007F168A" w:rsidRDefault="008A70F2">
      <w:pPr>
        <w:rPr>
          <w:rFonts w:ascii="Times New Roman" w:hAnsi="Times New Roman" w:cs="Times New Roman"/>
          <w:sz w:val="20"/>
          <w:szCs w:val="20"/>
          <w:lang w:val="en-GB"/>
        </w:rPr>
      </w:pPr>
      <w:r w:rsidRPr="007F168A">
        <w:rPr>
          <w:rFonts w:ascii="Times New Roman" w:hAnsi="Times New Roman" w:cs="Times New Roman"/>
          <w:noProof/>
          <w:sz w:val="20"/>
          <w:szCs w:val="20"/>
        </w:rPr>
        <w:drawing>
          <wp:inline distT="0" distB="0" distL="0" distR="0" wp14:anchorId="28431959" wp14:editId="2C92DEB1">
            <wp:extent cx="4086225" cy="4259289"/>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96826" cy="4270339"/>
                    </a:xfrm>
                    <a:prstGeom prst="rect">
                      <a:avLst/>
                    </a:prstGeom>
                  </pic:spPr>
                </pic:pic>
              </a:graphicData>
            </a:graphic>
          </wp:inline>
        </w:drawing>
      </w:r>
    </w:p>
    <w:p w14:paraId="42D11FE8" w14:textId="6BC1F0B4" w:rsidR="00E70535" w:rsidRPr="007F168A" w:rsidRDefault="00E70535">
      <w:pPr>
        <w:rPr>
          <w:rFonts w:ascii="Times New Roman" w:hAnsi="Times New Roman" w:cs="Times New Roman"/>
          <w:sz w:val="20"/>
          <w:szCs w:val="20"/>
          <w:lang w:val="en-GB"/>
        </w:rPr>
      </w:pPr>
    </w:p>
    <w:p w14:paraId="5C50B212" w14:textId="77777777" w:rsidR="008A70F2" w:rsidRPr="008A70F2" w:rsidRDefault="008A70F2" w:rsidP="008A70F2">
      <w:pPr>
        <w:rPr>
          <w:rFonts w:ascii="Times New Roman" w:eastAsia="Times New Roman" w:hAnsi="Times New Roman" w:cs="Times New Roman"/>
          <w:color w:val="000000" w:themeColor="text1"/>
          <w:sz w:val="20"/>
          <w:szCs w:val="20"/>
          <w:shd w:val="clear" w:color="auto" w:fill="FFFFFF"/>
          <w:lang w:val="en-GB" w:eastAsia="en-GB"/>
        </w:rPr>
      </w:pPr>
      <w:r w:rsidRPr="007F168A">
        <w:rPr>
          <w:rFonts w:ascii="Times New Roman" w:eastAsia="Times New Roman" w:hAnsi="Times New Roman" w:cs="Times New Roman"/>
          <w:color w:val="000000" w:themeColor="text1"/>
          <w:sz w:val="20"/>
          <w:szCs w:val="20"/>
          <w:shd w:val="clear" w:color="auto" w:fill="FFFFFF"/>
          <w:lang w:val="en-GB" w:eastAsia="en-GB"/>
        </w:rPr>
        <w:t>Figure 2. Statistical results obtained in the analyses of N1, P2 (Frontocentral cluster), N1b (C3, C4) and Tb (T7, T8). No significant main effects or interactions were observed.</w:t>
      </w:r>
      <w:r w:rsidRPr="008A70F2">
        <w:rPr>
          <w:rFonts w:ascii="Times New Roman" w:eastAsia="Times New Roman" w:hAnsi="Times New Roman" w:cs="Times New Roman"/>
          <w:color w:val="000000" w:themeColor="text1"/>
          <w:sz w:val="20"/>
          <w:szCs w:val="20"/>
          <w:shd w:val="clear" w:color="auto" w:fill="FFFFFF"/>
          <w:lang w:val="en-GB" w:eastAsia="en-GB"/>
        </w:rPr>
        <w:t xml:space="preserve"> </w:t>
      </w:r>
    </w:p>
    <w:p w14:paraId="3CED1FA6" w14:textId="4954FBE7" w:rsidR="00E70535" w:rsidRPr="00E70535" w:rsidRDefault="00E70535" w:rsidP="008A70F2">
      <w:pPr>
        <w:rPr>
          <w:rFonts w:ascii="Times New Roman" w:hAnsi="Times New Roman" w:cs="Times New Roman"/>
          <w:sz w:val="20"/>
          <w:szCs w:val="20"/>
          <w:lang w:val="en-GB"/>
        </w:rPr>
      </w:pPr>
    </w:p>
    <w:sectPr w:rsidR="00E70535" w:rsidRPr="00E70535" w:rsidSect="007F16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535"/>
    <w:rsid w:val="00250B77"/>
    <w:rsid w:val="0041243A"/>
    <w:rsid w:val="00542133"/>
    <w:rsid w:val="00755F5F"/>
    <w:rsid w:val="007F168A"/>
    <w:rsid w:val="00846C76"/>
    <w:rsid w:val="008A70F2"/>
    <w:rsid w:val="008F6198"/>
    <w:rsid w:val="009469D7"/>
    <w:rsid w:val="009D7BB9"/>
    <w:rsid w:val="00E55438"/>
    <w:rsid w:val="00E70535"/>
    <w:rsid w:val="00FC1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9C471"/>
  <w15:chartTrackingRefBased/>
  <w15:docId w15:val="{16A80B41-B6BB-674D-B2DD-96C8A17FB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Álvaro</dc:creator>
  <cp:keywords/>
  <dc:description/>
  <cp:lastModifiedBy>Ramya G</cp:lastModifiedBy>
  <cp:revision>11</cp:revision>
  <dcterms:created xsi:type="dcterms:W3CDTF">2021-09-20T14:59:00Z</dcterms:created>
  <dcterms:modified xsi:type="dcterms:W3CDTF">2021-09-27T10:57:00Z</dcterms:modified>
</cp:coreProperties>
</file>