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ADD5A" w14:textId="1D8C18A8" w:rsidR="00AA565A" w:rsidRPr="0007492D" w:rsidRDefault="00AA565A" w:rsidP="00AA565A">
      <w:pPr>
        <w:spacing w:after="0" w:line="480" w:lineRule="auto"/>
        <w:jc w:val="both"/>
        <w:rPr>
          <w:rFonts w:ascii="Arial" w:hAnsi="Arial" w:cs="Arial"/>
          <w:b/>
          <w:sz w:val="24"/>
        </w:rPr>
      </w:pPr>
      <w:r w:rsidRPr="0007492D">
        <w:rPr>
          <w:rFonts w:ascii="Arial" w:hAnsi="Arial" w:cs="Arial"/>
          <w:b/>
          <w:sz w:val="24"/>
        </w:rPr>
        <w:t>SUPPLEMENTARY FIGURE LEGENDS</w:t>
      </w:r>
    </w:p>
    <w:p w14:paraId="0CD3EEC8" w14:textId="4A5536FF" w:rsidR="00AA565A" w:rsidRPr="004E5594" w:rsidRDefault="00AA565A" w:rsidP="00AA565A">
      <w:pPr>
        <w:spacing w:after="0" w:line="480" w:lineRule="auto"/>
        <w:jc w:val="both"/>
        <w:rPr>
          <w:rFonts w:ascii="Arial" w:hAnsi="Arial" w:cs="Arial"/>
          <w:bCs/>
          <w:sz w:val="24"/>
        </w:rPr>
      </w:pPr>
      <w:r w:rsidRPr="004E5594">
        <w:rPr>
          <w:rFonts w:ascii="Arial" w:hAnsi="Arial" w:cs="Arial"/>
          <w:b/>
          <w:sz w:val="24"/>
        </w:rPr>
        <w:t xml:space="preserve">Supplementary Figure 1. Status of corneal keratometry and pachymetry indices in keratoconus patients: </w:t>
      </w:r>
      <w:r w:rsidRPr="004E5594">
        <w:rPr>
          <w:rFonts w:ascii="Arial" w:hAnsi="Arial" w:cs="Arial"/>
          <w:bCs/>
          <w:sz w:val="24"/>
        </w:rPr>
        <w:t>The graphs indicate (a) flat keratometry – K1, (b) steep keratometry – K2, (c) mean keratometry – Kmean, (d) maximum keratometry – Kmax, (e) central corneal thickness and (f) thinnest corneal thickness in KC patients. CCT – central corneal thickness; FFKC – Forme fruste keratoconus; D – diopter; KC – keratoconus; TCT – thinnest corneal thickness; SEM - standard error of the mean; FFKC (6 eyes), grade 1 KC (14 eyes), grade 2 KC (8 eyes), grade 3 or 4 (23 eyes); Bar graphs represent Mean±SEM; **P&lt;0.01, ***P&lt;0.001, ****P&lt;0.0001, Mann-Whitney test.</w:t>
      </w:r>
    </w:p>
    <w:p w14:paraId="397C2A73" w14:textId="77777777" w:rsidR="00AA565A" w:rsidRPr="004E5594" w:rsidRDefault="00AA565A" w:rsidP="00AA565A">
      <w:pPr>
        <w:spacing w:after="0" w:line="480" w:lineRule="auto"/>
        <w:jc w:val="both"/>
        <w:rPr>
          <w:rFonts w:ascii="Arial" w:hAnsi="Arial" w:cs="Arial"/>
          <w:bCs/>
          <w:sz w:val="24"/>
        </w:rPr>
      </w:pPr>
    </w:p>
    <w:p w14:paraId="6B7555AA" w14:textId="154E1232" w:rsidR="00AA565A" w:rsidRDefault="00AA565A" w:rsidP="00AA565A">
      <w:pPr>
        <w:spacing w:after="0" w:line="480" w:lineRule="auto"/>
        <w:jc w:val="both"/>
        <w:rPr>
          <w:rStyle w:val="fontstyle31"/>
          <w:rFonts w:ascii="Arial" w:hAnsi="Arial" w:cs="Arial"/>
        </w:rPr>
      </w:pPr>
      <w:r w:rsidRPr="004E5594">
        <w:rPr>
          <w:rStyle w:val="fontstyle21"/>
          <w:rFonts w:ascii="Arial" w:hAnsi="Arial" w:cs="Arial"/>
        </w:rPr>
        <w:t xml:space="preserve">Supplementary Figure 2. Gating strategy to phenotype ocular surface immune cell subsets in study subjects with and without keratoconus: </w:t>
      </w:r>
      <w:r w:rsidRPr="004E5594">
        <w:rPr>
          <w:rStyle w:val="fontstyle31"/>
          <w:rFonts w:ascii="Arial" w:hAnsi="Arial" w:cs="Arial"/>
        </w:rPr>
        <w:t>Representative images shows gating strategies used to determine the immune cell populations (specifically leukocytes, neutrophils, macrophages, natural killer cells, T cells, gamma delta T cells and NKT cells) in the ocular surface wash samples from subjects with and without KC. The cells from respective samples were stained for different cell surface markers-specific fluorochrome-conjugated antibodies and serial gating strategies (marked with arrows) were performed. (</w:t>
      </w:r>
      <w:r w:rsidRPr="00781D79">
        <w:rPr>
          <w:rStyle w:val="fontstyle31"/>
          <w:rFonts w:ascii="Arial" w:hAnsi="Arial" w:cs="Arial"/>
          <w:b/>
          <w:bCs/>
        </w:rPr>
        <w:t>i</w:t>
      </w:r>
      <w:r w:rsidRPr="004E5594">
        <w:rPr>
          <w:rStyle w:val="fontstyle31"/>
          <w:rFonts w:ascii="Arial" w:hAnsi="Arial" w:cs="Arial"/>
        </w:rPr>
        <w:t>) The marked region CD45 (APC-H7) versus Side Scatter (SSC) represents the leukocytes population. (</w:t>
      </w:r>
      <w:r w:rsidRPr="00781D79">
        <w:rPr>
          <w:rStyle w:val="fontstyle31"/>
          <w:rFonts w:ascii="Arial" w:hAnsi="Arial" w:cs="Arial"/>
          <w:b/>
          <w:bCs/>
        </w:rPr>
        <w:t>ii</w:t>
      </w:r>
      <w:r w:rsidRPr="004E5594">
        <w:rPr>
          <w:rStyle w:val="fontstyle31"/>
          <w:rFonts w:ascii="Arial" w:hAnsi="Arial" w:cs="Arial"/>
        </w:rPr>
        <w:t>) The top right quadrant in this panel indicates cells positively stained for both CD66b (AF647) and CD45 (APC-H7). They represent neutrophils present among the CD45</w:t>
      </w:r>
      <w:r w:rsidRPr="004E5594">
        <w:rPr>
          <w:rStyle w:val="fontstyle31"/>
          <w:rFonts w:ascii="Arial" w:hAnsi="Arial" w:cs="Arial"/>
          <w:vertAlign w:val="superscript"/>
        </w:rPr>
        <w:t>+</w:t>
      </w:r>
      <w:r w:rsidRPr="004E5594">
        <w:rPr>
          <w:rStyle w:val="fontstyle31"/>
          <w:rFonts w:ascii="Arial" w:hAnsi="Arial" w:cs="Arial"/>
        </w:rPr>
        <w:t xml:space="preserve"> cells. The quadrant is further subdivided into two types based on the expression or signal strength of CD66b (AF647) into CD66b</w:t>
      </w:r>
      <w:r w:rsidRPr="004E5594">
        <w:rPr>
          <w:rStyle w:val="fontstyle31"/>
          <w:rFonts w:ascii="Arial" w:hAnsi="Arial" w:cs="Arial"/>
          <w:vertAlign w:val="superscript"/>
        </w:rPr>
        <w:t>High</w:t>
      </w:r>
      <w:r w:rsidRPr="004E5594">
        <w:rPr>
          <w:rStyle w:val="fontstyle31"/>
          <w:rFonts w:ascii="Arial" w:hAnsi="Arial" w:cs="Arial"/>
        </w:rPr>
        <w:t xml:space="preserve"> and CD66b</w:t>
      </w:r>
      <w:r w:rsidRPr="004E5594">
        <w:rPr>
          <w:rStyle w:val="fontstyle31"/>
          <w:rFonts w:ascii="Arial" w:hAnsi="Arial" w:cs="Arial"/>
          <w:vertAlign w:val="superscript"/>
        </w:rPr>
        <w:t>Low</w:t>
      </w:r>
      <w:r w:rsidRPr="004E5594">
        <w:rPr>
          <w:rStyle w:val="fontstyle31"/>
          <w:rFonts w:ascii="Arial" w:hAnsi="Arial" w:cs="Arial"/>
        </w:rPr>
        <w:t xml:space="preserve"> representing the activated and quiescent neutrophil populations, respectively. (</w:t>
      </w:r>
      <w:r w:rsidRPr="00781D79">
        <w:rPr>
          <w:rStyle w:val="fontstyle31"/>
          <w:rFonts w:ascii="Arial" w:hAnsi="Arial" w:cs="Arial"/>
          <w:b/>
          <w:bCs/>
        </w:rPr>
        <w:t>iii</w:t>
      </w:r>
      <w:r w:rsidRPr="004E5594">
        <w:rPr>
          <w:rStyle w:val="fontstyle31"/>
          <w:rFonts w:ascii="Arial" w:hAnsi="Arial" w:cs="Arial"/>
        </w:rPr>
        <w:t xml:space="preserve">) The upper right quadrant </w:t>
      </w:r>
      <w:r w:rsidRPr="004E5594">
        <w:rPr>
          <w:rStyle w:val="fontstyle31"/>
          <w:rFonts w:ascii="Arial" w:hAnsi="Arial" w:cs="Arial"/>
        </w:rPr>
        <w:lastRenderedPageBreak/>
        <w:t xml:space="preserve">represents macrophages, the cells that are positively stained for both and CD163 (FITC) and CD45 (APC-H7). </w:t>
      </w:r>
      <w:r w:rsidRPr="00781D79">
        <w:rPr>
          <w:rStyle w:val="fontstyle31"/>
          <w:rFonts w:ascii="Arial" w:hAnsi="Arial" w:cs="Arial"/>
        </w:rPr>
        <w:t>(</w:t>
      </w:r>
      <w:r w:rsidRPr="00781D79">
        <w:rPr>
          <w:rStyle w:val="fontstyle21"/>
          <w:rFonts w:ascii="Arial" w:hAnsi="Arial" w:cs="Arial"/>
        </w:rPr>
        <w:t>iv</w:t>
      </w:r>
      <w:r w:rsidRPr="00781D79">
        <w:rPr>
          <w:rStyle w:val="fontstyle31"/>
          <w:rFonts w:ascii="Arial" w:hAnsi="Arial" w:cs="Arial"/>
        </w:rPr>
        <w:t>)</w:t>
      </w:r>
      <w:r w:rsidRPr="004E5594">
        <w:rPr>
          <w:rStyle w:val="fontstyle31"/>
          <w:rFonts w:ascii="Arial" w:hAnsi="Arial" w:cs="Arial"/>
        </w:rPr>
        <w:t xml:space="preserve"> The top left quadrant in this panel indicates CD45 (APC-H7) positive cells that are stained for CD56 (PE-Cy7) but not CD66b (AF647). These cells represent Natural Killer (NK) cells present among the CD45</w:t>
      </w:r>
      <w:r w:rsidRPr="004E5594">
        <w:rPr>
          <w:rStyle w:val="fontstyle31"/>
          <w:rFonts w:ascii="Arial" w:hAnsi="Arial" w:cs="Arial"/>
          <w:vertAlign w:val="superscript"/>
        </w:rPr>
        <w:t>+</w:t>
      </w:r>
      <w:r w:rsidRPr="004E5594">
        <w:rPr>
          <w:rStyle w:val="fontstyle31"/>
          <w:rFonts w:ascii="Arial" w:hAnsi="Arial" w:cs="Arial"/>
        </w:rPr>
        <w:t xml:space="preserve"> cells. The quadrant is further subdivided into two based on the expression or signal strength of CD56 (PE-Cy7) into CD56</w:t>
      </w:r>
      <w:r w:rsidRPr="004E5594">
        <w:rPr>
          <w:rStyle w:val="fontstyle31"/>
          <w:rFonts w:ascii="Arial" w:hAnsi="Arial" w:cs="Arial"/>
          <w:vertAlign w:val="superscript"/>
        </w:rPr>
        <w:t>High</w:t>
      </w:r>
      <w:r w:rsidRPr="004E5594">
        <w:rPr>
          <w:rStyle w:val="fontstyle31"/>
          <w:rFonts w:ascii="Arial" w:hAnsi="Arial" w:cs="Arial"/>
        </w:rPr>
        <w:t xml:space="preserve"> and CD56</w:t>
      </w:r>
      <w:r w:rsidRPr="004E5594">
        <w:rPr>
          <w:rStyle w:val="fontstyle31"/>
          <w:rFonts w:ascii="Arial" w:hAnsi="Arial" w:cs="Arial"/>
          <w:vertAlign w:val="superscript"/>
        </w:rPr>
        <w:t>Low</w:t>
      </w:r>
      <w:r w:rsidRPr="004E5594">
        <w:rPr>
          <w:rStyle w:val="fontstyle31"/>
          <w:rFonts w:ascii="Arial" w:hAnsi="Arial" w:cs="Arial"/>
        </w:rPr>
        <w:t xml:space="preserve"> representing the enhanced cytokine producing less cytotoxic and cytotoxic forms of NK populations, respectively. </w:t>
      </w:r>
      <w:r w:rsidRPr="00781D79">
        <w:rPr>
          <w:rStyle w:val="fontstyle31"/>
          <w:rFonts w:ascii="Arial" w:hAnsi="Arial" w:cs="Arial"/>
        </w:rPr>
        <w:t>(</w:t>
      </w:r>
      <w:r w:rsidRPr="00781D79">
        <w:rPr>
          <w:rStyle w:val="fontstyle31"/>
          <w:rFonts w:ascii="Arial" w:hAnsi="Arial" w:cs="Arial"/>
          <w:b/>
          <w:bCs/>
        </w:rPr>
        <w:t>v</w:t>
      </w:r>
      <w:r w:rsidRPr="00781D79">
        <w:rPr>
          <w:rStyle w:val="fontstyle31"/>
          <w:rFonts w:ascii="Arial" w:hAnsi="Arial" w:cs="Arial"/>
        </w:rPr>
        <w:t>)</w:t>
      </w:r>
      <w:r w:rsidRPr="004E5594">
        <w:rPr>
          <w:rStyle w:val="fontstyle31"/>
          <w:rFonts w:ascii="Arial" w:hAnsi="Arial" w:cs="Arial"/>
        </w:rPr>
        <w:t xml:space="preserve"> The upper right quadrant represents cells that are positively stained for both and CD3 (PE) and CD45 (APC-H7). These cells are categorized as pan-T cells among the CD45</w:t>
      </w:r>
      <w:r w:rsidRPr="004E5594">
        <w:rPr>
          <w:rStyle w:val="fontstyle31"/>
          <w:rFonts w:ascii="Arial" w:hAnsi="Arial" w:cs="Arial"/>
          <w:vertAlign w:val="superscript"/>
        </w:rPr>
        <w:t>+</w:t>
      </w:r>
      <w:r w:rsidRPr="004E5594">
        <w:rPr>
          <w:rStyle w:val="fontstyle31"/>
          <w:rFonts w:ascii="Arial" w:hAnsi="Arial" w:cs="Arial"/>
        </w:rPr>
        <w:t xml:space="preserve"> cells. (</w:t>
      </w:r>
      <w:r w:rsidRPr="004E5594">
        <w:rPr>
          <w:rStyle w:val="fontstyle21"/>
          <w:rFonts w:ascii="Arial" w:hAnsi="Arial" w:cs="Arial"/>
        </w:rPr>
        <w:t>vi</w:t>
      </w:r>
      <w:r w:rsidRPr="004E5594">
        <w:rPr>
          <w:rStyle w:val="fontstyle31"/>
          <w:rFonts w:ascii="Arial" w:hAnsi="Arial" w:cs="Arial"/>
        </w:rPr>
        <w:t xml:space="preserve">) The upper right quadrant in this panel indicates CD45 (APC-H7) positive cells stained for both γδTCR (PerCP-Cy5.5) and CD3 (PE) and they represent gamma delta T (γδT) cells. </w:t>
      </w:r>
      <w:r w:rsidRPr="00781D79">
        <w:rPr>
          <w:rStyle w:val="fontstyle31"/>
          <w:rFonts w:ascii="Arial" w:hAnsi="Arial" w:cs="Arial"/>
        </w:rPr>
        <w:t>(</w:t>
      </w:r>
      <w:r w:rsidRPr="00781D79">
        <w:rPr>
          <w:rStyle w:val="fontstyle31"/>
          <w:rFonts w:ascii="Arial" w:hAnsi="Arial" w:cs="Arial"/>
          <w:b/>
          <w:bCs/>
        </w:rPr>
        <w:t>vii</w:t>
      </w:r>
      <w:r w:rsidRPr="00781D79">
        <w:rPr>
          <w:rStyle w:val="fontstyle31"/>
          <w:rFonts w:ascii="Arial" w:hAnsi="Arial" w:cs="Arial"/>
        </w:rPr>
        <w:t>)</w:t>
      </w:r>
      <w:r w:rsidRPr="004E5594">
        <w:rPr>
          <w:rStyle w:val="fontstyle31"/>
          <w:rFonts w:ascii="Arial" w:hAnsi="Arial" w:cs="Arial"/>
        </w:rPr>
        <w:t xml:space="preserve"> The upper right quadrant represents CD45 (APC-H7) positive cells stained for both and CD56 (PE-Cy7) and CD3 (PE) and represent Natural Killer T (NKT) cells. The numbers of specific immune cells along with the number of leukocytes were used to compute the percentage of each immune cell subsets </w:t>
      </w:r>
      <w:r w:rsidR="00781D79">
        <w:rPr>
          <w:rStyle w:val="fontstyle31"/>
          <w:rFonts w:ascii="Arial" w:hAnsi="Arial" w:cs="Arial"/>
        </w:rPr>
        <w:t xml:space="preserve">within the ocular surface leukocyte population </w:t>
      </w:r>
      <w:r w:rsidRPr="004E5594">
        <w:rPr>
          <w:rStyle w:val="fontstyle31"/>
          <w:rFonts w:ascii="Arial" w:hAnsi="Arial" w:cs="Arial"/>
        </w:rPr>
        <w:t xml:space="preserve">for each study subject. </w:t>
      </w:r>
    </w:p>
    <w:p w14:paraId="725C33C0" w14:textId="77777777" w:rsidR="00AA565A" w:rsidRPr="00AA565A" w:rsidRDefault="00AA565A" w:rsidP="00AA565A"/>
    <w:sectPr w:rsidR="00AA565A" w:rsidRPr="00AA5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5A"/>
    <w:rsid w:val="00046116"/>
    <w:rsid w:val="0007492D"/>
    <w:rsid w:val="00781D79"/>
    <w:rsid w:val="00AA565A"/>
    <w:rsid w:val="00DC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CEB4"/>
  <w15:chartTrackingRefBased/>
  <w15:docId w15:val="{0B37A821-3426-40F4-936A-7B84A4F5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65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basedOn w:val="DefaultParagraphFont"/>
    <w:rsid w:val="00AA565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A565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6</cp:revision>
  <dcterms:created xsi:type="dcterms:W3CDTF">2021-07-24T00:36:00Z</dcterms:created>
  <dcterms:modified xsi:type="dcterms:W3CDTF">2021-10-08T03:00:00Z</dcterms:modified>
</cp:coreProperties>
</file>