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7EEE6" w14:textId="7329D64D" w:rsidR="00654E8F" w:rsidRDefault="00654E8F" w:rsidP="0001436A">
      <w:pPr>
        <w:pStyle w:val="SupplementaryMaterial"/>
        <w:rPr>
          <w:i w:val="0"/>
        </w:rPr>
      </w:pPr>
      <w:r w:rsidRPr="00C2331C">
        <w:rPr>
          <w:i w:val="0"/>
        </w:rPr>
        <w:t>Supplementary Material</w:t>
      </w:r>
    </w:p>
    <w:p w14:paraId="3549B9D4" w14:textId="4035D7F4" w:rsidR="00C2331C" w:rsidRPr="00376CC5" w:rsidRDefault="00C2331C" w:rsidP="00C2331C">
      <w:pPr>
        <w:pStyle w:val="Ttulo"/>
        <w:spacing w:line="276" w:lineRule="auto"/>
        <w:jc w:val="left"/>
      </w:pPr>
      <w:r w:rsidRPr="00F86FE2">
        <w:t>Wounding</w:t>
      </w:r>
      <w:r w:rsidR="006A069B">
        <w:t xml:space="preserve"> response</w:t>
      </w:r>
      <w:r w:rsidRPr="00F86FE2">
        <w:t xml:space="preserve"> in Porifera (sponges) activates ancestral signaling cascades involved in animal healing, regeneration, and cancer</w:t>
      </w:r>
    </w:p>
    <w:p w14:paraId="686AC790" w14:textId="77777777" w:rsidR="00C2331C" w:rsidRPr="000C1600" w:rsidRDefault="00C2331C" w:rsidP="00C2331C">
      <w:pPr>
        <w:spacing w:before="240" w:after="0" w:line="276" w:lineRule="auto"/>
        <w:rPr>
          <w:rFonts w:cs="Times New Roman"/>
          <w:szCs w:val="24"/>
          <w:lang w:val="es-ES"/>
        </w:rPr>
      </w:pPr>
      <w:proofErr w:type="spellStart"/>
      <w:r w:rsidRPr="000C1600">
        <w:rPr>
          <w:rFonts w:cs="Times New Roman"/>
          <w:szCs w:val="24"/>
          <w:lang w:val="es-ES"/>
        </w:rPr>
        <w:t>Yu</w:t>
      </w:r>
      <w:proofErr w:type="spellEnd"/>
      <w:r w:rsidRPr="000C1600">
        <w:rPr>
          <w:rFonts w:cs="Times New Roman"/>
          <w:szCs w:val="24"/>
          <w:lang w:val="es-ES"/>
        </w:rPr>
        <w:t>-Chen Wu</w:t>
      </w:r>
      <w:r w:rsidRPr="000C1600">
        <w:rPr>
          <w:rFonts w:cs="Times New Roman"/>
          <w:szCs w:val="24"/>
          <w:vertAlign w:val="superscript"/>
          <w:lang w:val="es-ES"/>
        </w:rPr>
        <w:t>1,2</w:t>
      </w:r>
      <w:r w:rsidRPr="000C1600">
        <w:rPr>
          <w:rFonts w:cs="Times New Roman"/>
          <w:szCs w:val="24"/>
          <w:lang w:val="es-ES"/>
        </w:rPr>
        <w:t xml:space="preserve">, </w:t>
      </w:r>
      <w:proofErr w:type="spellStart"/>
      <w:r w:rsidRPr="000C1600">
        <w:rPr>
          <w:rFonts w:cs="Times New Roman"/>
          <w:szCs w:val="24"/>
          <w:lang w:val="es-ES"/>
        </w:rPr>
        <w:t>Soeren</w:t>
      </w:r>
      <w:proofErr w:type="spellEnd"/>
      <w:r w:rsidRPr="000C1600">
        <w:rPr>
          <w:rFonts w:cs="Times New Roman"/>
          <w:szCs w:val="24"/>
          <w:lang w:val="es-ES"/>
        </w:rPr>
        <w:t xml:space="preserve"> Franzenburg</w:t>
      </w:r>
      <w:r w:rsidRPr="000C1600">
        <w:rPr>
          <w:rFonts w:cs="Times New Roman"/>
          <w:szCs w:val="24"/>
          <w:vertAlign w:val="superscript"/>
          <w:lang w:val="es-ES"/>
        </w:rPr>
        <w:t>3</w:t>
      </w:r>
      <w:r w:rsidRPr="000C1600">
        <w:rPr>
          <w:rFonts w:cs="Times New Roman"/>
          <w:szCs w:val="24"/>
          <w:lang w:val="es-ES"/>
        </w:rPr>
        <w:t xml:space="preserve"> (0000-0001-6374-4910), Marta Ribes</w:t>
      </w:r>
      <w:r w:rsidRPr="000C1600">
        <w:rPr>
          <w:rFonts w:cs="Times New Roman"/>
          <w:szCs w:val="24"/>
          <w:vertAlign w:val="superscript"/>
          <w:lang w:val="es-ES"/>
        </w:rPr>
        <w:t>4</w:t>
      </w:r>
      <w:r w:rsidRPr="000C1600">
        <w:rPr>
          <w:rFonts w:cs="Times New Roman"/>
          <w:szCs w:val="24"/>
          <w:lang w:val="es-ES"/>
        </w:rPr>
        <w:t xml:space="preserve"> (0000-0001-9747-295), Lucía Pita</w:t>
      </w:r>
      <w:r w:rsidRPr="000C1600">
        <w:rPr>
          <w:rFonts w:cs="Times New Roman"/>
          <w:szCs w:val="24"/>
          <w:vertAlign w:val="superscript"/>
          <w:lang w:val="es-ES"/>
        </w:rPr>
        <w:t>1</w:t>
      </w:r>
      <w:r w:rsidRPr="000C1600">
        <w:rPr>
          <w:rFonts w:cs="Times New Roman"/>
          <w:szCs w:val="24"/>
          <w:lang w:val="es-ES"/>
        </w:rPr>
        <w:t>* (000-0003-0163-1587)</w:t>
      </w:r>
    </w:p>
    <w:p w14:paraId="270F3140" w14:textId="77777777" w:rsidR="00C2331C" w:rsidRPr="000C1600" w:rsidRDefault="00C2331C" w:rsidP="00C2331C">
      <w:pPr>
        <w:pStyle w:val="Ttulo"/>
        <w:rPr>
          <w:lang w:val="es-ES"/>
        </w:rPr>
      </w:pPr>
    </w:p>
    <w:p w14:paraId="3BD5A427" w14:textId="77777777" w:rsidR="00EA3D3C" w:rsidRPr="00994A3D" w:rsidRDefault="00654E8F" w:rsidP="0001436A">
      <w:pPr>
        <w:pStyle w:val="Ttulo1"/>
      </w:pPr>
      <w:r w:rsidRPr="00994A3D">
        <w:t>Supplementary Data</w:t>
      </w:r>
    </w:p>
    <w:p w14:paraId="3DB5A618" w14:textId="4377A2DE" w:rsidR="00993044" w:rsidRPr="00A322B0" w:rsidRDefault="00993044" w:rsidP="00993044">
      <w:pPr>
        <w:shd w:val="clear" w:color="auto" w:fill="FFFFFF"/>
        <w:spacing w:before="240" w:after="0"/>
        <w:contextualSpacing/>
        <w:jc w:val="both"/>
        <w:rPr>
          <w:rFonts w:cs="Times New Roman"/>
          <w:color w:val="000000"/>
          <w:szCs w:val="24"/>
        </w:rPr>
      </w:pPr>
      <w:r>
        <w:rPr>
          <w:rFonts w:cs="Times New Roman"/>
          <w:b/>
          <w:color w:val="000000"/>
          <w:szCs w:val="24"/>
        </w:rPr>
        <w:t>Supplementary Data 1</w:t>
      </w:r>
      <w:r w:rsidR="00B074F1">
        <w:rPr>
          <w:rFonts w:cs="Times New Roman"/>
          <w:b/>
          <w:color w:val="000000"/>
          <w:szCs w:val="24"/>
        </w:rPr>
        <w:t>.</w:t>
      </w:r>
      <w:r w:rsidRPr="00A322B0">
        <w:rPr>
          <w:rFonts w:cs="Times New Roman"/>
          <w:b/>
          <w:color w:val="000000"/>
          <w:szCs w:val="24"/>
        </w:rPr>
        <w:t xml:space="preserve"> </w:t>
      </w:r>
      <w:r w:rsidRPr="00A322B0">
        <w:rPr>
          <w:rFonts w:cs="Times New Roman"/>
          <w:color w:val="000000"/>
          <w:szCs w:val="24"/>
        </w:rPr>
        <w:t xml:space="preserve">DEGs in 3h experiment as obtained by </w:t>
      </w:r>
      <w:proofErr w:type="spellStart"/>
      <w:r w:rsidRPr="00A322B0">
        <w:rPr>
          <w:rFonts w:cs="Times New Roman"/>
          <w:color w:val="000000"/>
          <w:szCs w:val="24"/>
        </w:rPr>
        <w:t>edgeR</w:t>
      </w:r>
      <w:proofErr w:type="spellEnd"/>
      <w:r w:rsidRPr="00A322B0">
        <w:rPr>
          <w:rFonts w:cs="Times New Roman"/>
          <w:color w:val="000000"/>
          <w:szCs w:val="24"/>
        </w:rPr>
        <w:t xml:space="preserve"> (genes with FDR p-value &lt;0.005).  </w:t>
      </w:r>
      <w:proofErr w:type="spellStart"/>
      <w:r w:rsidRPr="00A322B0">
        <w:rPr>
          <w:rFonts w:cs="Times New Roman"/>
          <w:color w:val="000000"/>
          <w:szCs w:val="24"/>
        </w:rPr>
        <w:t>GeneID</w:t>
      </w:r>
      <w:proofErr w:type="spellEnd"/>
      <w:r w:rsidRPr="00A322B0">
        <w:rPr>
          <w:rFonts w:cs="Times New Roman"/>
          <w:color w:val="000000"/>
          <w:szCs w:val="24"/>
        </w:rPr>
        <w:t>:</w:t>
      </w:r>
      <w:r w:rsidR="00A741D8">
        <w:rPr>
          <w:rFonts w:cs="Times New Roman"/>
          <w:color w:val="000000"/>
          <w:szCs w:val="24"/>
        </w:rPr>
        <w:t xml:space="preserve"> </w:t>
      </w:r>
      <w:r w:rsidRPr="00A322B0">
        <w:rPr>
          <w:rFonts w:cs="Times New Roman"/>
          <w:color w:val="000000"/>
          <w:szCs w:val="24"/>
        </w:rPr>
        <w:t xml:space="preserve">Trinity component; </w:t>
      </w:r>
      <w:proofErr w:type="spellStart"/>
      <w:r w:rsidRPr="00A322B0">
        <w:rPr>
          <w:rFonts w:cs="Times New Roman"/>
          <w:color w:val="000000"/>
          <w:szCs w:val="24"/>
        </w:rPr>
        <w:t>logFC</w:t>
      </w:r>
      <w:proofErr w:type="spellEnd"/>
      <w:r w:rsidRPr="00A322B0">
        <w:rPr>
          <w:rFonts w:cs="Times New Roman"/>
          <w:color w:val="000000"/>
          <w:szCs w:val="24"/>
        </w:rPr>
        <w:t xml:space="preserve">: </w:t>
      </w:r>
      <w:proofErr w:type="gramStart"/>
      <w:r w:rsidRPr="00A322B0">
        <w:rPr>
          <w:rFonts w:cs="Times New Roman"/>
          <w:color w:val="000000"/>
          <w:szCs w:val="24"/>
        </w:rPr>
        <w:t>log(</w:t>
      </w:r>
      <w:proofErr w:type="gramEnd"/>
      <w:r w:rsidRPr="00A322B0">
        <w:rPr>
          <w:rFonts w:cs="Times New Roman"/>
          <w:color w:val="000000"/>
          <w:szCs w:val="24"/>
        </w:rPr>
        <w:t xml:space="preserve">fold change); </w:t>
      </w:r>
      <w:proofErr w:type="spellStart"/>
      <w:r w:rsidRPr="00A322B0">
        <w:rPr>
          <w:rFonts w:cs="Times New Roman"/>
          <w:color w:val="000000"/>
          <w:szCs w:val="24"/>
        </w:rPr>
        <w:t>Pfam</w:t>
      </w:r>
      <w:proofErr w:type="spellEnd"/>
      <w:r w:rsidRPr="00A322B0">
        <w:rPr>
          <w:rFonts w:cs="Times New Roman"/>
          <w:color w:val="000000"/>
          <w:szCs w:val="24"/>
        </w:rPr>
        <w:t xml:space="preserve">: </w:t>
      </w:r>
      <w:proofErr w:type="spellStart"/>
      <w:r w:rsidRPr="00A322B0">
        <w:rPr>
          <w:rFonts w:cs="Times New Roman"/>
          <w:color w:val="000000"/>
          <w:szCs w:val="24"/>
        </w:rPr>
        <w:t>Pfam</w:t>
      </w:r>
      <w:proofErr w:type="spellEnd"/>
      <w:r w:rsidRPr="00A322B0">
        <w:rPr>
          <w:rFonts w:cs="Times New Roman"/>
          <w:color w:val="000000"/>
          <w:szCs w:val="24"/>
        </w:rPr>
        <w:t xml:space="preserve"> annotation; </w:t>
      </w:r>
      <w:proofErr w:type="spellStart"/>
      <w:r w:rsidRPr="00A322B0">
        <w:rPr>
          <w:rFonts w:cs="Times New Roman"/>
          <w:color w:val="000000"/>
          <w:szCs w:val="24"/>
        </w:rPr>
        <w:t>sigP</w:t>
      </w:r>
      <w:proofErr w:type="spellEnd"/>
      <w:r w:rsidRPr="00A322B0">
        <w:rPr>
          <w:rFonts w:cs="Times New Roman"/>
          <w:color w:val="000000"/>
          <w:szCs w:val="24"/>
        </w:rPr>
        <w:t xml:space="preserve">: </w:t>
      </w:r>
      <w:proofErr w:type="spellStart"/>
      <w:r w:rsidRPr="00A322B0">
        <w:rPr>
          <w:rFonts w:cs="Times New Roman"/>
          <w:color w:val="000000"/>
          <w:szCs w:val="24"/>
        </w:rPr>
        <w:t>signalP</w:t>
      </w:r>
      <w:proofErr w:type="spellEnd"/>
      <w:r w:rsidRPr="00A322B0">
        <w:rPr>
          <w:rFonts w:cs="Times New Roman"/>
          <w:color w:val="000000"/>
          <w:szCs w:val="24"/>
        </w:rPr>
        <w:t xml:space="preserve"> annotation; </w:t>
      </w:r>
      <w:proofErr w:type="spellStart"/>
      <w:r w:rsidRPr="00A322B0">
        <w:rPr>
          <w:rFonts w:cs="Times New Roman"/>
          <w:color w:val="000000"/>
          <w:szCs w:val="24"/>
        </w:rPr>
        <w:t>blastPUniprot</w:t>
      </w:r>
      <w:proofErr w:type="spellEnd"/>
      <w:r w:rsidRPr="00A322B0">
        <w:rPr>
          <w:rFonts w:cs="Times New Roman"/>
          <w:color w:val="000000"/>
          <w:szCs w:val="24"/>
        </w:rPr>
        <w:t xml:space="preserve">: </w:t>
      </w:r>
      <w:proofErr w:type="spellStart"/>
      <w:r w:rsidRPr="00A322B0">
        <w:rPr>
          <w:rFonts w:cs="Times New Roman"/>
          <w:color w:val="000000"/>
          <w:szCs w:val="24"/>
        </w:rPr>
        <w:t>Uniprot</w:t>
      </w:r>
      <w:proofErr w:type="spellEnd"/>
      <w:r w:rsidRPr="00A322B0">
        <w:rPr>
          <w:rFonts w:cs="Times New Roman"/>
          <w:color w:val="000000"/>
          <w:szCs w:val="24"/>
        </w:rPr>
        <w:t xml:space="preserve"> protein name for best </w:t>
      </w:r>
      <w:proofErr w:type="spellStart"/>
      <w:r w:rsidRPr="00A322B0">
        <w:rPr>
          <w:rFonts w:cs="Times New Roman"/>
          <w:color w:val="000000"/>
          <w:szCs w:val="24"/>
        </w:rPr>
        <w:t>blastp</w:t>
      </w:r>
      <w:proofErr w:type="spellEnd"/>
      <w:r w:rsidRPr="00A322B0">
        <w:rPr>
          <w:rFonts w:cs="Times New Roman"/>
          <w:color w:val="000000"/>
          <w:szCs w:val="24"/>
        </w:rPr>
        <w:t xml:space="preserve"> hit; </w:t>
      </w:r>
      <w:proofErr w:type="spellStart"/>
      <w:r w:rsidRPr="00A322B0">
        <w:rPr>
          <w:rFonts w:cs="Times New Roman"/>
          <w:color w:val="000000"/>
          <w:szCs w:val="24"/>
        </w:rPr>
        <w:t>blastpDescription</w:t>
      </w:r>
      <w:proofErr w:type="spellEnd"/>
      <w:r w:rsidRPr="00A322B0">
        <w:rPr>
          <w:rFonts w:cs="Times New Roman"/>
          <w:color w:val="000000"/>
          <w:szCs w:val="24"/>
        </w:rPr>
        <w:t>: description of the protein name. No annotation is denoted with “.”. The count matrix for each DEG and sample is as well reported (“</w:t>
      </w:r>
      <w:proofErr w:type="spellStart"/>
      <w:proofErr w:type="gramStart"/>
      <w:r w:rsidRPr="00A322B0">
        <w:rPr>
          <w:rFonts w:cs="Times New Roman"/>
          <w:color w:val="000000"/>
          <w:szCs w:val="24"/>
        </w:rPr>
        <w:t>counts.matrix</w:t>
      </w:r>
      <w:proofErr w:type="spellEnd"/>
      <w:proofErr w:type="gramEnd"/>
      <w:r w:rsidRPr="00A322B0">
        <w:rPr>
          <w:rFonts w:cs="Times New Roman"/>
          <w:color w:val="000000"/>
          <w:szCs w:val="24"/>
        </w:rPr>
        <w:t>” sheet).</w:t>
      </w:r>
    </w:p>
    <w:p w14:paraId="7CB1B145" w14:textId="77777777" w:rsidR="00993044" w:rsidRPr="00A322B0" w:rsidRDefault="00993044" w:rsidP="00993044">
      <w:pPr>
        <w:shd w:val="clear" w:color="auto" w:fill="FFFFFF"/>
        <w:spacing w:before="240" w:after="0"/>
        <w:contextualSpacing/>
        <w:jc w:val="both"/>
        <w:rPr>
          <w:rFonts w:cs="Times New Roman"/>
          <w:b/>
          <w:color w:val="000000"/>
          <w:szCs w:val="24"/>
        </w:rPr>
      </w:pPr>
    </w:p>
    <w:p w14:paraId="47EA9A01" w14:textId="5FAFFE1B" w:rsidR="00993044" w:rsidRPr="00A322B0" w:rsidRDefault="00993044" w:rsidP="00993044">
      <w:pPr>
        <w:shd w:val="clear" w:color="auto" w:fill="FFFFFF"/>
        <w:spacing w:before="240" w:after="0"/>
        <w:contextualSpacing/>
        <w:jc w:val="both"/>
        <w:rPr>
          <w:rFonts w:cs="Times New Roman"/>
          <w:color w:val="000000"/>
          <w:szCs w:val="24"/>
        </w:rPr>
      </w:pPr>
      <w:r>
        <w:rPr>
          <w:rFonts w:cs="Times New Roman"/>
          <w:b/>
          <w:color w:val="000000"/>
          <w:szCs w:val="24"/>
        </w:rPr>
        <w:t>Supplementary Data 2</w:t>
      </w:r>
      <w:r w:rsidR="00B074F1">
        <w:rPr>
          <w:rFonts w:cs="Times New Roman"/>
          <w:b/>
          <w:color w:val="000000"/>
          <w:szCs w:val="24"/>
        </w:rPr>
        <w:t xml:space="preserve">. </w:t>
      </w:r>
      <w:r w:rsidRPr="00A322B0">
        <w:rPr>
          <w:rFonts w:cs="Times New Roman"/>
          <w:color w:val="000000"/>
          <w:szCs w:val="24"/>
        </w:rPr>
        <w:t xml:space="preserve">DEGs in 1d experiment as obtained by </w:t>
      </w:r>
      <w:proofErr w:type="spellStart"/>
      <w:r w:rsidRPr="00A322B0">
        <w:rPr>
          <w:rFonts w:cs="Times New Roman"/>
          <w:color w:val="000000"/>
          <w:szCs w:val="24"/>
        </w:rPr>
        <w:t>edgeR</w:t>
      </w:r>
      <w:proofErr w:type="spellEnd"/>
      <w:r w:rsidRPr="00A322B0">
        <w:rPr>
          <w:rFonts w:cs="Times New Roman"/>
          <w:color w:val="000000"/>
          <w:szCs w:val="24"/>
        </w:rPr>
        <w:t xml:space="preserve"> (genes with FDR p-value &lt;0.005).  </w:t>
      </w:r>
      <w:proofErr w:type="spellStart"/>
      <w:r w:rsidRPr="00A322B0">
        <w:rPr>
          <w:rFonts w:cs="Times New Roman"/>
          <w:color w:val="000000"/>
          <w:szCs w:val="24"/>
        </w:rPr>
        <w:t>GeneID</w:t>
      </w:r>
      <w:proofErr w:type="spellEnd"/>
      <w:r w:rsidRPr="00A322B0">
        <w:rPr>
          <w:rFonts w:cs="Times New Roman"/>
          <w:color w:val="000000"/>
          <w:szCs w:val="24"/>
        </w:rPr>
        <w:t>:</w:t>
      </w:r>
      <w:r w:rsidR="00A741D8">
        <w:rPr>
          <w:rFonts w:cs="Times New Roman"/>
          <w:color w:val="000000"/>
          <w:szCs w:val="24"/>
        </w:rPr>
        <w:t xml:space="preserve"> </w:t>
      </w:r>
      <w:r w:rsidRPr="00A322B0">
        <w:rPr>
          <w:rFonts w:cs="Times New Roman"/>
          <w:color w:val="000000"/>
          <w:szCs w:val="24"/>
        </w:rPr>
        <w:t xml:space="preserve">Trinity component; </w:t>
      </w:r>
      <w:proofErr w:type="spellStart"/>
      <w:r w:rsidRPr="00A322B0">
        <w:rPr>
          <w:rFonts w:cs="Times New Roman"/>
          <w:color w:val="000000"/>
          <w:szCs w:val="24"/>
        </w:rPr>
        <w:t>logFC</w:t>
      </w:r>
      <w:proofErr w:type="spellEnd"/>
      <w:r w:rsidRPr="00A322B0">
        <w:rPr>
          <w:rFonts w:cs="Times New Roman"/>
          <w:color w:val="000000"/>
          <w:szCs w:val="24"/>
        </w:rPr>
        <w:t xml:space="preserve">: </w:t>
      </w:r>
      <w:proofErr w:type="gramStart"/>
      <w:r w:rsidRPr="00A322B0">
        <w:rPr>
          <w:rFonts w:cs="Times New Roman"/>
          <w:color w:val="000000"/>
          <w:szCs w:val="24"/>
        </w:rPr>
        <w:t>log(</w:t>
      </w:r>
      <w:proofErr w:type="gramEnd"/>
      <w:r w:rsidRPr="00A322B0">
        <w:rPr>
          <w:rFonts w:cs="Times New Roman"/>
          <w:color w:val="000000"/>
          <w:szCs w:val="24"/>
        </w:rPr>
        <w:t xml:space="preserve">fold change); </w:t>
      </w:r>
      <w:proofErr w:type="spellStart"/>
      <w:r w:rsidRPr="00A322B0">
        <w:rPr>
          <w:rFonts w:cs="Times New Roman"/>
          <w:color w:val="000000"/>
          <w:szCs w:val="24"/>
        </w:rPr>
        <w:t>Pfam</w:t>
      </w:r>
      <w:proofErr w:type="spellEnd"/>
      <w:r w:rsidRPr="00A322B0">
        <w:rPr>
          <w:rFonts w:cs="Times New Roman"/>
          <w:color w:val="000000"/>
          <w:szCs w:val="24"/>
        </w:rPr>
        <w:t xml:space="preserve">: </w:t>
      </w:r>
      <w:proofErr w:type="spellStart"/>
      <w:r w:rsidRPr="00A322B0">
        <w:rPr>
          <w:rFonts w:cs="Times New Roman"/>
          <w:color w:val="000000"/>
          <w:szCs w:val="24"/>
        </w:rPr>
        <w:t>Pfam</w:t>
      </w:r>
      <w:proofErr w:type="spellEnd"/>
      <w:r w:rsidRPr="00A322B0">
        <w:rPr>
          <w:rFonts w:cs="Times New Roman"/>
          <w:color w:val="000000"/>
          <w:szCs w:val="24"/>
        </w:rPr>
        <w:t xml:space="preserve"> annotation; </w:t>
      </w:r>
      <w:proofErr w:type="spellStart"/>
      <w:r w:rsidRPr="00A322B0">
        <w:rPr>
          <w:rFonts w:cs="Times New Roman"/>
          <w:color w:val="000000"/>
          <w:szCs w:val="24"/>
        </w:rPr>
        <w:t>sigP</w:t>
      </w:r>
      <w:proofErr w:type="spellEnd"/>
      <w:r w:rsidRPr="00A322B0">
        <w:rPr>
          <w:rFonts w:cs="Times New Roman"/>
          <w:color w:val="000000"/>
          <w:szCs w:val="24"/>
        </w:rPr>
        <w:t xml:space="preserve">: </w:t>
      </w:r>
      <w:proofErr w:type="spellStart"/>
      <w:r w:rsidRPr="00A322B0">
        <w:rPr>
          <w:rFonts w:cs="Times New Roman"/>
          <w:color w:val="000000"/>
          <w:szCs w:val="24"/>
        </w:rPr>
        <w:t>signalP</w:t>
      </w:r>
      <w:proofErr w:type="spellEnd"/>
      <w:r w:rsidRPr="00A322B0">
        <w:rPr>
          <w:rFonts w:cs="Times New Roman"/>
          <w:color w:val="000000"/>
          <w:szCs w:val="24"/>
        </w:rPr>
        <w:t xml:space="preserve"> annotation; </w:t>
      </w:r>
      <w:proofErr w:type="spellStart"/>
      <w:r w:rsidRPr="00A322B0">
        <w:rPr>
          <w:rFonts w:cs="Times New Roman"/>
          <w:color w:val="000000"/>
          <w:szCs w:val="24"/>
        </w:rPr>
        <w:t>blastPUniprot</w:t>
      </w:r>
      <w:proofErr w:type="spellEnd"/>
      <w:r w:rsidRPr="00A322B0">
        <w:rPr>
          <w:rFonts w:cs="Times New Roman"/>
          <w:color w:val="000000"/>
          <w:szCs w:val="24"/>
        </w:rPr>
        <w:t xml:space="preserve">: </w:t>
      </w:r>
      <w:proofErr w:type="spellStart"/>
      <w:r w:rsidRPr="00A322B0">
        <w:rPr>
          <w:rFonts w:cs="Times New Roman"/>
          <w:color w:val="000000"/>
          <w:szCs w:val="24"/>
        </w:rPr>
        <w:t>Uniprot</w:t>
      </w:r>
      <w:proofErr w:type="spellEnd"/>
      <w:r w:rsidRPr="00A322B0">
        <w:rPr>
          <w:rFonts w:cs="Times New Roman"/>
          <w:color w:val="000000"/>
          <w:szCs w:val="24"/>
        </w:rPr>
        <w:t xml:space="preserve"> protein name for best </w:t>
      </w:r>
      <w:proofErr w:type="spellStart"/>
      <w:r w:rsidRPr="00A322B0">
        <w:rPr>
          <w:rFonts w:cs="Times New Roman"/>
          <w:color w:val="000000"/>
          <w:szCs w:val="24"/>
        </w:rPr>
        <w:t>blastp</w:t>
      </w:r>
      <w:proofErr w:type="spellEnd"/>
      <w:r w:rsidRPr="00A322B0">
        <w:rPr>
          <w:rFonts w:cs="Times New Roman"/>
          <w:color w:val="000000"/>
          <w:szCs w:val="24"/>
        </w:rPr>
        <w:t xml:space="preserve"> hit; </w:t>
      </w:r>
      <w:proofErr w:type="spellStart"/>
      <w:r w:rsidRPr="00A322B0">
        <w:rPr>
          <w:rFonts w:cs="Times New Roman"/>
          <w:color w:val="000000"/>
          <w:szCs w:val="24"/>
        </w:rPr>
        <w:t>blastpDescription</w:t>
      </w:r>
      <w:proofErr w:type="spellEnd"/>
      <w:r w:rsidRPr="00A322B0">
        <w:rPr>
          <w:rFonts w:cs="Times New Roman"/>
          <w:color w:val="000000"/>
          <w:szCs w:val="24"/>
        </w:rPr>
        <w:t>: description of the protein name. No annotation is denoted with “.”. The count matrix for each DEG and sample is as well reported (“</w:t>
      </w:r>
      <w:proofErr w:type="spellStart"/>
      <w:proofErr w:type="gramStart"/>
      <w:r w:rsidRPr="00A322B0">
        <w:rPr>
          <w:rFonts w:cs="Times New Roman"/>
          <w:color w:val="000000"/>
          <w:szCs w:val="24"/>
        </w:rPr>
        <w:t>counts.matrix</w:t>
      </w:r>
      <w:proofErr w:type="spellEnd"/>
      <w:proofErr w:type="gramEnd"/>
      <w:r w:rsidRPr="00A322B0">
        <w:rPr>
          <w:rFonts w:cs="Times New Roman"/>
          <w:color w:val="000000"/>
          <w:szCs w:val="24"/>
        </w:rPr>
        <w:t>” sheet).</w:t>
      </w:r>
    </w:p>
    <w:p w14:paraId="0E22EE9C" w14:textId="77777777" w:rsidR="00993044" w:rsidRPr="00A322B0" w:rsidRDefault="00993044" w:rsidP="00993044">
      <w:pPr>
        <w:shd w:val="clear" w:color="auto" w:fill="FFFFFF"/>
        <w:spacing w:before="240" w:after="0"/>
        <w:contextualSpacing/>
        <w:jc w:val="both"/>
        <w:rPr>
          <w:rFonts w:cs="Times New Roman"/>
          <w:b/>
          <w:color w:val="000000"/>
          <w:szCs w:val="24"/>
        </w:rPr>
      </w:pPr>
    </w:p>
    <w:p w14:paraId="6D288CC5" w14:textId="7DB43B61" w:rsidR="00993044" w:rsidRPr="00A322B0" w:rsidRDefault="00993044" w:rsidP="00993044">
      <w:pPr>
        <w:shd w:val="clear" w:color="auto" w:fill="FFFFFF"/>
        <w:spacing w:before="240" w:after="0"/>
        <w:contextualSpacing/>
        <w:jc w:val="both"/>
        <w:rPr>
          <w:rFonts w:cs="Times New Roman"/>
          <w:bCs/>
          <w:color w:val="000000"/>
          <w:szCs w:val="24"/>
        </w:rPr>
      </w:pPr>
      <w:r>
        <w:rPr>
          <w:rFonts w:cs="Times New Roman"/>
          <w:b/>
          <w:color w:val="000000"/>
          <w:szCs w:val="24"/>
        </w:rPr>
        <w:t>Supplementary Data 3</w:t>
      </w:r>
      <w:r w:rsidR="00B074F1">
        <w:rPr>
          <w:rFonts w:cs="Times New Roman"/>
          <w:b/>
          <w:color w:val="000000"/>
          <w:szCs w:val="24"/>
        </w:rPr>
        <w:t xml:space="preserve">. </w:t>
      </w:r>
      <w:r w:rsidRPr="00A322B0">
        <w:rPr>
          <w:rFonts w:cs="Times New Roman"/>
          <w:bCs/>
          <w:color w:val="000000"/>
          <w:szCs w:val="24"/>
        </w:rPr>
        <w:t xml:space="preserve">Input data for protein-protein networks in STRING v11 </w:t>
      </w:r>
      <w:r w:rsidRPr="00A322B0">
        <w:rPr>
          <w:rFonts w:cs="Times New Roman"/>
          <w:bCs/>
          <w:color w:val="000000"/>
          <w:szCs w:val="24"/>
        </w:rPr>
        <w:fldChar w:fldCharType="begin" w:fldLock="1"/>
      </w:r>
      <w:r w:rsidRPr="00A322B0">
        <w:rPr>
          <w:rFonts w:cs="Times New Roman"/>
          <w:bCs/>
          <w:color w:val="000000"/>
          <w:szCs w:val="24"/>
        </w:rPr>
        <w:instrText>ADDIN CSL_CITATION {"citationItems":[{"id":"ITEM-1","itemData":{"DOI":"10.1093/nar/gky1131","ISSN":"0305-1048","PMID":"30476243","abstract":"Proteins and their functional interactions form the backbone of the cellular machinery. Their connectivity network needs to be considered for the full understanding of biological phenomena, but the available information on protein-protein associations is incomplete and exhibits varying levels of annotation granularity and reliability. The STRING database aims to collect, score and integrate all publicly available sources of protein-protein interaction information, and to complement these with computational predictions. Its goal is to achieve a comprehensive and objective global network, including direct (physical) as well as indirect (functional) interactions. The latest version of STRING (11.0) more than doubles the number of organisms it covers, to 5090. The most important new feature is an option to upload entire, genome-wide datasets as input, allowing users to visualize subsets as interaction networks and to perform gene-set enrichment analysis on the entire input. For the enrichment analysis, STRING implements well-known classification systems such as Gene Ontology and KEGG, but also offers additional, new classification systems based on high-throughput text-mining as well as on a hierarchical clustering of the association network itself. The STRING resource is available online at https://string-db.org/.","author":[{"dropping-particle":"","family":"Szklarczyk","given":"Damian","non-dropping-particle":"","parse-names":false,"suffix":""},{"dropping-particle":"","family":"Gable","given":"Annika L.","non-dropping-particle":"","parse-names":false,"suffix":""},{"dropping-particle":"","family":"Lyon","given":"David","non-dropping-particle":"","parse-names":false,"suffix":""},{"dropping-particle":"","family":"Junge","given":"Alexander","non-dropping-particle":"","parse-names":false,"suffix":""},{"dropping-particle":"","family":"Wyder","given":"Stefan","non-dropping-particle":"","parse-names":false,"suffix":""},{"dropping-particle":"","family":"Huerta-Cepas","given":"Jaime","non-dropping-particle":"","parse-names":false,"suffix":""},{"dropping-particle":"","family":"Simonovic","given":"Milan","non-dropping-particle":"","parse-names":false,"suffix":""},{"dropping-particle":"","family":"Doncheva","given":"Nadezhda T.","non-dropping-particle":"","parse-names":false,"suffix":""},{"dropping-particle":"","family":"Morris","given":"John H.","non-dropping-particle":"","parse-names":false,"suffix":""},{"dropping-particle":"","family":"Bork","given":"Peer","non-dropping-particle":"","parse-names":false,"suffix":""},{"dropping-particle":"","family":"Jensen","given":"Lars J.","non-dropping-particle":"","parse-names":false,"suffix":""},{"dropping-particle":"von","family":"Mering","given":"Christian","non-dropping-particle":"","parse-names":false,"suffix":""}],"container-title":"Nucleic Acids Research","id":"ITEM-1","issue":"D1","issued":{"date-parts":[["2019","1","8"]]},"page":"D607-D613","publisher":"Oxford University Press","title":"STRING v11: protein–protein association networks with increased coverage, supporting functional discovery in genome-wide experimental datasets","type":"article-journal","volume":"47"},"uris":["http://www.mendeley.com/documents/?uuid=757b2db8-06ad-4f56-8456-6991363ea022"]}],"mendeley":{"formattedCitation":"(Szklarczyk et al., 2019)","plainTextFormattedCitation":"(Szklarczyk et al., 2019)","previouslyFormattedCitation":"(Szklarczyk et al., 2019)"},"properties":{"noteIndex":0},"schema":"https://github.com/citation-style-language/schema/raw/master/csl-citation.json"}</w:instrText>
      </w:r>
      <w:r w:rsidRPr="00A322B0">
        <w:rPr>
          <w:rFonts w:cs="Times New Roman"/>
          <w:bCs/>
          <w:color w:val="000000"/>
          <w:szCs w:val="24"/>
        </w:rPr>
        <w:fldChar w:fldCharType="separate"/>
      </w:r>
      <w:r w:rsidRPr="00A322B0">
        <w:rPr>
          <w:rFonts w:cs="Times New Roman"/>
          <w:bCs/>
          <w:noProof/>
          <w:color w:val="000000"/>
          <w:szCs w:val="24"/>
        </w:rPr>
        <w:t>(Szklarczyk et al., 2019)</w:t>
      </w:r>
      <w:r w:rsidRPr="00A322B0">
        <w:rPr>
          <w:rFonts w:cs="Times New Roman"/>
          <w:bCs/>
          <w:color w:val="000000"/>
          <w:szCs w:val="24"/>
        </w:rPr>
        <w:fldChar w:fldCharType="end"/>
      </w:r>
      <w:r w:rsidRPr="00A322B0">
        <w:rPr>
          <w:rFonts w:cs="Times New Roman"/>
          <w:bCs/>
          <w:color w:val="000000"/>
          <w:szCs w:val="24"/>
        </w:rPr>
        <w:t xml:space="preserve">. The tables report the DEGs at 3h post-mechanical damage with the corresponding to: </w:t>
      </w:r>
      <w:proofErr w:type="spellStart"/>
      <w:r w:rsidRPr="00A322B0">
        <w:rPr>
          <w:rFonts w:cs="Times New Roman"/>
          <w:bCs/>
          <w:color w:val="000000"/>
          <w:szCs w:val="24"/>
        </w:rPr>
        <w:t>i</w:t>
      </w:r>
      <w:proofErr w:type="spellEnd"/>
      <w:r w:rsidRPr="00A322B0">
        <w:rPr>
          <w:rFonts w:cs="Times New Roman"/>
          <w:bCs/>
          <w:color w:val="000000"/>
          <w:szCs w:val="24"/>
        </w:rPr>
        <w:t xml:space="preserve">) </w:t>
      </w:r>
      <w:proofErr w:type="spellStart"/>
      <w:r w:rsidRPr="00A322B0">
        <w:rPr>
          <w:rFonts w:cs="Times New Roman"/>
          <w:bCs/>
          <w:color w:val="000000"/>
          <w:szCs w:val="24"/>
        </w:rPr>
        <w:t>blastp</w:t>
      </w:r>
      <w:proofErr w:type="spellEnd"/>
      <w:r w:rsidRPr="00A322B0">
        <w:rPr>
          <w:rFonts w:cs="Times New Roman"/>
          <w:bCs/>
          <w:color w:val="000000"/>
          <w:szCs w:val="24"/>
        </w:rPr>
        <w:t xml:space="preserve"> hit to </w:t>
      </w:r>
      <w:r w:rsidRPr="00A322B0">
        <w:rPr>
          <w:rFonts w:cs="Times New Roman"/>
          <w:bCs/>
          <w:i/>
          <w:iCs/>
          <w:color w:val="000000"/>
          <w:szCs w:val="24"/>
        </w:rPr>
        <w:t xml:space="preserve">A. </w:t>
      </w:r>
      <w:proofErr w:type="spellStart"/>
      <w:r w:rsidRPr="00A322B0">
        <w:rPr>
          <w:rFonts w:cs="Times New Roman"/>
          <w:bCs/>
          <w:i/>
          <w:iCs/>
          <w:color w:val="000000"/>
          <w:szCs w:val="24"/>
        </w:rPr>
        <w:t>queenslandica</w:t>
      </w:r>
      <w:proofErr w:type="spellEnd"/>
      <w:r w:rsidRPr="00A322B0">
        <w:rPr>
          <w:rFonts w:cs="Times New Roman"/>
          <w:bCs/>
          <w:color w:val="000000"/>
          <w:szCs w:val="24"/>
        </w:rPr>
        <w:t xml:space="preserve"> proteome (</w:t>
      </w:r>
      <w:proofErr w:type="spellStart"/>
      <w:r w:rsidRPr="00A322B0">
        <w:rPr>
          <w:rFonts w:cs="Times New Roman"/>
          <w:bCs/>
          <w:color w:val="000000"/>
          <w:szCs w:val="24"/>
        </w:rPr>
        <w:t>Uniprot</w:t>
      </w:r>
      <w:proofErr w:type="spellEnd"/>
      <w:r w:rsidRPr="00A322B0">
        <w:rPr>
          <w:rFonts w:cs="Times New Roman"/>
          <w:bCs/>
          <w:color w:val="000000"/>
          <w:szCs w:val="24"/>
        </w:rPr>
        <w:t xml:space="preserve">) and STRING ID for the protein (“Aqueen”) and ii) reciprocal </w:t>
      </w:r>
      <w:proofErr w:type="spellStart"/>
      <w:r w:rsidRPr="00A322B0">
        <w:rPr>
          <w:rFonts w:cs="Times New Roman"/>
          <w:bCs/>
          <w:color w:val="000000"/>
          <w:szCs w:val="24"/>
        </w:rPr>
        <w:t>blastp</w:t>
      </w:r>
      <w:proofErr w:type="spellEnd"/>
      <w:r w:rsidRPr="00A322B0">
        <w:rPr>
          <w:rFonts w:cs="Times New Roman"/>
          <w:bCs/>
          <w:color w:val="000000"/>
          <w:szCs w:val="24"/>
        </w:rPr>
        <w:t xml:space="preserve"> best hit to human proteome (</w:t>
      </w:r>
      <w:proofErr w:type="spellStart"/>
      <w:r w:rsidRPr="00A322B0">
        <w:rPr>
          <w:rFonts w:cs="Times New Roman"/>
          <w:bCs/>
          <w:color w:val="000000"/>
          <w:szCs w:val="24"/>
        </w:rPr>
        <w:t>Uniprot</w:t>
      </w:r>
      <w:proofErr w:type="spellEnd"/>
      <w:r w:rsidR="00A741D8">
        <w:rPr>
          <w:rFonts w:cs="Times New Roman"/>
          <w:bCs/>
          <w:color w:val="000000"/>
          <w:szCs w:val="24"/>
        </w:rPr>
        <w:t>)</w:t>
      </w:r>
      <w:r w:rsidRPr="00A322B0">
        <w:rPr>
          <w:rFonts w:cs="Times New Roman"/>
          <w:bCs/>
          <w:color w:val="000000"/>
          <w:szCs w:val="24"/>
        </w:rPr>
        <w:t xml:space="preserve"> and STRING ID (“</w:t>
      </w:r>
      <w:proofErr w:type="spellStart"/>
      <w:r w:rsidRPr="00A322B0">
        <w:rPr>
          <w:rFonts w:cs="Times New Roman"/>
          <w:bCs/>
          <w:color w:val="000000"/>
          <w:szCs w:val="24"/>
        </w:rPr>
        <w:t>hsa</w:t>
      </w:r>
      <w:proofErr w:type="spellEnd"/>
      <w:r w:rsidRPr="00A322B0">
        <w:rPr>
          <w:rFonts w:cs="Times New Roman"/>
          <w:bCs/>
          <w:color w:val="000000"/>
          <w:szCs w:val="24"/>
        </w:rPr>
        <w:t>”).</w:t>
      </w:r>
    </w:p>
    <w:p w14:paraId="47AD40F3" w14:textId="77777777" w:rsidR="00993044" w:rsidRPr="00A322B0" w:rsidRDefault="00993044" w:rsidP="00993044">
      <w:pPr>
        <w:shd w:val="clear" w:color="auto" w:fill="FFFFFF"/>
        <w:spacing w:before="240" w:after="0"/>
        <w:contextualSpacing/>
        <w:jc w:val="both"/>
        <w:rPr>
          <w:rFonts w:eastAsia="Times New Roman" w:cs="Times New Roman"/>
          <w:bCs/>
          <w:color w:val="000000"/>
          <w:szCs w:val="24"/>
        </w:rPr>
      </w:pPr>
    </w:p>
    <w:p w14:paraId="5CA18CF5" w14:textId="0656F5D2" w:rsidR="00993044" w:rsidRDefault="00993044" w:rsidP="00993044">
      <w:pPr>
        <w:shd w:val="clear" w:color="auto" w:fill="FFFFFF"/>
        <w:spacing w:before="240" w:after="0"/>
        <w:contextualSpacing/>
        <w:jc w:val="both"/>
        <w:rPr>
          <w:rFonts w:cs="Times New Roman"/>
          <w:bCs/>
          <w:color w:val="000000"/>
          <w:szCs w:val="24"/>
        </w:rPr>
      </w:pPr>
      <w:r>
        <w:rPr>
          <w:rFonts w:cs="Times New Roman"/>
          <w:b/>
          <w:color w:val="000000"/>
          <w:szCs w:val="24"/>
        </w:rPr>
        <w:t>Supplementary Data 4</w:t>
      </w:r>
      <w:r w:rsidR="00B074F1">
        <w:rPr>
          <w:rFonts w:cs="Times New Roman"/>
          <w:b/>
          <w:color w:val="000000"/>
          <w:szCs w:val="24"/>
        </w:rPr>
        <w:t>.</w:t>
      </w:r>
      <w:r>
        <w:rPr>
          <w:rFonts w:cs="Times New Roman"/>
          <w:b/>
          <w:color w:val="000000"/>
          <w:szCs w:val="24"/>
        </w:rPr>
        <w:t xml:space="preserve"> </w:t>
      </w:r>
      <w:r w:rsidRPr="00A322B0">
        <w:rPr>
          <w:rFonts w:cs="Times New Roman"/>
          <w:bCs/>
          <w:color w:val="000000"/>
          <w:szCs w:val="24"/>
        </w:rPr>
        <w:t xml:space="preserve">Full annotation of reference transcriptome assembly as generated in </w:t>
      </w:r>
      <w:proofErr w:type="spellStart"/>
      <w:r w:rsidRPr="00A322B0">
        <w:rPr>
          <w:rFonts w:cs="Times New Roman"/>
          <w:bCs/>
          <w:color w:val="000000"/>
          <w:szCs w:val="24"/>
        </w:rPr>
        <w:t>Trinotate</w:t>
      </w:r>
      <w:proofErr w:type="spellEnd"/>
      <w:r w:rsidRPr="00A322B0">
        <w:rPr>
          <w:rFonts w:cs="Times New Roman"/>
          <w:bCs/>
          <w:color w:val="000000"/>
          <w:szCs w:val="24"/>
        </w:rPr>
        <w:t xml:space="preserve"> pipeline </w:t>
      </w:r>
      <w:r w:rsidRPr="00A322B0">
        <w:rPr>
          <w:rFonts w:cs="Times New Roman"/>
          <w:szCs w:val="24"/>
          <w:shd w:val="clear" w:color="auto" w:fill="FFFFFF"/>
        </w:rPr>
        <w:fldChar w:fldCharType="begin" w:fldLock="1"/>
      </w:r>
      <w:r w:rsidRPr="00A322B0">
        <w:rPr>
          <w:rFonts w:cs="Times New Roman"/>
          <w:szCs w:val="24"/>
          <w:shd w:val="clear" w:color="auto" w:fill="FFFFFF"/>
        </w:rPr>
        <w:instrText>ADDIN CSL_CITATION {"citationItems":[{"id":"ITEM-1","itemData":{"DOI":"10.1016/j.celrep.2016.12.063","ISSN":"22111247","abstract":"Mammals have extremely limited regenerative capabilities; however, axolotls are profoundly regenerative and can replace entire limbs. The mechanisms underlying limb regeneration remain poorly understood, partly because the enormous and incompletely sequenced genomes of axolotls have hindered the study of genes facilitating regeneration. We assembled and annotated a de novo transcriptome using RNA-sequencing profiles for a broad spectrum of tissues that is estimated to have near-complete sequence information for 88% of axolotl genes. We devised expression analyses that identified the axolotl orthologs of cirbp and kazald1 as highly expressed and enriched in blastemas. Using morpholino anti-sense oligonucleotides, we find evidence that cirbp plays a cytoprotective role during limb regeneration whereas manipulation of kazald1 expression disrupts regeneration. Our transcriptome and annotation resources greatly complement previous transcriptomic studies and will be a valuable resource for future research in regenerative biology.","author":[{"dropping-particle":"","family":"Bryant","given":"Donald M.","non-dropping-particle":"","parse-names":false,"suffix":""},{"dropping-particle":"","family":"Johnson","given":"Kimberly","non-dropping-particle":"","parse-names":false,"suffix":""},{"dropping-particle":"","family":"DiTommaso","given":"Tia","non-dropping-particle":"","parse-names":false,"suffix":""},{"dropping-particle":"","family":"Tickle","given":"Timothy","non-dropping-particle":"","parse-names":false,"suffix":""},{"dropping-particle":"","family":"Couger","given":"Matthew Brian","non-dropping-particle":"","parse-names":false,"suffix":""},{"dropping-particle":"","family":"Payzin-Dogru","given":"Duygu","non-dropping-particle":"","parse-names":false,"suffix":""},{"dropping-particle":"","family":"Lee","given":"Tae J.","non-dropping-particle":"","parse-names":false,"suffix":""},{"dropping-particle":"","family":"Leigh","given":"Nicholas D.","non-dropping-particle":"","parse-names":false,"suffix":""},{"dropping-particle":"","family":"Kuo","given":"Tzu-Hsing","non-dropping-particle":"","parse-names":false,"suffix":""},{"dropping-particle":"","family":"Davis","given":"Francis G.","non-dropping-particle":"","parse-names":false,"suffix":""},{"dropping-particle":"","family":"Bateman","given":"Joel","non-dropping-particle":"","parse-names":false,"suffix":""},{"dropping-particle":"","family":"Bryant","given":"Sevara","non-dropping-particle":"","parse-names":false,"suffix":""},{"dropping-particle":"","family":"Guzikowski","given":"Anna R.","non-dropping-particle":"","parse-names":false,"suffix":""},{"dropping-particle":"","family":"Tsai","given":"Stephanie L.","non-dropping-particle":"","parse-names":false,"suffix":""},{"dropping-particle":"","family":"Coyne","given":"Steven","non-dropping-particle":"","parse-names":false,"suffix":""},{"dropping-particle":"","family":"Ye","given":"William W.","non-dropping-particle":"","parse-names":false,"suffix":""},{"dropping-particle":"","family":"Freeman","given":"Robert M.","non-dropping-particle":"","parse-names":false,"suffix":""},{"dropping-particle":"","family":"Peshkin","given":"Leonid","non-dropping-particle":"","parse-names":false,"suffix":""},{"dropping-particle":"","family":"Tabin","given":"Clifford J.","non-dropping-particle":"","parse-names":false,"suffix":""},{"dropping-particle":"","family":"Regev","given":"Aviv","non-dropping-particle":"","parse-names":false,"suffix":""},{"dropping-particle":"","family":"Haas","given":"Brian J.","non-dropping-particle":"","parse-names":false,"suffix":""},{"dropping-particle":"","family":"Whited","given":"Jessica L.","non-dropping-particle":"","parse-names":false,"suffix":""}],"container-title":"Cell Reports","id":"ITEM-1","issue":"3","issued":{"date-parts":[["2017","1"]]},"page":"762-776","publisher":"ElsevierCompany.","title":"A tissue-mapped axolotl &lt;i&gt;de novo&lt;/i&gt; transcriptome enables identification of limb regeneration factors","type":"article-journal","volume":"18"},"uris":["http://www.mendeley.com/documents/?uuid=e67b5a68-0230-451f-b4ff-ee3710c03166"]}],"mendeley":{"formattedCitation":"(Bryant et al., 2017)","plainTextFormattedCitation":"(Bryant et al., 2017)","previouslyFormattedCitation":"(Bryant et al., 2017)"},"properties":{"noteIndex":0},"schema":"https://github.com/citation-style-language/schema/raw/master/csl-citation.json"}</w:instrText>
      </w:r>
      <w:r w:rsidRPr="00A322B0">
        <w:rPr>
          <w:rFonts w:cs="Times New Roman"/>
          <w:szCs w:val="24"/>
          <w:shd w:val="clear" w:color="auto" w:fill="FFFFFF"/>
        </w:rPr>
        <w:fldChar w:fldCharType="separate"/>
      </w:r>
      <w:r w:rsidRPr="00A322B0">
        <w:rPr>
          <w:rFonts w:cs="Times New Roman"/>
          <w:noProof/>
          <w:szCs w:val="24"/>
          <w:shd w:val="clear" w:color="auto" w:fill="FFFFFF"/>
        </w:rPr>
        <w:t>(Bryant et al., 2017)</w:t>
      </w:r>
      <w:r w:rsidRPr="00A322B0">
        <w:rPr>
          <w:rFonts w:cs="Times New Roman"/>
          <w:szCs w:val="24"/>
          <w:shd w:val="clear" w:color="auto" w:fill="FFFFFF"/>
        </w:rPr>
        <w:fldChar w:fldCharType="end"/>
      </w:r>
      <w:r w:rsidRPr="00A322B0">
        <w:rPr>
          <w:rFonts w:cs="Times New Roman"/>
          <w:bCs/>
          <w:color w:val="000000"/>
          <w:szCs w:val="24"/>
        </w:rPr>
        <w:t>.</w:t>
      </w:r>
    </w:p>
    <w:p w14:paraId="51213D40" w14:textId="77777777" w:rsidR="00A741D8" w:rsidRPr="00A322B0" w:rsidRDefault="00A741D8" w:rsidP="00993044">
      <w:pPr>
        <w:shd w:val="clear" w:color="auto" w:fill="FFFFFF"/>
        <w:spacing w:before="240" w:after="0"/>
        <w:contextualSpacing/>
        <w:jc w:val="both"/>
        <w:rPr>
          <w:rFonts w:eastAsia="Times New Roman" w:cs="Times New Roman"/>
          <w:bCs/>
          <w:color w:val="000000"/>
          <w:szCs w:val="24"/>
        </w:rPr>
      </w:pPr>
    </w:p>
    <w:p w14:paraId="4D059444" w14:textId="659F21E4" w:rsidR="00994A3D" w:rsidRPr="00994A3D" w:rsidRDefault="00654E8F" w:rsidP="0001436A">
      <w:pPr>
        <w:pStyle w:val="Ttulo1"/>
      </w:pPr>
      <w:r w:rsidRPr="00994A3D">
        <w:t xml:space="preserve">Supplementary </w:t>
      </w:r>
      <w:r w:rsidR="00A741D8">
        <w:t>Table</w:t>
      </w:r>
      <w:r w:rsidR="00A741D8" w:rsidRPr="00994A3D">
        <w:t xml:space="preserve">s </w:t>
      </w:r>
      <w:r w:rsidRPr="00994A3D">
        <w:t xml:space="preserve">and </w:t>
      </w:r>
      <w:r w:rsidR="00A741D8">
        <w:t>Figure</w:t>
      </w:r>
      <w:r w:rsidR="00A741D8" w:rsidRPr="00994A3D">
        <w:t>s</w:t>
      </w:r>
    </w:p>
    <w:p w14:paraId="05734F38" w14:textId="59DC718A" w:rsidR="003C5469" w:rsidRPr="00B455FF" w:rsidRDefault="008B5BE9" w:rsidP="003C5469">
      <w:pPr>
        <w:jc w:val="both"/>
        <w:rPr>
          <w:rFonts w:cs="Times New Roman"/>
          <w:szCs w:val="24"/>
        </w:rPr>
      </w:pPr>
      <w:r>
        <w:rPr>
          <w:rFonts w:cs="Times New Roman"/>
          <w:b/>
          <w:szCs w:val="24"/>
        </w:rPr>
        <w:t xml:space="preserve">Supplementary </w:t>
      </w:r>
      <w:r w:rsidR="003C5469" w:rsidRPr="00B455FF">
        <w:rPr>
          <w:rFonts w:cs="Times New Roman"/>
          <w:b/>
          <w:szCs w:val="24"/>
        </w:rPr>
        <w:t xml:space="preserve">Table </w:t>
      </w:r>
      <w:r w:rsidR="00C2331C">
        <w:rPr>
          <w:rFonts w:cs="Times New Roman"/>
          <w:b/>
          <w:szCs w:val="24"/>
        </w:rPr>
        <w:t>S</w:t>
      </w:r>
      <w:r w:rsidR="003C5469" w:rsidRPr="00B455FF">
        <w:rPr>
          <w:rFonts w:cs="Times New Roman"/>
          <w:b/>
          <w:szCs w:val="24"/>
        </w:rPr>
        <w:t xml:space="preserve">1. Number of read pairs (million reads). </w:t>
      </w:r>
      <w:r w:rsidR="003C5469" w:rsidRPr="00B455FF">
        <w:rPr>
          <w:rFonts w:cs="Times New Roman"/>
          <w:szCs w:val="24"/>
        </w:rPr>
        <w:t xml:space="preserve">“Raw” refers to the output from sequencing; “Clean” to surviving read pairs after trimming and filtering in trimmomatic-v0.38; and “Eukaryote” to pairs identified as non-prokaryotic and nonmicrobial eukaryote by kaiju-v1.6.2 </w:t>
      </w:r>
      <w:r w:rsidR="003C5469" w:rsidRPr="00B455FF">
        <w:rPr>
          <w:rFonts w:cs="Times New Roman"/>
          <w:szCs w:val="24"/>
        </w:rPr>
        <w:fldChar w:fldCharType="begin" w:fldLock="1"/>
      </w:r>
      <w:r>
        <w:rPr>
          <w:rFonts w:cs="Times New Roman"/>
          <w:szCs w:val="24"/>
        </w:rPr>
        <w:instrText>ADDIN CSL_CITATION {"citationItems":[{"id":"ITEM-1","itemData":{"DOI":"10.1101/031229","ISSN":"2041-1723","PMID":"27071849","abstract":"The constantly decreasing cost and increasing out-put of current sequencing technologies enable large scale metagenomic studies of microbial commu-nities from diverse habitats. Therefore, fast and accurate methods for taxonomic classification are needed, which can operate on increasingly larger datasets and reference databases. Recently, sev-eral fast metagenomic classifiers have been de-veloped, which are based on comparison of ge-nomic k-mers. However, nucleotide comparison using a fixed k-mer length often lacks the sensi-tivity to overcome the evolutionary distance be-tween sampled species and genomes in the ref-erence database. Here, we present the novel metagenome classifier Kaiju for fast assignment of reads to taxa. Kaiju finds maximum exact matches on the protein-level using the Borrows-Wheeler transform, and can optionally allow amino acid substitutions in the search using a greedy heuris-tic. We show in a genome exclusion study that Kaiju can classify more reads with higher sensi-tivity and similar precision compared to fast k-mer based classifiers, especially in genera that are underrepresented in reference databases. We also demonstrate that Kaiju classifies more than twice as many reads in ten real metagenomes compared to programs based on genomic k-mers. Kaiju can process up to millions of reads per minute, and its memory footprint is below 5 GB of RAM, allow-ing the analysis on a standard PC. The program is available under the GPL3 license at:","author":[{"dropping-particle":"","family":"Menzel","given":"Peter","non-dropping-particle":"","parse-names":false,"suffix":""},{"dropping-particle":"","family":"Krogh","given":"Anders","non-dropping-particle":"","parse-names":false,"suffix":""}],"container-title":"Nature communications","id":"ITEM-1","issued":{"date-parts":[["2015"]]},"page":"11257","publisher":"Nature Publishing Group","title":"Fast and sensitive taxonomic classification for metagenomics with Kaiju","type":"article-journal","volume":"7"},"uris":["http://www.mendeley.com/documents/?uuid=8c2753eb-f9b5-493f-b8d5-968c906b94bf"]}],"mendeley":{"formattedCitation":"(Menzel and Krogh, 2015)","plainTextFormattedCitation":"(Menzel and Krogh, 2015)","previouslyFormattedCitation":"[1]"},"properties":{"noteIndex":0},"schema":"https://github.com/citation-style-language/schema/raw/master/csl-citation.json"}</w:instrText>
      </w:r>
      <w:r w:rsidR="003C5469" w:rsidRPr="00B455FF">
        <w:rPr>
          <w:rFonts w:cs="Times New Roman"/>
          <w:szCs w:val="24"/>
        </w:rPr>
        <w:fldChar w:fldCharType="separate"/>
      </w:r>
      <w:r w:rsidRPr="008B5BE9">
        <w:rPr>
          <w:rFonts w:cs="Times New Roman"/>
          <w:noProof/>
          <w:szCs w:val="24"/>
        </w:rPr>
        <w:t>(Menzel and Krogh, 2015)</w:t>
      </w:r>
      <w:r w:rsidR="003C5469" w:rsidRPr="00B455FF">
        <w:rPr>
          <w:rFonts w:cs="Times New Roman"/>
          <w:szCs w:val="24"/>
        </w:rPr>
        <w:fldChar w:fldCharType="end"/>
      </w:r>
      <w:r w:rsidR="003C5469" w:rsidRPr="00B455FF">
        <w:rPr>
          <w:rFonts w:cs="Times New Roman"/>
          <w:szCs w:val="24"/>
        </w:rPr>
        <w:t xml:space="preserve">. </w:t>
      </w:r>
    </w:p>
    <w:tbl>
      <w:tblPr>
        <w:tblStyle w:val="Tablaconcuadrcula"/>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38"/>
        <w:gridCol w:w="1348"/>
        <w:gridCol w:w="1701"/>
        <w:gridCol w:w="1843"/>
      </w:tblGrid>
      <w:tr w:rsidR="003C5469" w:rsidRPr="00B455FF" w14:paraId="34093A09" w14:textId="77777777" w:rsidTr="00321B73">
        <w:tc>
          <w:tcPr>
            <w:tcW w:w="3438" w:type="dxa"/>
            <w:tcBorders>
              <w:top w:val="single" w:sz="4" w:space="0" w:color="auto"/>
              <w:bottom w:val="single" w:sz="4" w:space="0" w:color="auto"/>
            </w:tcBorders>
          </w:tcPr>
          <w:p w14:paraId="33B2CDAB" w14:textId="77777777" w:rsidR="003C5469" w:rsidRPr="00B455FF" w:rsidRDefault="003C5469" w:rsidP="00321B73">
            <w:pPr>
              <w:jc w:val="both"/>
              <w:rPr>
                <w:rFonts w:cs="Times New Roman"/>
                <w:sz w:val="20"/>
                <w:szCs w:val="20"/>
              </w:rPr>
            </w:pPr>
          </w:p>
        </w:tc>
        <w:tc>
          <w:tcPr>
            <w:tcW w:w="1348" w:type="dxa"/>
            <w:tcBorders>
              <w:top w:val="single" w:sz="4" w:space="0" w:color="auto"/>
              <w:bottom w:val="single" w:sz="4" w:space="0" w:color="auto"/>
            </w:tcBorders>
          </w:tcPr>
          <w:p w14:paraId="6D88E70B" w14:textId="77777777" w:rsidR="003C5469" w:rsidRPr="00B455FF" w:rsidRDefault="003C5469" w:rsidP="00321B73">
            <w:pPr>
              <w:jc w:val="center"/>
              <w:rPr>
                <w:rFonts w:cs="Times New Roman"/>
                <w:b/>
                <w:sz w:val="20"/>
                <w:szCs w:val="20"/>
              </w:rPr>
            </w:pPr>
            <w:r w:rsidRPr="00B455FF">
              <w:rPr>
                <w:rFonts w:cs="Times New Roman"/>
                <w:b/>
                <w:sz w:val="20"/>
                <w:szCs w:val="20"/>
              </w:rPr>
              <w:t>Raw</w:t>
            </w:r>
          </w:p>
        </w:tc>
        <w:tc>
          <w:tcPr>
            <w:tcW w:w="1701" w:type="dxa"/>
            <w:tcBorders>
              <w:top w:val="single" w:sz="4" w:space="0" w:color="auto"/>
              <w:bottom w:val="single" w:sz="4" w:space="0" w:color="auto"/>
            </w:tcBorders>
          </w:tcPr>
          <w:p w14:paraId="38148D9A" w14:textId="77777777" w:rsidR="003C5469" w:rsidRPr="00B455FF" w:rsidRDefault="003C5469" w:rsidP="00321B73">
            <w:pPr>
              <w:jc w:val="center"/>
              <w:rPr>
                <w:rFonts w:cs="Times New Roman"/>
                <w:b/>
                <w:sz w:val="20"/>
                <w:szCs w:val="20"/>
              </w:rPr>
            </w:pPr>
            <w:r w:rsidRPr="00B455FF">
              <w:rPr>
                <w:rFonts w:cs="Times New Roman"/>
                <w:b/>
                <w:sz w:val="20"/>
                <w:szCs w:val="20"/>
              </w:rPr>
              <w:t>Clean</w:t>
            </w:r>
          </w:p>
        </w:tc>
        <w:tc>
          <w:tcPr>
            <w:tcW w:w="1843" w:type="dxa"/>
            <w:tcBorders>
              <w:top w:val="single" w:sz="4" w:space="0" w:color="auto"/>
              <w:bottom w:val="single" w:sz="4" w:space="0" w:color="auto"/>
            </w:tcBorders>
          </w:tcPr>
          <w:p w14:paraId="0789297C" w14:textId="77777777" w:rsidR="003C5469" w:rsidRPr="00B455FF" w:rsidRDefault="003C5469" w:rsidP="00321B73">
            <w:pPr>
              <w:jc w:val="center"/>
              <w:rPr>
                <w:rFonts w:cs="Times New Roman"/>
                <w:b/>
                <w:sz w:val="20"/>
                <w:szCs w:val="20"/>
              </w:rPr>
            </w:pPr>
            <w:r w:rsidRPr="00B455FF">
              <w:rPr>
                <w:rFonts w:cs="Times New Roman"/>
                <w:b/>
                <w:sz w:val="20"/>
                <w:szCs w:val="20"/>
              </w:rPr>
              <w:t>Eukaryote</w:t>
            </w:r>
          </w:p>
        </w:tc>
      </w:tr>
      <w:tr w:rsidR="003C5469" w:rsidRPr="00B455FF" w14:paraId="79160761" w14:textId="77777777" w:rsidTr="00321B73">
        <w:tc>
          <w:tcPr>
            <w:tcW w:w="3438" w:type="dxa"/>
            <w:tcBorders>
              <w:top w:val="single" w:sz="4" w:space="0" w:color="auto"/>
            </w:tcBorders>
          </w:tcPr>
          <w:p w14:paraId="610449C1" w14:textId="77777777" w:rsidR="003C5469" w:rsidRPr="00B455FF" w:rsidRDefault="003C5469" w:rsidP="00321B73">
            <w:pPr>
              <w:jc w:val="both"/>
              <w:rPr>
                <w:rFonts w:cs="Times New Roman"/>
                <w:sz w:val="20"/>
                <w:szCs w:val="20"/>
              </w:rPr>
            </w:pPr>
            <w:r w:rsidRPr="00B455FF">
              <w:rPr>
                <w:rFonts w:cs="Times New Roman"/>
                <w:sz w:val="20"/>
                <w:szCs w:val="20"/>
              </w:rPr>
              <w:t>average per library (± standard error)</w:t>
            </w:r>
          </w:p>
        </w:tc>
        <w:tc>
          <w:tcPr>
            <w:tcW w:w="1348" w:type="dxa"/>
            <w:tcBorders>
              <w:top w:val="single" w:sz="4" w:space="0" w:color="auto"/>
            </w:tcBorders>
          </w:tcPr>
          <w:p w14:paraId="7C8E4CD2" w14:textId="77777777" w:rsidR="003C5469" w:rsidRPr="00B455FF" w:rsidRDefault="003C5469" w:rsidP="00321B73">
            <w:pPr>
              <w:jc w:val="center"/>
              <w:rPr>
                <w:rFonts w:cs="Times New Roman"/>
                <w:sz w:val="20"/>
                <w:szCs w:val="20"/>
              </w:rPr>
            </w:pPr>
            <w:r w:rsidRPr="00B455FF">
              <w:rPr>
                <w:rFonts w:cs="Times New Roman"/>
                <w:sz w:val="20"/>
                <w:szCs w:val="20"/>
              </w:rPr>
              <w:t>27.0 ± 10.9</w:t>
            </w:r>
          </w:p>
        </w:tc>
        <w:tc>
          <w:tcPr>
            <w:tcW w:w="1701" w:type="dxa"/>
            <w:tcBorders>
              <w:top w:val="single" w:sz="4" w:space="0" w:color="auto"/>
            </w:tcBorders>
          </w:tcPr>
          <w:p w14:paraId="7A262113" w14:textId="77777777" w:rsidR="003C5469" w:rsidRPr="00B455FF" w:rsidRDefault="003C5469" w:rsidP="00321B73">
            <w:pPr>
              <w:jc w:val="center"/>
              <w:rPr>
                <w:rFonts w:cs="Times New Roman"/>
                <w:sz w:val="20"/>
                <w:szCs w:val="20"/>
              </w:rPr>
            </w:pPr>
            <w:r w:rsidRPr="00B455FF">
              <w:rPr>
                <w:rFonts w:cs="Times New Roman"/>
                <w:sz w:val="20"/>
                <w:szCs w:val="20"/>
              </w:rPr>
              <w:t>20.0 ± 8.5</w:t>
            </w:r>
          </w:p>
        </w:tc>
        <w:tc>
          <w:tcPr>
            <w:tcW w:w="1843" w:type="dxa"/>
            <w:tcBorders>
              <w:top w:val="single" w:sz="4" w:space="0" w:color="auto"/>
            </w:tcBorders>
          </w:tcPr>
          <w:p w14:paraId="23CFE1CC" w14:textId="77777777" w:rsidR="003C5469" w:rsidRPr="00B455FF" w:rsidRDefault="003C5469" w:rsidP="00321B73">
            <w:pPr>
              <w:jc w:val="center"/>
              <w:rPr>
                <w:rFonts w:cs="Times New Roman"/>
                <w:sz w:val="20"/>
                <w:szCs w:val="20"/>
              </w:rPr>
            </w:pPr>
            <w:r w:rsidRPr="00B455FF">
              <w:rPr>
                <w:rFonts w:cs="Times New Roman"/>
                <w:sz w:val="20"/>
                <w:szCs w:val="20"/>
              </w:rPr>
              <w:t>13.8 ± 5.8</w:t>
            </w:r>
          </w:p>
        </w:tc>
      </w:tr>
      <w:tr w:rsidR="003C5469" w:rsidRPr="00B455FF" w14:paraId="18BFDC4B" w14:textId="77777777" w:rsidTr="00321B73">
        <w:tc>
          <w:tcPr>
            <w:tcW w:w="3438" w:type="dxa"/>
            <w:tcBorders>
              <w:bottom w:val="single" w:sz="4" w:space="0" w:color="auto"/>
            </w:tcBorders>
          </w:tcPr>
          <w:p w14:paraId="5D25FDE3" w14:textId="77777777" w:rsidR="003C5469" w:rsidRPr="00B455FF" w:rsidRDefault="003C5469" w:rsidP="00321B73">
            <w:pPr>
              <w:jc w:val="both"/>
              <w:rPr>
                <w:rFonts w:cs="Times New Roman"/>
                <w:sz w:val="20"/>
                <w:szCs w:val="20"/>
              </w:rPr>
            </w:pPr>
            <w:r w:rsidRPr="00B455FF">
              <w:rPr>
                <w:rFonts w:cs="Times New Roman"/>
                <w:sz w:val="20"/>
                <w:szCs w:val="20"/>
              </w:rPr>
              <w:lastRenderedPageBreak/>
              <w:t>total</w:t>
            </w:r>
          </w:p>
        </w:tc>
        <w:tc>
          <w:tcPr>
            <w:tcW w:w="1348" w:type="dxa"/>
            <w:tcBorders>
              <w:bottom w:val="single" w:sz="4" w:space="0" w:color="auto"/>
            </w:tcBorders>
          </w:tcPr>
          <w:p w14:paraId="1589CBCD" w14:textId="77777777" w:rsidR="003C5469" w:rsidRPr="00B455FF" w:rsidRDefault="003C5469" w:rsidP="00321B73">
            <w:pPr>
              <w:jc w:val="center"/>
              <w:rPr>
                <w:rFonts w:cs="Times New Roman"/>
                <w:sz w:val="20"/>
                <w:szCs w:val="20"/>
              </w:rPr>
            </w:pPr>
            <w:r w:rsidRPr="00B455FF">
              <w:rPr>
                <w:rFonts w:cs="Times New Roman"/>
                <w:sz w:val="20"/>
                <w:szCs w:val="20"/>
              </w:rPr>
              <w:t>1 115.5</w:t>
            </w:r>
          </w:p>
        </w:tc>
        <w:tc>
          <w:tcPr>
            <w:tcW w:w="1701" w:type="dxa"/>
            <w:tcBorders>
              <w:bottom w:val="single" w:sz="4" w:space="0" w:color="auto"/>
            </w:tcBorders>
          </w:tcPr>
          <w:p w14:paraId="625C453F" w14:textId="77777777" w:rsidR="003C5469" w:rsidRPr="00B455FF" w:rsidRDefault="003C5469" w:rsidP="00321B73">
            <w:pPr>
              <w:jc w:val="center"/>
              <w:rPr>
                <w:rFonts w:cs="Times New Roman"/>
                <w:sz w:val="20"/>
                <w:szCs w:val="20"/>
              </w:rPr>
            </w:pPr>
            <w:r w:rsidRPr="00B455FF">
              <w:rPr>
                <w:rFonts w:cs="Times New Roman"/>
                <w:sz w:val="20"/>
                <w:szCs w:val="20"/>
              </w:rPr>
              <w:t>825.5</w:t>
            </w:r>
          </w:p>
        </w:tc>
        <w:tc>
          <w:tcPr>
            <w:tcW w:w="1843" w:type="dxa"/>
            <w:tcBorders>
              <w:bottom w:val="single" w:sz="4" w:space="0" w:color="auto"/>
            </w:tcBorders>
          </w:tcPr>
          <w:p w14:paraId="08D9708F" w14:textId="77777777" w:rsidR="003C5469" w:rsidRPr="00B455FF" w:rsidRDefault="003C5469" w:rsidP="00321B73">
            <w:pPr>
              <w:jc w:val="center"/>
              <w:rPr>
                <w:rFonts w:cs="Times New Roman"/>
                <w:sz w:val="20"/>
                <w:szCs w:val="20"/>
              </w:rPr>
            </w:pPr>
            <w:r w:rsidRPr="00B455FF">
              <w:rPr>
                <w:rFonts w:cs="Times New Roman"/>
                <w:sz w:val="20"/>
                <w:szCs w:val="20"/>
              </w:rPr>
              <w:t>553.3</w:t>
            </w:r>
          </w:p>
        </w:tc>
      </w:tr>
    </w:tbl>
    <w:p w14:paraId="1372E185" w14:textId="77777777" w:rsidR="003C5469" w:rsidRPr="006A6ADF" w:rsidRDefault="003C5469" w:rsidP="003C5469">
      <w:pPr>
        <w:shd w:val="clear" w:color="auto" w:fill="FFFFFF"/>
        <w:spacing w:before="240" w:after="0" w:line="480" w:lineRule="auto"/>
        <w:contextualSpacing/>
        <w:jc w:val="both"/>
        <w:rPr>
          <w:rFonts w:ascii="Arial" w:hAnsi="Arial" w:cs="Arial"/>
          <w:b/>
          <w:szCs w:val="24"/>
        </w:rPr>
      </w:pPr>
    </w:p>
    <w:p w14:paraId="39426E9A" w14:textId="78FC975E" w:rsidR="003C5469" w:rsidRPr="00B455FF" w:rsidRDefault="008B5BE9" w:rsidP="003C5469">
      <w:pPr>
        <w:jc w:val="both"/>
        <w:rPr>
          <w:rFonts w:cs="Times New Roman"/>
          <w:szCs w:val="24"/>
        </w:rPr>
      </w:pPr>
      <w:r>
        <w:rPr>
          <w:rFonts w:cs="Times New Roman"/>
          <w:b/>
          <w:szCs w:val="24"/>
        </w:rPr>
        <w:t xml:space="preserve">Supplementary </w:t>
      </w:r>
      <w:r w:rsidR="003C5469" w:rsidRPr="00B455FF">
        <w:rPr>
          <w:rFonts w:cs="Times New Roman"/>
          <w:b/>
          <w:szCs w:val="24"/>
        </w:rPr>
        <w:t xml:space="preserve">Table </w:t>
      </w:r>
      <w:r w:rsidR="00C2331C">
        <w:rPr>
          <w:rFonts w:cs="Times New Roman"/>
          <w:b/>
          <w:szCs w:val="24"/>
        </w:rPr>
        <w:t>S</w:t>
      </w:r>
      <w:r w:rsidR="003C5469" w:rsidRPr="00B455FF">
        <w:rPr>
          <w:rFonts w:cs="Times New Roman"/>
          <w:b/>
          <w:szCs w:val="24"/>
        </w:rPr>
        <w:t xml:space="preserve">2. Statistics of the </w:t>
      </w:r>
      <w:r w:rsidR="003C5469" w:rsidRPr="00B455FF">
        <w:rPr>
          <w:rFonts w:cs="Times New Roman"/>
          <w:b/>
          <w:i/>
          <w:szCs w:val="24"/>
        </w:rPr>
        <w:t>de novo</w:t>
      </w:r>
      <w:r w:rsidR="003C5469" w:rsidRPr="00B455FF">
        <w:rPr>
          <w:rFonts w:cs="Times New Roman"/>
          <w:b/>
          <w:szCs w:val="24"/>
        </w:rPr>
        <w:t xml:space="preserve"> transcriptomic assembly from 40 samples.</w:t>
      </w:r>
      <w:r w:rsidR="003C5469" w:rsidRPr="00B455FF">
        <w:rPr>
          <w:rFonts w:cs="Times New Roman"/>
          <w:szCs w:val="24"/>
        </w:rPr>
        <w:t xml:space="preserve"> Transcripts refer to Trinity isoforms, genes refer to Trinity components. Mb: mega bases.</w:t>
      </w: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1701"/>
      </w:tblGrid>
      <w:tr w:rsidR="003C5469" w:rsidRPr="00B455FF" w14:paraId="2BBEC85A" w14:textId="77777777" w:rsidTr="00321B73">
        <w:tc>
          <w:tcPr>
            <w:tcW w:w="5778" w:type="dxa"/>
          </w:tcPr>
          <w:p w14:paraId="4499E821" w14:textId="77777777" w:rsidR="003C5469" w:rsidRPr="00B455FF" w:rsidRDefault="003C5469" w:rsidP="00321B73">
            <w:pPr>
              <w:jc w:val="both"/>
              <w:rPr>
                <w:rFonts w:cs="Times New Roman"/>
                <w:b/>
                <w:sz w:val="20"/>
                <w:szCs w:val="20"/>
              </w:rPr>
            </w:pPr>
            <w:r w:rsidRPr="00B455FF">
              <w:rPr>
                <w:rFonts w:cs="Times New Roman"/>
                <w:b/>
                <w:sz w:val="20"/>
                <w:szCs w:val="20"/>
              </w:rPr>
              <w:t>Statistics:</w:t>
            </w:r>
          </w:p>
        </w:tc>
        <w:tc>
          <w:tcPr>
            <w:tcW w:w="1701" w:type="dxa"/>
          </w:tcPr>
          <w:p w14:paraId="5F6B2030" w14:textId="77777777" w:rsidR="003C5469" w:rsidRPr="00B455FF" w:rsidRDefault="003C5469" w:rsidP="00321B73">
            <w:pPr>
              <w:jc w:val="center"/>
              <w:rPr>
                <w:rFonts w:cs="Times New Roman"/>
                <w:b/>
                <w:sz w:val="20"/>
                <w:szCs w:val="20"/>
              </w:rPr>
            </w:pPr>
          </w:p>
        </w:tc>
      </w:tr>
      <w:tr w:rsidR="003C5469" w:rsidRPr="00B455FF" w14:paraId="25E49AAA" w14:textId="77777777" w:rsidTr="00321B73">
        <w:tc>
          <w:tcPr>
            <w:tcW w:w="5778" w:type="dxa"/>
          </w:tcPr>
          <w:p w14:paraId="5118E249" w14:textId="77777777" w:rsidR="003C5469" w:rsidRPr="00B455FF" w:rsidRDefault="003C5469" w:rsidP="00321B73">
            <w:pPr>
              <w:jc w:val="both"/>
              <w:rPr>
                <w:rFonts w:cs="Times New Roman"/>
                <w:sz w:val="20"/>
                <w:szCs w:val="20"/>
              </w:rPr>
            </w:pPr>
            <w:r w:rsidRPr="00B455FF">
              <w:rPr>
                <w:rFonts w:cs="Times New Roman"/>
                <w:sz w:val="20"/>
                <w:szCs w:val="20"/>
              </w:rPr>
              <w:t>No. Transcripts – Trinity isoforms</w:t>
            </w:r>
          </w:p>
        </w:tc>
        <w:tc>
          <w:tcPr>
            <w:tcW w:w="1701" w:type="dxa"/>
          </w:tcPr>
          <w:p w14:paraId="42ADF033" w14:textId="77777777" w:rsidR="003C5469" w:rsidRPr="00B455FF" w:rsidRDefault="003C5469" w:rsidP="00321B73">
            <w:pPr>
              <w:jc w:val="center"/>
              <w:rPr>
                <w:rFonts w:cs="Times New Roman"/>
                <w:sz w:val="20"/>
                <w:szCs w:val="20"/>
              </w:rPr>
            </w:pPr>
            <w:r w:rsidRPr="00B455FF">
              <w:rPr>
                <w:rFonts w:cs="Times New Roman"/>
                <w:sz w:val="20"/>
                <w:szCs w:val="20"/>
              </w:rPr>
              <w:t>1 101 660</w:t>
            </w:r>
          </w:p>
        </w:tc>
      </w:tr>
      <w:tr w:rsidR="003C5469" w:rsidRPr="00B455FF" w14:paraId="77F1AE1B" w14:textId="77777777" w:rsidTr="00321B73">
        <w:tc>
          <w:tcPr>
            <w:tcW w:w="5778" w:type="dxa"/>
          </w:tcPr>
          <w:p w14:paraId="4E0E1FD5" w14:textId="77777777" w:rsidR="003C5469" w:rsidRPr="00B455FF" w:rsidRDefault="003C5469" w:rsidP="00321B73">
            <w:pPr>
              <w:jc w:val="both"/>
              <w:rPr>
                <w:rFonts w:cs="Times New Roman"/>
                <w:sz w:val="20"/>
                <w:szCs w:val="20"/>
              </w:rPr>
            </w:pPr>
            <w:r w:rsidRPr="00B455FF">
              <w:rPr>
                <w:rFonts w:cs="Times New Roman"/>
                <w:sz w:val="20"/>
                <w:szCs w:val="20"/>
              </w:rPr>
              <w:t>No. Genes – Trinity components</w:t>
            </w:r>
          </w:p>
        </w:tc>
        <w:tc>
          <w:tcPr>
            <w:tcW w:w="1701" w:type="dxa"/>
          </w:tcPr>
          <w:p w14:paraId="0EE81170" w14:textId="77777777" w:rsidR="003C5469" w:rsidRPr="00B455FF" w:rsidRDefault="003C5469" w:rsidP="00321B73">
            <w:pPr>
              <w:jc w:val="center"/>
              <w:rPr>
                <w:rFonts w:cs="Times New Roman"/>
                <w:sz w:val="20"/>
                <w:szCs w:val="20"/>
              </w:rPr>
            </w:pPr>
            <w:r w:rsidRPr="00B455FF">
              <w:rPr>
                <w:rFonts w:cs="Times New Roman"/>
                <w:sz w:val="20"/>
                <w:szCs w:val="20"/>
              </w:rPr>
              <w:t>478 830</w:t>
            </w:r>
          </w:p>
        </w:tc>
      </w:tr>
      <w:tr w:rsidR="003C5469" w:rsidRPr="00B455FF" w14:paraId="395906CE" w14:textId="77777777" w:rsidTr="00321B73">
        <w:tc>
          <w:tcPr>
            <w:tcW w:w="5778" w:type="dxa"/>
          </w:tcPr>
          <w:p w14:paraId="0DB13966" w14:textId="77777777" w:rsidR="003C5469" w:rsidRPr="00B455FF" w:rsidRDefault="003C5469" w:rsidP="00321B73">
            <w:pPr>
              <w:jc w:val="both"/>
              <w:rPr>
                <w:rFonts w:cs="Times New Roman"/>
                <w:sz w:val="20"/>
                <w:szCs w:val="20"/>
              </w:rPr>
            </w:pPr>
            <w:r w:rsidRPr="00B455FF">
              <w:rPr>
                <w:rFonts w:cs="Times New Roman"/>
                <w:sz w:val="20"/>
                <w:szCs w:val="20"/>
              </w:rPr>
              <w:t>Transcripts with open reading frames, %</w:t>
            </w:r>
          </w:p>
        </w:tc>
        <w:tc>
          <w:tcPr>
            <w:tcW w:w="1701" w:type="dxa"/>
          </w:tcPr>
          <w:p w14:paraId="62F3ADA2" w14:textId="77777777" w:rsidR="003C5469" w:rsidRPr="00B455FF" w:rsidRDefault="003C5469" w:rsidP="00321B73">
            <w:pPr>
              <w:jc w:val="center"/>
              <w:rPr>
                <w:rFonts w:cs="Times New Roman"/>
                <w:sz w:val="20"/>
                <w:szCs w:val="20"/>
              </w:rPr>
            </w:pPr>
            <w:r w:rsidRPr="00B455FF">
              <w:rPr>
                <w:rFonts w:cs="Times New Roman"/>
                <w:sz w:val="20"/>
                <w:szCs w:val="20"/>
              </w:rPr>
              <w:t xml:space="preserve"> 60.8</w:t>
            </w:r>
          </w:p>
        </w:tc>
      </w:tr>
      <w:tr w:rsidR="003C5469" w:rsidRPr="00B455FF" w14:paraId="520A378A" w14:textId="77777777" w:rsidTr="00321B73">
        <w:tc>
          <w:tcPr>
            <w:tcW w:w="5778" w:type="dxa"/>
          </w:tcPr>
          <w:p w14:paraId="2766D658" w14:textId="77777777" w:rsidR="003C5469" w:rsidRPr="00B455FF" w:rsidRDefault="003C5469" w:rsidP="00321B73">
            <w:pPr>
              <w:jc w:val="both"/>
              <w:rPr>
                <w:rFonts w:cs="Times New Roman"/>
                <w:sz w:val="20"/>
                <w:szCs w:val="20"/>
              </w:rPr>
            </w:pPr>
            <w:r w:rsidRPr="00B455FF">
              <w:rPr>
                <w:rFonts w:cs="Times New Roman"/>
                <w:sz w:val="20"/>
                <w:szCs w:val="20"/>
              </w:rPr>
              <w:t>Average transcript length, nucleotides</w:t>
            </w:r>
          </w:p>
        </w:tc>
        <w:tc>
          <w:tcPr>
            <w:tcW w:w="1701" w:type="dxa"/>
          </w:tcPr>
          <w:p w14:paraId="2F39A8B7" w14:textId="77777777" w:rsidR="003C5469" w:rsidRPr="00B455FF" w:rsidRDefault="003C5469" w:rsidP="00321B73">
            <w:pPr>
              <w:jc w:val="center"/>
              <w:rPr>
                <w:rFonts w:cs="Times New Roman"/>
                <w:sz w:val="20"/>
                <w:szCs w:val="20"/>
              </w:rPr>
            </w:pPr>
            <w:r w:rsidRPr="00B455FF">
              <w:rPr>
                <w:rFonts w:cs="Times New Roman"/>
                <w:sz w:val="20"/>
                <w:szCs w:val="20"/>
              </w:rPr>
              <w:t>510.8</w:t>
            </w:r>
          </w:p>
        </w:tc>
      </w:tr>
      <w:tr w:rsidR="003C5469" w:rsidRPr="00B455FF" w14:paraId="788795A2" w14:textId="77777777" w:rsidTr="00321B73">
        <w:tc>
          <w:tcPr>
            <w:tcW w:w="5778" w:type="dxa"/>
          </w:tcPr>
          <w:p w14:paraId="6D0198C6" w14:textId="77777777" w:rsidR="003C5469" w:rsidRPr="00B455FF" w:rsidRDefault="003C5469" w:rsidP="00321B73">
            <w:pPr>
              <w:jc w:val="both"/>
              <w:rPr>
                <w:rFonts w:cs="Times New Roman"/>
                <w:sz w:val="20"/>
                <w:szCs w:val="20"/>
              </w:rPr>
            </w:pPr>
            <w:r w:rsidRPr="00B455FF">
              <w:rPr>
                <w:rFonts w:cs="Times New Roman"/>
                <w:sz w:val="20"/>
                <w:szCs w:val="20"/>
              </w:rPr>
              <w:t>N50</w:t>
            </w:r>
          </w:p>
        </w:tc>
        <w:tc>
          <w:tcPr>
            <w:tcW w:w="1701" w:type="dxa"/>
          </w:tcPr>
          <w:p w14:paraId="714ED67E" w14:textId="77777777" w:rsidR="003C5469" w:rsidRPr="00B455FF" w:rsidRDefault="003C5469" w:rsidP="00321B73">
            <w:pPr>
              <w:jc w:val="center"/>
              <w:rPr>
                <w:rFonts w:cs="Times New Roman"/>
                <w:sz w:val="20"/>
                <w:szCs w:val="20"/>
              </w:rPr>
            </w:pPr>
            <w:r w:rsidRPr="00B455FF">
              <w:rPr>
                <w:rFonts w:cs="Times New Roman"/>
                <w:sz w:val="20"/>
                <w:szCs w:val="20"/>
              </w:rPr>
              <w:t>582</w:t>
            </w:r>
          </w:p>
        </w:tc>
      </w:tr>
      <w:tr w:rsidR="003C5469" w:rsidRPr="00B455FF" w14:paraId="6002B943" w14:textId="77777777" w:rsidTr="00321B73">
        <w:tc>
          <w:tcPr>
            <w:tcW w:w="5778" w:type="dxa"/>
          </w:tcPr>
          <w:p w14:paraId="04845D6B" w14:textId="77777777" w:rsidR="003C5469" w:rsidRPr="00B455FF" w:rsidRDefault="003C5469" w:rsidP="00321B73">
            <w:pPr>
              <w:jc w:val="both"/>
              <w:rPr>
                <w:rFonts w:cs="Times New Roman"/>
                <w:sz w:val="20"/>
                <w:szCs w:val="20"/>
              </w:rPr>
            </w:pPr>
            <w:r w:rsidRPr="00B455FF">
              <w:rPr>
                <w:rFonts w:cs="Times New Roman"/>
                <w:sz w:val="20"/>
                <w:szCs w:val="20"/>
              </w:rPr>
              <w:t>Total assembled bases, Mb</w:t>
            </w:r>
          </w:p>
        </w:tc>
        <w:tc>
          <w:tcPr>
            <w:tcW w:w="1701" w:type="dxa"/>
          </w:tcPr>
          <w:p w14:paraId="65008532" w14:textId="77777777" w:rsidR="003C5469" w:rsidRPr="00B455FF" w:rsidRDefault="003C5469" w:rsidP="00321B73">
            <w:pPr>
              <w:jc w:val="center"/>
              <w:rPr>
                <w:rFonts w:cs="Times New Roman"/>
                <w:sz w:val="20"/>
                <w:szCs w:val="20"/>
              </w:rPr>
            </w:pPr>
            <w:r w:rsidRPr="00B455FF">
              <w:rPr>
                <w:rFonts w:cs="Times New Roman"/>
                <w:sz w:val="20"/>
                <w:szCs w:val="20"/>
              </w:rPr>
              <w:t>562.7</w:t>
            </w:r>
          </w:p>
        </w:tc>
      </w:tr>
      <w:tr w:rsidR="003C5469" w:rsidRPr="00B455FF" w14:paraId="6DC64C9E" w14:textId="77777777" w:rsidTr="00321B73">
        <w:tc>
          <w:tcPr>
            <w:tcW w:w="5778" w:type="dxa"/>
          </w:tcPr>
          <w:p w14:paraId="638A20F8" w14:textId="77777777" w:rsidR="003C5469" w:rsidRPr="00B455FF" w:rsidRDefault="003C5469" w:rsidP="00321B73">
            <w:pPr>
              <w:jc w:val="both"/>
              <w:rPr>
                <w:rFonts w:cs="Times New Roman"/>
                <w:b/>
                <w:sz w:val="20"/>
                <w:szCs w:val="20"/>
              </w:rPr>
            </w:pPr>
            <w:r w:rsidRPr="00B455FF">
              <w:rPr>
                <w:rFonts w:cs="Times New Roman"/>
                <w:b/>
                <w:sz w:val="20"/>
                <w:szCs w:val="20"/>
              </w:rPr>
              <w:t>Filtering after Blast filtering:</w:t>
            </w:r>
          </w:p>
        </w:tc>
        <w:tc>
          <w:tcPr>
            <w:tcW w:w="1701" w:type="dxa"/>
          </w:tcPr>
          <w:p w14:paraId="451FBDEF" w14:textId="77777777" w:rsidR="003C5469" w:rsidRPr="00B455FF" w:rsidRDefault="003C5469" w:rsidP="00321B73">
            <w:pPr>
              <w:jc w:val="center"/>
              <w:rPr>
                <w:rFonts w:cs="Times New Roman"/>
                <w:b/>
                <w:sz w:val="20"/>
                <w:szCs w:val="20"/>
              </w:rPr>
            </w:pPr>
          </w:p>
        </w:tc>
      </w:tr>
      <w:tr w:rsidR="003C5469" w:rsidRPr="00B455FF" w14:paraId="23823AF0" w14:textId="77777777" w:rsidTr="00321B73">
        <w:tc>
          <w:tcPr>
            <w:tcW w:w="5778" w:type="dxa"/>
          </w:tcPr>
          <w:p w14:paraId="6B763E95" w14:textId="77777777" w:rsidR="003C5469" w:rsidRPr="00B455FF" w:rsidRDefault="003C5469" w:rsidP="00321B73">
            <w:pPr>
              <w:jc w:val="both"/>
              <w:rPr>
                <w:rFonts w:cs="Times New Roman"/>
                <w:sz w:val="20"/>
                <w:szCs w:val="20"/>
              </w:rPr>
            </w:pPr>
            <w:r w:rsidRPr="00B455FF">
              <w:rPr>
                <w:rFonts w:cs="Times New Roman"/>
                <w:sz w:val="20"/>
                <w:szCs w:val="20"/>
              </w:rPr>
              <w:t>No. Transcripts – Trinity isoforms</w:t>
            </w:r>
          </w:p>
        </w:tc>
        <w:tc>
          <w:tcPr>
            <w:tcW w:w="1701" w:type="dxa"/>
          </w:tcPr>
          <w:p w14:paraId="324BDDA1" w14:textId="77777777" w:rsidR="003C5469" w:rsidRPr="00B455FF" w:rsidRDefault="003C5469" w:rsidP="00321B73">
            <w:pPr>
              <w:jc w:val="center"/>
              <w:rPr>
                <w:rFonts w:cs="Times New Roman"/>
                <w:sz w:val="20"/>
                <w:szCs w:val="20"/>
              </w:rPr>
            </w:pPr>
            <w:r w:rsidRPr="00B455FF">
              <w:rPr>
                <w:rFonts w:cs="Times New Roman"/>
                <w:sz w:val="20"/>
                <w:szCs w:val="20"/>
              </w:rPr>
              <w:t>1 065 137</w:t>
            </w:r>
          </w:p>
        </w:tc>
      </w:tr>
      <w:tr w:rsidR="003C5469" w:rsidRPr="00B455FF" w14:paraId="492B1588" w14:textId="77777777" w:rsidTr="00321B73">
        <w:tc>
          <w:tcPr>
            <w:tcW w:w="5778" w:type="dxa"/>
          </w:tcPr>
          <w:p w14:paraId="561BCDAC" w14:textId="77777777" w:rsidR="003C5469" w:rsidRPr="00B455FF" w:rsidRDefault="003C5469" w:rsidP="00321B73">
            <w:pPr>
              <w:jc w:val="both"/>
              <w:rPr>
                <w:rFonts w:cs="Times New Roman"/>
                <w:sz w:val="20"/>
                <w:szCs w:val="20"/>
              </w:rPr>
            </w:pPr>
            <w:proofErr w:type="spellStart"/>
            <w:proofErr w:type="gramStart"/>
            <w:r w:rsidRPr="00B455FF">
              <w:rPr>
                <w:rFonts w:cs="Times New Roman"/>
                <w:sz w:val="20"/>
                <w:szCs w:val="20"/>
              </w:rPr>
              <w:t>No.Genes</w:t>
            </w:r>
            <w:proofErr w:type="spellEnd"/>
            <w:proofErr w:type="gramEnd"/>
            <w:r w:rsidRPr="00B455FF">
              <w:rPr>
                <w:rFonts w:cs="Times New Roman"/>
                <w:sz w:val="20"/>
                <w:szCs w:val="20"/>
              </w:rPr>
              <w:t xml:space="preserve"> – Trinity components</w:t>
            </w:r>
          </w:p>
        </w:tc>
        <w:tc>
          <w:tcPr>
            <w:tcW w:w="1701" w:type="dxa"/>
          </w:tcPr>
          <w:p w14:paraId="03AE1A14" w14:textId="77777777" w:rsidR="003C5469" w:rsidRPr="00B455FF" w:rsidRDefault="003C5469" w:rsidP="00321B73">
            <w:pPr>
              <w:jc w:val="center"/>
              <w:rPr>
                <w:rFonts w:cs="Times New Roman"/>
                <w:sz w:val="20"/>
                <w:szCs w:val="20"/>
              </w:rPr>
            </w:pPr>
            <w:r w:rsidRPr="00B455FF">
              <w:rPr>
                <w:rFonts w:cs="Times New Roman"/>
                <w:sz w:val="20"/>
                <w:szCs w:val="20"/>
              </w:rPr>
              <w:t>459 466</w:t>
            </w:r>
          </w:p>
        </w:tc>
      </w:tr>
    </w:tbl>
    <w:p w14:paraId="14E5D8F4" w14:textId="77777777" w:rsidR="003C5469" w:rsidRPr="00B455FF" w:rsidRDefault="003C5469" w:rsidP="003C5469">
      <w:pPr>
        <w:shd w:val="clear" w:color="auto" w:fill="FFFFFF"/>
        <w:spacing w:before="240" w:after="0"/>
        <w:contextualSpacing/>
        <w:jc w:val="both"/>
        <w:rPr>
          <w:rFonts w:cs="Times New Roman"/>
          <w:b/>
          <w:szCs w:val="24"/>
        </w:rPr>
      </w:pPr>
    </w:p>
    <w:p w14:paraId="50C0B440" w14:textId="0D47E1FE" w:rsidR="003C5469" w:rsidRPr="00B455FF" w:rsidRDefault="008B5BE9" w:rsidP="003C5469">
      <w:pPr>
        <w:rPr>
          <w:rFonts w:cs="Times New Roman"/>
          <w:b/>
          <w:szCs w:val="24"/>
        </w:rPr>
      </w:pPr>
      <w:r>
        <w:rPr>
          <w:rFonts w:cs="Times New Roman"/>
          <w:b/>
          <w:szCs w:val="24"/>
        </w:rPr>
        <w:t xml:space="preserve">Supplementary Table </w:t>
      </w:r>
      <w:r w:rsidR="00C2331C">
        <w:rPr>
          <w:rFonts w:cs="Times New Roman"/>
          <w:b/>
          <w:szCs w:val="24"/>
        </w:rPr>
        <w:t>S</w:t>
      </w:r>
      <w:r w:rsidR="003C5469" w:rsidRPr="00B455FF">
        <w:rPr>
          <w:rFonts w:cs="Times New Roman"/>
          <w:b/>
          <w:szCs w:val="24"/>
        </w:rPr>
        <w:t>3.</w:t>
      </w:r>
      <w:r w:rsidR="003C5469" w:rsidRPr="00B455FF">
        <w:rPr>
          <w:rFonts w:cs="Times New Roman"/>
        </w:rPr>
        <w:t xml:space="preserve"> </w:t>
      </w:r>
      <w:r w:rsidR="003C5469" w:rsidRPr="00B455FF">
        <w:rPr>
          <w:rFonts w:cs="Times New Roman"/>
          <w:b/>
          <w:szCs w:val="24"/>
        </w:rPr>
        <w:t>Annotated differential expressed genes in grazing in comparison to mechanical-damage.</w:t>
      </w:r>
    </w:p>
    <w:tbl>
      <w:tblPr>
        <w:tblStyle w:val="Tablaconcuadrcula"/>
        <w:tblW w:w="883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28"/>
        <w:gridCol w:w="810"/>
        <w:gridCol w:w="990"/>
        <w:gridCol w:w="2340"/>
        <w:gridCol w:w="2070"/>
      </w:tblGrid>
      <w:tr w:rsidR="003C5469" w:rsidRPr="00B455FF" w14:paraId="4F90F6F5" w14:textId="77777777" w:rsidTr="00321B73">
        <w:tc>
          <w:tcPr>
            <w:tcW w:w="2628" w:type="dxa"/>
            <w:tcBorders>
              <w:top w:val="single" w:sz="4" w:space="0" w:color="auto"/>
              <w:bottom w:val="single" w:sz="4" w:space="0" w:color="auto"/>
            </w:tcBorders>
          </w:tcPr>
          <w:p w14:paraId="0BCFCA27" w14:textId="77777777" w:rsidR="003C5469" w:rsidRPr="00B455FF" w:rsidRDefault="003C5469" w:rsidP="00321B73">
            <w:pPr>
              <w:contextualSpacing/>
              <w:jc w:val="both"/>
              <w:rPr>
                <w:rFonts w:cs="Times New Roman"/>
                <w:b/>
                <w:sz w:val="20"/>
                <w:szCs w:val="20"/>
              </w:rPr>
            </w:pPr>
            <w:proofErr w:type="spellStart"/>
            <w:r w:rsidRPr="00B455FF">
              <w:rPr>
                <w:rFonts w:cs="Times New Roman"/>
                <w:b/>
                <w:sz w:val="20"/>
                <w:szCs w:val="20"/>
              </w:rPr>
              <w:t>GeneID</w:t>
            </w:r>
            <w:proofErr w:type="spellEnd"/>
          </w:p>
        </w:tc>
        <w:tc>
          <w:tcPr>
            <w:tcW w:w="810" w:type="dxa"/>
            <w:tcBorders>
              <w:top w:val="single" w:sz="4" w:space="0" w:color="auto"/>
              <w:bottom w:val="single" w:sz="4" w:space="0" w:color="auto"/>
            </w:tcBorders>
          </w:tcPr>
          <w:p w14:paraId="3D8AF7E9" w14:textId="77777777" w:rsidR="003C5469" w:rsidRPr="00B455FF" w:rsidRDefault="003C5469" w:rsidP="00321B73">
            <w:pPr>
              <w:contextualSpacing/>
              <w:jc w:val="both"/>
              <w:rPr>
                <w:rFonts w:cs="Times New Roman"/>
                <w:b/>
                <w:sz w:val="20"/>
                <w:szCs w:val="20"/>
              </w:rPr>
            </w:pPr>
            <w:proofErr w:type="spellStart"/>
            <w:r w:rsidRPr="00B455FF">
              <w:rPr>
                <w:rFonts w:cs="Times New Roman"/>
                <w:b/>
                <w:sz w:val="20"/>
                <w:szCs w:val="20"/>
              </w:rPr>
              <w:t>logFC</w:t>
            </w:r>
            <w:proofErr w:type="spellEnd"/>
          </w:p>
        </w:tc>
        <w:tc>
          <w:tcPr>
            <w:tcW w:w="990" w:type="dxa"/>
            <w:tcBorders>
              <w:top w:val="single" w:sz="4" w:space="0" w:color="auto"/>
              <w:bottom w:val="single" w:sz="4" w:space="0" w:color="auto"/>
            </w:tcBorders>
          </w:tcPr>
          <w:p w14:paraId="175572E6" w14:textId="77777777" w:rsidR="003C5469" w:rsidRPr="00B455FF" w:rsidRDefault="003C5469" w:rsidP="00321B73">
            <w:pPr>
              <w:contextualSpacing/>
              <w:jc w:val="both"/>
              <w:rPr>
                <w:rFonts w:cs="Times New Roman"/>
                <w:b/>
                <w:sz w:val="20"/>
                <w:szCs w:val="20"/>
              </w:rPr>
            </w:pPr>
            <w:r w:rsidRPr="00B455FF">
              <w:rPr>
                <w:rFonts w:cs="Times New Roman"/>
                <w:b/>
                <w:sz w:val="20"/>
                <w:szCs w:val="20"/>
              </w:rPr>
              <w:t xml:space="preserve">FDR </w:t>
            </w:r>
          </w:p>
        </w:tc>
        <w:tc>
          <w:tcPr>
            <w:tcW w:w="2340" w:type="dxa"/>
            <w:tcBorders>
              <w:top w:val="single" w:sz="4" w:space="0" w:color="auto"/>
              <w:bottom w:val="single" w:sz="4" w:space="0" w:color="auto"/>
            </w:tcBorders>
          </w:tcPr>
          <w:p w14:paraId="44259F72" w14:textId="77777777" w:rsidR="003C5469" w:rsidRPr="00B455FF" w:rsidRDefault="003C5469" w:rsidP="00321B73">
            <w:pPr>
              <w:contextualSpacing/>
              <w:jc w:val="both"/>
              <w:rPr>
                <w:rFonts w:cs="Times New Roman"/>
                <w:b/>
                <w:sz w:val="20"/>
                <w:szCs w:val="20"/>
              </w:rPr>
            </w:pPr>
            <w:proofErr w:type="spellStart"/>
            <w:proofErr w:type="gramStart"/>
            <w:r w:rsidRPr="00B455FF">
              <w:rPr>
                <w:rFonts w:cs="Times New Roman"/>
                <w:b/>
                <w:i/>
                <w:sz w:val="20"/>
                <w:szCs w:val="20"/>
              </w:rPr>
              <w:t>A.queen</w:t>
            </w:r>
            <w:proofErr w:type="spellEnd"/>
            <w:proofErr w:type="gramEnd"/>
            <w:r w:rsidRPr="00B455FF">
              <w:rPr>
                <w:rFonts w:cs="Times New Roman"/>
                <w:b/>
                <w:sz w:val="20"/>
                <w:szCs w:val="20"/>
              </w:rPr>
              <w:t xml:space="preserve"> </w:t>
            </w:r>
            <w:proofErr w:type="spellStart"/>
            <w:r w:rsidRPr="00B455FF">
              <w:rPr>
                <w:rFonts w:cs="Times New Roman"/>
                <w:b/>
                <w:sz w:val="20"/>
                <w:szCs w:val="20"/>
              </w:rPr>
              <w:t>blastp</w:t>
            </w:r>
            <w:proofErr w:type="spellEnd"/>
          </w:p>
        </w:tc>
        <w:tc>
          <w:tcPr>
            <w:tcW w:w="2070" w:type="dxa"/>
            <w:tcBorders>
              <w:top w:val="single" w:sz="4" w:space="0" w:color="auto"/>
              <w:bottom w:val="single" w:sz="4" w:space="0" w:color="auto"/>
            </w:tcBorders>
          </w:tcPr>
          <w:p w14:paraId="7262B399" w14:textId="77777777" w:rsidR="003C5469" w:rsidRPr="00B455FF" w:rsidRDefault="003C5469" w:rsidP="00321B73">
            <w:pPr>
              <w:contextualSpacing/>
              <w:jc w:val="both"/>
              <w:rPr>
                <w:rFonts w:cs="Times New Roman"/>
                <w:b/>
                <w:sz w:val="20"/>
                <w:szCs w:val="20"/>
              </w:rPr>
            </w:pPr>
            <w:proofErr w:type="spellStart"/>
            <w:r w:rsidRPr="00B455FF">
              <w:rPr>
                <w:rFonts w:cs="Times New Roman"/>
                <w:b/>
                <w:sz w:val="20"/>
                <w:szCs w:val="20"/>
              </w:rPr>
              <w:t>Trinotate</w:t>
            </w:r>
            <w:proofErr w:type="spellEnd"/>
            <w:r w:rsidRPr="00B455FF">
              <w:rPr>
                <w:rFonts w:cs="Times New Roman"/>
                <w:b/>
                <w:sz w:val="20"/>
                <w:szCs w:val="20"/>
              </w:rPr>
              <w:t xml:space="preserve"> annotation</w:t>
            </w:r>
          </w:p>
        </w:tc>
      </w:tr>
      <w:tr w:rsidR="003C5469" w:rsidRPr="00B455FF" w14:paraId="01A5046F" w14:textId="77777777" w:rsidTr="00321B73">
        <w:tc>
          <w:tcPr>
            <w:tcW w:w="2628" w:type="dxa"/>
            <w:tcBorders>
              <w:top w:val="single" w:sz="4" w:space="0" w:color="auto"/>
              <w:bottom w:val="single" w:sz="4" w:space="0" w:color="auto"/>
            </w:tcBorders>
          </w:tcPr>
          <w:p w14:paraId="075EF0F2" w14:textId="77777777" w:rsidR="003C5469" w:rsidRPr="00B455FF" w:rsidRDefault="003C5469" w:rsidP="00321B73">
            <w:pPr>
              <w:contextualSpacing/>
              <w:rPr>
                <w:rFonts w:cs="Times New Roman"/>
                <w:sz w:val="20"/>
                <w:szCs w:val="20"/>
              </w:rPr>
            </w:pPr>
            <w:r w:rsidRPr="00B455FF">
              <w:rPr>
                <w:rFonts w:cs="Times New Roman"/>
                <w:sz w:val="20"/>
                <w:szCs w:val="20"/>
              </w:rPr>
              <w:t>TRINITY_DN161680_c1_g1</w:t>
            </w:r>
          </w:p>
        </w:tc>
        <w:tc>
          <w:tcPr>
            <w:tcW w:w="810" w:type="dxa"/>
            <w:tcBorders>
              <w:top w:val="single" w:sz="4" w:space="0" w:color="auto"/>
              <w:bottom w:val="single" w:sz="4" w:space="0" w:color="auto"/>
            </w:tcBorders>
          </w:tcPr>
          <w:p w14:paraId="604E2285" w14:textId="77777777" w:rsidR="003C5469" w:rsidRPr="00B455FF" w:rsidRDefault="003C5469" w:rsidP="00321B73">
            <w:pPr>
              <w:contextualSpacing/>
              <w:rPr>
                <w:rFonts w:cs="Times New Roman"/>
                <w:sz w:val="20"/>
                <w:szCs w:val="20"/>
              </w:rPr>
            </w:pPr>
            <w:r w:rsidRPr="00B455FF">
              <w:rPr>
                <w:rFonts w:cs="Times New Roman"/>
                <w:sz w:val="20"/>
                <w:szCs w:val="20"/>
              </w:rPr>
              <w:t>-4.6</w:t>
            </w:r>
          </w:p>
        </w:tc>
        <w:tc>
          <w:tcPr>
            <w:tcW w:w="990" w:type="dxa"/>
            <w:tcBorders>
              <w:top w:val="single" w:sz="4" w:space="0" w:color="auto"/>
              <w:bottom w:val="single" w:sz="4" w:space="0" w:color="auto"/>
            </w:tcBorders>
          </w:tcPr>
          <w:p w14:paraId="308F2168" w14:textId="77777777" w:rsidR="003C5469" w:rsidRPr="00B455FF" w:rsidRDefault="003C5469" w:rsidP="00321B73">
            <w:pPr>
              <w:contextualSpacing/>
              <w:rPr>
                <w:rFonts w:cs="Times New Roman"/>
                <w:sz w:val="20"/>
                <w:szCs w:val="20"/>
              </w:rPr>
            </w:pPr>
            <w:r w:rsidRPr="00B455FF">
              <w:rPr>
                <w:rFonts w:cs="Times New Roman"/>
                <w:sz w:val="20"/>
                <w:szCs w:val="20"/>
              </w:rPr>
              <w:t>8.21e-8</w:t>
            </w:r>
          </w:p>
        </w:tc>
        <w:tc>
          <w:tcPr>
            <w:tcW w:w="2340" w:type="dxa"/>
            <w:tcBorders>
              <w:top w:val="single" w:sz="4" w:space="0" w:color="auto"/>
              <w:bottom w:val="single" w:sz="4" w:space="0" w:color="auto"/>
            </w:tcBorders>
          </w:tcPr>
          <w:p w14:paraId="7E016B7E" w14:textId="77777777" w:rsidR="003C5469" w:rsidRPr="00B455FF" w:rsidRDefault="003C5469" w:rsidP="00321B73">
            <w:pPr>
              <w:contextualSpacing/>
              <w:rPr>
                <w:rFonts w:cs="Times New Roman"/>
                <w:sz w:val="20"/>
                <w:szCs w:val="20"/>
              </w:rPr>
            </w:pPr>
            <w:r w:rsidRPr="00B455FF">
              <w:rPr>
                <w:rFonts w:cs="Times New Roman"/>
                <w:sz w:val="20"/>
                <w:szCs w:val="20"/>
              </w:rPr>
              <w:t>-</w:t>
            </w:r>
          </w:p>
        </w:tc>
        <w:tc>
          <w:tcPr>
            <w:tcW w:w="2070" w:type="dxa"/>
            <w:tcBorders>
              <w:top w:val="single" w:sz="4" w:space="0" w:color="auto"/>
              <w:bottom w:val="single" w:sz="4" w:space="0" w:color="auto"/>
            </w:tcBorders>
          </w:tcPr>
          <w:p w14:paraId="1785C360" w14:textId="77777777" w:rsidR="003C5469" w:rsidRPr="00B455FF" w:rsidRDefault="003C5469" w:rsidP="00321B73">
            <w:pPr>
              <w:contextualSpacing/>
              <w:rPr>
                <w:rFonts w:cs="Times New Roman"/>
                <w:sz w:val="20"/>
                <w:szCs w:val="20"/>
              </w:rPr>
            </w:pPr>
            <w:r w:rsidRPr="00B455FF">
              <w:rPr>
                <w:rFonts w:cs="Times New Roman"/>
                <w:sz w:val="20"/>
                <w:szCs w:val="20"/>
              </w:rPr>
              <w:t>TM prediction</w:t>
            </w:r>
          </w:p>
        </w:tc>
      </w:tr>
      <w:tr w:rsidR="003C5469" w:rsidRPr="00B455FF" w14:paraId="759F67C9" w14:textId="77777777" w:rsidTr="00321B73">
        <w:tc>
          <w:tcPr>
            <w:tcW w:w="2628" w:type="dxa"/>
            <w:tcBorders>
              <w:top w:val="single" w:sz="4" w:space="0" w:color="auto"/>
              <w:bottom w:val="single" w:sz="4" w:space="0" w:color="auto"/>
            </w:tcBorders>
          </w:tcPr>
          <w:p w14:paraId="32A7BF89" w14:textId="77777777" w:rsidR="003C5469" w:rsidRPr="00B455FF" w:rsidRDefault="003C5469" w:rsidP="00321B73">
            <w:pPr>
              <w:contextualSpacing/>
              <w:rPr>
                <w:rFonts w:cs="Times New Roman"/>
                <w:sz w:val="20"/>
                <w:szCs w:val="20"/>
              </w:rPr>
            </w:pPr>
            <w:r w:rsidRPr="00B455FF">
              <w:rPr>
                <w:rFonts w:cs="Times New Roman"/>
                <w:sz w:val="20"/>
                <w:szCs w:val="20"/>
              </w:rPr>
              <w:t>TRINITY_DN158538_c0_g2</w:t>
            </w:r>
          </w:p>
        </w:tc>
        <w:tc>
          <w:tcPr>
            <w:tcW w:w="810" w:type="dxa"/>
            <w:tcBorders>
              <w:top w:val="single" w:sz="4" w:space="0" w:color="auto"/>
              <w:bottom w:val="single" w:sz="4" w:space="0" w:color="auto"/>
            </w:tcBorders>
          </w:tcPr>
          <w:p w14:paraId="686BC0DC" w14:textId="77777777" w:rsidR="003C5469" w:rsidRPr="00B455FF" w:rsidRDefault="003C5469" w:rsidP="00321B73">
            <w:pPr>
              <w:contextualSpacing/>
              <w:rPr>
                <w:rFonts w:cs="Times New Roman"/>
                <w:sz w:val="20"/>
                <w:szCs w:val="20"/>
              </w:rPr>
            </w:pPr>
            <w:r w:rsidRPr="00B455FF">
              <w:rPr>
                <w:rFonts w:cs="Times New Roman"/>
                <w:sz w:val="20"/>
                <w:szCs w:val="20"/>
              </w:rPr>
              <w:t>-3.3</w:t>
            </w:r>
          </w:p>
        </w:tc>
        <w:tc>
          <w:tcPr>
            <w:tcW w:w="990" w:type="dxa"/>
            <w:tcBorders>
              <w:top w:val="single" w:sz="4" w:space="0" w:color="auto"/>
              <w:bottom w:val="single" w:sz="4" w:space="0" w:color="auto"/>
            </w:tcBorders>
          </w:tcPr>
          <w:p w14:paraId="08D2B851" w14:textId="77777777" w:rsidR="003C5469" w:rsidRPr="00B455FF" w:rsidRDefault="003C5469" w:rsidP="00321B73">
            <w:pPr>
              <w:contextualSpacing/>
              <w:rPr>
                <w:rFonts w:cs="Times New Roman"/>
                <w:sz w:val="20"/>
                <w:szCs w:val="20"/>
              </w:rPr>
            </w:pPr>
            <w:r w:rsidRPr="00B455FF">
              <w:rPr>
                <w:rFonts w:cs="Times New Roman"/>
                <w:sz w:val="20"/>
                <w:szCs w:val="20"/>
              </w:rPr>
              <w:t>0.002</w:t>
            </w:r>
          </w:p>
        </w:tc>
        <w:tc>
          <w:tcPr>
            <w:tcW w:w="2340" w:type="dxa"/>
            <w:tcBorders>
              <w:top w:val="single" w:sz="4" w:space="0" w:color="auto"/>
              <w:bottom w:val="single" w:sz="4" w:space="0" w:color="auto"/>
            </w:tcBorders>
          </w:tcPr>
          <w:p w14:paraId="16F5A4F0" w14:textId="77777777" w:rsidR="003C5469" w:rsidRPr="00B455FF" w:rsidRDefault="003C5469" w:rsidP="00321B73">
            <w:pPr>
              <w:contextualSpacing/>
              <w:rPr>
                <w:rFonts w:cs="Times New Roman"/>
                <w:sz w:val="20"/>
                <w:szCs w:val="20"/>
              </w:rPr>
            </w:pPr>
            <w:r w:rsidRPr="00B455FF">
              <w:rPr>
                <w:rFonts w:cs="Times New Roman"/>
                <w:sz w:val="20"/>
                <w:szCs w:val="20"/>
              </w:rPr>
              <w:t xml:space="preserve">TGFß1 (A0A1X7V271): </w:t>
            </w:r>
            <w:proofErr w:type="gramStart"/>
            <w:r w:rsidRPr="00B455FF">
              <w:rPr>
                <w:rFonts w:cs="Times New Roman"/>
                <w:sz w:val="20"/>
                <w:szCs w:val="20"/>
              </w:rPr>
              <w:t>383 :</w:t>
            </w:r>
            <w:proofErr w:type="gramEnd"/>
            <w:r w:rsidRPr="00B455FF">
              <w:rPr>
                <w:rFonts w:cs="Times New Roman"/>
                <w:sz w:val="20"/>
                <w:szCs w:val="20"/>
              </w:rPr>
              <w:t xml:space="preserve"> 23.8% : 1.8e-16 </w:t>
            </w:r>
          </w:p>
        </w:tc>
        <w:tc>
          <w:tcPr>
            <w:tcW w:w="2070" w:type="dxa"/>
            <w:tcBorders>
              <w:top w:val="single" w:sz="4" w:space="0" w:color="auto"/>
              <w:bottom w:val="single" w:sz="4" w:space="0" w:color="auto"/>
            </w:tcBorders>
          </w:tcPr>
          <w:p w14:paraId="68C556CA" w14:textId="77777777" w:rsidR="003C5469" w:rsidRPr="00B455FF" w:rsidRDefault="003C5469" w:rsidP="00321B73">
            <w:pPr>
              <w:contextualSpacing/>
              <w:rPr>
                <w:rFonts w:cs="Times New Roman"/>
                <w:sz w:val="20"/>
                <w:szCs w:val="20"/>
              </w:rPr>
            </w:pPr>
            <w:r w:rsidRPr="00B455FF">
              <w:rPr>
                <w:rFonts w:cs="Times New Roman"/>
                <w:sz w:val="20"/>
                <w:szCs w:val="20"/>
              </w:rPr>
              <w:t xml:space="preserve">TGF-ß-like; PF00019: TGF-ß domain; signal peptide-TM </w:t>
            </w:r>
          </w:p>
        </w:tc>
      </w:tr>
      <w:tr w:rsidR="003C5469" w:rsidRPr="00B455FF" w14:paraId="531F2FFA" w14:textId="77777777" w:rsidTr="00321B73">
        <w:tc>
          <w:tcPr>
            <w:tcW w:w="2628" w:type="dxa"/>
            <w:tcBorders>
              <w:top w:val="single" w:sz="4" w:space="0" w:color="auto"/>
              <w:bottom w:val="single" w:sz="4" w:space="0" w:color="auto"/>
            </w:tcBorders>
          </w:tcPr>
          <w:p w14:paraId="7F5D7324" w14:textId="77777777" w:rsidR="003C5469" w:rsidRPr="00B455FF" w:rsidRDefault="003C5469" w:rsidP="00321B73">
            <w:pPr>
              <w:contextualSpacing/>
              <w:rPr>
                <w:rFonts w:cs="Times New Roman"/>
                <w:sz w:val="20"/>
                <w:szCs w:val="20"/>
              </w:rPr>
            </w:pPr>
            <w:r w:rsidRPr="00B455FF">
              <w:rPr>
                <w:rFonts w:cs="Times New Roman"/>
                <w:sz w:val="20"/>
                <w:szCs w:val="20"/>
              </w:rPr>
              <w:t>TRINITY_DN160114_c1_g2</w:t>
            </w:r>
          </w:p>
        </w:tc>
        <w:tc>
          <w:tcPr>
            <w:tcW w:w="810" w:type="dxa"/>
            <w:tcBorders>
              <w:top w:val="single" w:sz="4" w:space="0" w:color="auto"/>
              <w:bottom w:val="single" w:sz="4" w:space="0" w:color="auto"/>
            </w:tcBorders>
          </w:tcPr>
          <w:p w14:paraId="3F172649" w14:textId="77777777" w:rsidR="003C5469" w:rsidRPr="00B455FF" w:rsidRDefault="003C5469" w:rsidP="00321B73">
            <w:pPr>
              <w:contextualSpacing/>
              <w:rPr>
                <w:rFonts w:cs="Times New Roman"/>
                <w:sz w:val="20"/>
                <w:szCs w:val="20"/>
              </w:rPr>
            </w:pPr>
            <w:r w:rsidRPr="00B455FF">
              <w:rPr>
                <w:rFonts w:cs="Times New Roman"/>
                <w:sz w:val="20"/>
                <w:szCs w:val="20"/>
              </w:rPr>
              <w:t>-3.8</w:t>
            </w:r>
          </w:p>
        </w:tc>
        <w:tc>
          <w:tcPr>
            <w:tcW w:w="990" w:type="dxa"/>
            <w:tcBorders>
              <w:top w:val="single" w:sz="4" w:space="0" w:color="auto"/>
              <w:bottom w:val="single" w:sz="4" w:space="0" w:color="auto"/>
            </w:tcBorders>
          </w:tcPr>
          <w:p w14:paraId="7624A23F" w14:textId="77777777" w:rsidR="003C5469" w:rsidRPr="00B455FF" w:rsidRDefault="003C5469" w:rsidP="00321B73">
            <w:pPr>
              <w:contextualSpacing/>
              <w:rPr>
                <w:rFonts w:cs="Times New Roman"/>
                <w:sz w:val="20"/>
                <w:szCs w:val="20"/>
              </w:rPr>
            </w:pPr>
            <w:r w:rsidRPr="00B455FF">
              <w:rPr>
                <w:rFonts w:cs="Times New Roman"/>
                <w:sz w:val="20"/>
                <w:szCs w:val="20"/>
              </w:rPr>
              <w:t>0.003</w:t>
            </w:r>
          </w:p>
        </w:tc>
        <w:tc>
          <w:tcPr>
            <w:tcW w:w="2340" w:type="dxa"/>
            <w:tcBorders>
              <w:top w:val="single" w:sz="4" w:space="0" w:color="auto"/>
              <w:bottom w:val="single" w:sz="4" w:space="0" w:color="auto"/>
            </w:tcBorders>
          </w:tcPr>
          <w:p w14:paraId="76714205" w14:textId="77777777" w:rsidR="003C5469" w:rsidRPr="00B455FF" w:rsidRDefault="003C5469" w:rsidP="00321B73">
            <w:pPr>
              <w:contextualSpacing/>
              <w:rPr>
                <w:rFonts w:cs="Times New Roman"/>
                <w:sz w:val="20"/>
                <w:szCs w:val="20"/>
              </w:rPr>
            </w:pPr>
          </w:p>
        </w:tc>
        <w:tc>
          <w:tcPr>
            <w:tcW w:w="2070" w:type="dxa"/>
            <w:tcBorders>
              <w:top w:val="single" w:sz="4" w:space="0" w:color="auto"/>
              <w:bottom w:val="single" w:sz="4" w:space="0" w:color="auto"/>
            </w:tcBorders>
          </w:tcPr>
          <w:p w14:paraId="71FEB2D3" w14:textId="77777777" w:rsidR="003C5469" w:rsidRPr="00B455FF" w:rsidRDefault="003C5469" w:rsidP="00321B73">
            <w:pPr>
              <w:contextualSpacing/>
              <w:rPr>
                <w:rFonts w:cs="Times New Roman"/>
                <w:sz w:val="20"/>
                <w:szCs w:val="20"/>
              </w:rPr>
            </w:pPr>
            <w:r w:rsidRPr="00B455FF">
              <w:rPr>
                <w:rFonts w:cs="Times New Roman"/>
                <w:sz w:val="20"/>
                <w:szCs w:val="20"/>
              </w:rPr>
              <w:t>TM prediction</w:t>
            </w:r>
          </w:p>
        </w:tc>
      </w:tr>
      <w:tr w:rsidR="003C5469" w:rsidRPr="00B455FF" w14:paraId="42EFC5AA" w14:textId="77777777" w:rsidTr="00321B73">
        <w:tc>
          <w:tcPr>
            <w:tcW w:w="2628" w:type="dxa"/>
            <w:tcBorders>
              <w:top w:val="single" w:sz="4" w:space="0" w:color="auto"/>
              <w:bottom w:val="single" w:sz="4" w:space="0" w:color="auto"/>
            </w:tcBorders>
          </w:tcPr>
          <w:p w14:paraId="6E80763D" w14:textId="77777777" w:rsidR="003C5469" w:rsidRPr="00B455FF" w:rsidRDefault="003C5469" w:rsidP="00321B73">
            <w:pPr>
              <w:contextualSpacing/>
              <w:rPr>
                <w:rFonts w:cs="Times New Roman"/>
                <w:sz w:val="20"/>
                <w:szCs w:val="20"/>
              </w:rPr>
            </w:pPr>
            <w:r w:rsidRPr="00B455FF">
              <w:rPr>
                <w:rFonts w:cs="Times New Roman"/>
                <w:sz w:val="20"/>
                <w:szCs w:val="20"/>
              </w:rPr>
              <w:t>TRINITY_DN139241_c0_g1</w:t>
            </w:r>
          </w:p>
        </w:tc>
        <w:tc>
          <w:tcPr>
            <w:tcW w:w="810" w:type="dxa"/>
            <w:tcBorders>
              <w:top w:val="single" w:sz="4" w:space="0" w:color="auto"/>
              <w:bottom w:val="single" w:sz="4" w:space="0" w:color="auto"/>
            </w:tcBorders>
          </w:tcPr>
          <w:p w14:paraId="5144FBFE" w14:textId="77777777" w:rsidR="003C5469" w:rsidRPr="00B455FF" w:rsidRDefault="003C5469" w:rsidP="00321B73">
            <w:pPr>
              <w:contextualSpacing/>
              <w:rPr>
                <w:rFonts w:cs="Times New Roman"/>
                <w:sz w:val="20"/>
                <w:szCs w:val="20"/>
              </w:rPr>
            </w:pPr>
            <w:r w:rsidRPr="00B455FF">
              <w:rPr>
                <w:rFonts w:cs="Times New Roman"/>
                <w:sz w:val="20"/>
                <w:szCs w:val="20"/>
              </w:rPr>
              <w:t>-4.4</w:t>
            </w:r>
          </w:p>
        </w:tc>
        <w:tc>
          <w:tcPr>
            <w:tcW w:w="990" w:type="dxa"/>
            <w:tcBorders>
              <w:top w:val="single" w:sz="4" w:space="0" w:color="auto"/>
              <w:bottom w:val="single" w:sz="4" w:space="0" w:color="auto"/>
            </w:tcBorders>
          </w:tcPr>
          <w:p w14:paraId="5E842699" w14:textId="77777777" w:rsidR="003C5469" w:rsidRPr="00B455FF" w:rsidRDefault="003C5469" w:rsidP="00321B73">
            <w:pPr>
              <w:contextualSpacing/>
              <w:rPr>
                <w:rFonts w:cs="Times New Roman"/>
                <w:sz w:val="20"/>
                <w:szCs w:val="20"/>
              </w:rPr>
            </w:pPr>
            <w:r w:rsidRPr="00B455FF">
              <w:rPr>
                <w:rFonts w:cs="Times New Roman"/>
                <w:sz w:val="20"/>
                <w:szCs w:val="20"/>
              </w:rPr>
              <w:t>0.031</w:t>
            </w:r>
          </w:p>
        </w:tc>
        <w:tc>
          <w:tcPr>
            <w:tcW w:w="2340" w:type="dxa"/>
            <w:tcBorders>
              <w:top w:val="single" w:sz="4" w:space="0" w:color="auto"/>
              <w:bottom w:val="single" w:sz="4" w:space="0" w:color="auto"/>
            </w:tcBorders>
          </w:tcPr>
          <w:p w14:paraId="0EC9A7EF" w14:textId="77777777" w:rsidR="003C5469" w:rsidRPr="00B455FF" w:rsidRDefault="003C5469" w:rsidP="00321B73">
            <w:pPr>
              <w:contextualSpacing/>
              <w:rPr>
                <w:rFonts w:cs="Times New Roman"/>
                <w:sz w:val="20"/>
                <w:szCs w:val="20"/>
              </w:rPr>
            </w:pPr>
            <w:r w:rsidRPr="00B455FF">
              <w:rPr>
                <w:rFonts w:cs="Times New Roman"/>
                <w:sz w:val="20"/>
                <w:szCs w:val="20"/>
              </w:rPr>
              <w:t xml:space="preserve">SRCR (A0A1X7U1B7): </w:t>
            </w:r>
            <w:proofErr w:type="gramStart"/>
            <w:r w:rsidRPr="00B455FF">
              <w:rPr>
                <w:rFonts w:cs="Times New Roman"/>
                <w:sz w:val="20"/>
                <w:szCs w:val="20"/>
              </w:rPr>
              <w:t>96 :</w:t>
            </w:r>
            <w:proofErr w:type="gramEnd"/>
            <w:r w:rsidRPr="00B455FF">
              <w:rPr>
                <w:rFonts w:cs="Times New Roman"/>
                <w:sz w:val="20"/>
                <w:szCs w:val="20"/>
              </w:rPr>
              <w:t xml:space="preserve"> 43.8% : 1.8e-11 </w:t>
            </w:r>
          </w:p>
        </w:tc>
        <w:tc>
          <w:tcPr>
            <w:tcW w:w="2070" w:type="dxa"/>
            <w:tcBorders>
              <w:top w:val="single" w:sz="4" w:space="0" w:color="auto"/>
              <w:bottom w:val="single" w:sz="4" w:space="0" w:color="auto"/>
            </w:tcBorders>
          </w:tcPr>
          <w:p w14:paraId="693C21F6" w14:textId="77777777" w:rsidR="003C5469" w:rsidRPr="00B455FF" w:rsidRDefault="003C5469" w:rsidP="00321B73">
            <w:pPr>
              <w:contextualSpacing/>
              <w:rPr>
                <w:rFonts w:cs="Times New Roman"/>
                <w:sz w:val="20"/>
                <w:szCs w:val="20"/>
              </w:rPr>
            </w:pPr>
            <w:r w:rsidRPr="00B455FF">
              <w:rPr>
                <w:rFonts w:cs="Times New Roman"/>
                <w:sz w:val="20"/>
                <w:szCs w:val="20"/>
              </w:rPr>
              <w:t>TM prediction</w:t>
            </w:r>
          </w:p>
        </w:tc>
      </w:tr>
      <w:tr w:rsidR="003C5469" w:rsidRPr="00B455FF" w14:paraId="59129569" w14:textId="77777777" w:rsidTr="00321B73">
        <w:tc>
          <w:tcPr>
            <w:tcW w:w="2628" w:type="dxa"/>
            <w:tcBorders>
              <w:top w:val="single" w:sz="4" w:space="0" w:color="auto"/>
              <w:bottom w:val="single" w:sz="4" w:space="0" w:color="auto"/>
            </w:tcBorders>
          </w:tcPr>
          <w:p w14:paraId="037EE8CC" w14:textId="77777777" w:rsidR="003C5469" w:rsidRPr="00B455FF" w:rsidRDefault="003C5469" w:rsidP="00321B73">
            <w:pPr>
              <w:contextualSpacing/>
              <w:rPr>
                <w:rFonts w:cs="Times New Roman"/>
                <w:sz w:val="20"/>
                <w:szCs w:val="20"/>
              </w:rPr>
            </w:pPr>
            <w:r w:rsidRPr="00B455FF">
              <w:rPr>
                <w:rFonts w:cs="Times New Roman"/>
                <w:sz w:val="20"/>
                <w:szCs w:val="20"/>
              </w:rPr>
              <w:t>TRINITY_DN151192_c3_g1</w:t>
            </w:r>
          </w:p>
        </w:tc>
        <w:tc>
          <w:tcPr>
            <w:tcW w:w="810" w:type="dxa"/>
            <w:tcBorders>
              <w:top w:val="single" w:sz="4" w:space="0" w:color="auto"/>
              <w:bottom w:val="single" w:sz="4" w:space="0" w:color="auto"/>
            </w:tcBorders>
          </w:tcPr>
          <w:p w14:paraId="36B58C03" w14:textId="77777777" w:rsidR="003C5469" w:rsidRPr="00B455FF" w:rsidRDefault="003C5469" w:rsidP="00321B73">
            <w:pPr>
              <w:contextualSpacing/>
              <w:rPr>
                <w:rFonts w:cs="Times New Roman"/>
                <w:sz w:val="20"/>
                <w:szCs w:val="20"/>
              </w:rPr>
            </w:pPr>
            <w:r w:rsidRPr="00B455FF">
              <w:rPr>
                <w:rFonts w:cs="Times New Roman"/>
                <w:sz w:val="20"/>
                <w:szCs w:val="20"/>
              </w:rPr>
              <w:t>-2.6</w:t>
            </w:r>
          </w:p>
        </w:tc>
        <w:tc>
          <w:tcPr>
            <w:tcW w:w="990" w:type="dxa"/>
            <w:tcBorders>
              <w:top w:val="single" w:sz="4" w:space="0" w:color="auto"/>
              <w:bottom w:val="single" w:sz="4" w:space="0" w:color="auto"/>
            </w:tcBorders>
          </w:tcPr>
          <w:p w14:paraId="6DC927E1" w14:textId="77777777" w:rsidR="003C5469" w:rsidRPr="00B455FF" w:rsidRDefault="003C5469" w:rsidP="00321B73">
            <w:pPr>
              <w:contextualSpacing/>
              <w:rPr>
                <w:rFonts w:cs="Times New Roman"/>
                <w:sz w:val="20"/>
                <w:szCs w:val="20"/>
              </w:rPr>
            </w:pPr>
            <w:r w:rsidRPr="00B455FF">
              <w:rPr>
                <w:rFonts w:cs="Times New Roman"/>
                <w:sz w:val="20"/>
                <w:szCs w:val="20"/>
              </w:rPr>
              <w:t>0.035</w:t>
            </w:r>
          </w:p>
        </w:tc>
        <w:tc>
          <w:tcPr>
            <w:tcW w:w="2340" w:type="dxa"/>
            <w:tcBorders>
              <w:top w:val="single" w:sz="4" w:space="0" w:color="auto"/>
              <w:bottom w:val="single" w:sz="4" w:space="0" w:color="auto"/>
            </w:tcBorders>
          </w:tcPr>
          <w:p w14:paraId="590BC5F1" w14:textId="77777777" w:rsidR="003C5469" w:rsidRPr="00B455FF" w:rsidRDefault="003C5469" w:rsidP="00321B73">
            <w:pPr>
              <w:contextualSpacing/>
              <w:rPr>
                <w:rFonts w:cs="Times New Roman"/>
                <w:sz w:val="20"/>
                <w:szCs w:val="20"/>
              </w:rPr>
            </w:pPr>
            <w:r w:rsidRPr="00B455FF">
              <w:rPr>
                <w:rFonts w:cs="Times New Roman"/>
                <w:sz w:val="20"/>
                <w:szCs w:val="20"/>
              </w:rPr>
              <w:t>c-</w:t>
            </w:r>
            <w:proofErr w:type="spellStart"/>
            <w:r w:rsidRPr="00B455FF">
              <w:rPr>
                <w:rFonts w:cs="Times New Roman"/>
                <w:sz w:val="20"/>
                <w:szCs w:val="20"/>
              </w:rPr>
              <w:t>Fos</w:t>
            </w:r>
            <w:proofErr w:type="spellEnd"/>
            <w:r w:rsidRPr="00B455FF">
              <w:rPr>
                <w:rFonts w:cs="Times New Roman"/>
                <w:sz w:val="20"/>
                <w:szCs w:val="20"/>
              </w:rPr>
              <w:t>-like (A0A1X7TY01): 60: 45.6</w:t>
            </w:r>
            <w:proofErr w:type="gramStart"/>
            <w:r w:rsidRPr="00B455FF">
              <w:rPr>
                <w:rFonts w:cs="Times New Roman"/>
                <w:sz w:val="20"/>
                <w:szCs w:val="20"/>
              </w:rPr>
              <w:t>% :</w:t>
            </w:r>
            <w:proofErr w:type="gramEnd"/>
            <w:r w:rsidRPr="00B455FF">
              <w:rPr>
                <w:rFonts w:cs="Times New Roman"/>
                <w:sz w:val="20"/>
                <w:szCs w:val="20"/>
              </w:rPr>
              <w:t xml:space="preserve"> 3.0e-18</w:t>
            </w:r>
          </w:p>
        </w:tc>
        <w:tc>
          <w:tcPr>
            <w:tcW w:w="2070" w:type="dxa"/>
            <w:tcBorders>
              <w:top w:val="single" w:sz="4" w:space="0" w:color="auto"/>
              <w:bottom w:val="single" w:sz="4" w:space="0" w:color="auto"/>
            </w:tcBorders>
          </w:tcPr>
          <w:p w14:paraId="33B59B46" w14:textId="77777777" w:rsidR="003C5469" w:rsidRPr="00B455FF" w:rsidRDefault="003C5469" w:rsidP="00321B73">
            <w:pPr>
              <w:contextualSpacing/>
              <w:rPr>
                <w:rFonts w:cs="Times New Roman"/>
                <w:sz w:val="20"/>
                <w:szCs w:val="20"/>
              </w:rPr>
            </w:pPr>
            <w:r w:rsidRPr="00B455FF">
              <w:rPr>
                <w:rFonts w:cs="Times New Roman"/>
                <w:sz w:val="20"/>
                <w:szCs w:val="20"/>
              </w:rPr>
              <w:t>c-</w:t>
            </w:r>
            <w:proofErr w:type="spellStart"/>
            <w:r w:rsidRPr="00B455FF">
              <w:rPr>
                <w:rFonts w:cs="Times New Roman"/>
                <w:sz w:val="20"/>
                <w:szCs w:val="20"/>
              </w:rPr>
              <w:t>Fos</w:t>
            </w:r>
            <w:proofErr w:type="spellEnd"/>
            <w:r w:rsidRPr="00B455FF">
              <w:rPr>
                <w:rFonts w:cs="Times New Roman"/>
                <w:sz w:val="20"/>
                <w:szCs w:val="20"/>
              </w:rPr>
              <w:t>-like; bZIPdomain</w:t>
            </w:r>
            <w:r w:rsidRPr="00B455FF">
              <w:rPr>
                <w:rFonts w:cs="Times New Roman"/>
                <w:sz w:val="20"/>
                <w:szCs w:val="20"/>
                <w:vertAlign w:val="superscript"/>
              </w:rPr>
              <w:t>1</w:t>
            </w:r>
          </w:p>
        </w:tc>
      </w:tr>
      <w:tr w:rsidR="003C5469" w:rsidRPr="00B455FF" w14:paraId="3659723B" w14:textId="77777777" w:rsidTr="00321B73">
        <w:tc>
          <w:tcPr>
            <w:tcW w:w="2628" w:type="dxa"/>
            <w:tcBorders>
              <w:top w:val="single" w:sz="4" w:space="0" w:color="auto"/>
              <w:bottom w:val="single" w:sz="4" w:space="0" w:color="auto"/>
            </w:tcBorders>
          </w:tcPr>
          <w:p w14:paraId="38FAB3D6" w14:textId="77777777" w:rsidR="003C5469" w:rsidRPr="00B455FF" w:rsidRDefault="003C5469" w:rsidP="00321B73">
            <w:pPr>
              <w:contextualSpacing/>
              <w:rPr>
                <w:rFonts w:cs="Times New Roman"/>
                <w:sz w:val="20"/>
                <w:szCs w:val="20"/>
              </w:rPr>
            </w:pPr>
            <w:r w:rsidRPr="00B455FF">
              <w:rPr>
                <w:rFonts w:cs="Times New Roman"/>
                <w:sz w:val="20"/>
                <w:szCs w:val="20"/>
              </w:rPr>
              <w:t>TRINITY_DN151667_c2_g1</w:t>
            </w:r>
          </w:p>
        </w:tc>
        <w:tc>
          <w:tcPr>
            <w:tcW w:w="810" w:type="dxa"/>
            <w:tcBorders>
              <w:top w:val="single" w:sz="4" w:space="0" w:color="auto"/>
              <w:bottom w:val="single" w:sz="4" w:space="0" w:color="auto"/>
            </w:tcBorders>
          </w:tcPr>
          <w:p w14:paraId="04D1F8A8" w14:textId="77777777" w:rsidR="003C5469" w:rsidRPr="00B455FF" w:rsidRDefault="003C5469" w:rsidP="00321B73">
            <w:pPr>
              <w:contextualSpacing/>
              <w:rPr>
                <w:rFonts w:cs="Times New Roman"/>
                <w:sz w:val="20"/>
                <w:szCs w:val="20"/>
              </w:rPr>
            </w:pPr>
            <w:r w:rsidRPr="00B455FF">
              <w:rPr>
                <w:rFonts w:cs="Times New Roman"/>
                <w:sz w:val="20"/>
                <w:szCs w:val="20"/>
              </w:rPr>
              <w:t>-2.6</w:t>
            </w:r>
          </w:p>
        </w:tc>
        <w:tc>
          <w:tcPr>
            <w:tcW w:w="990" w:type="dxa"/>
            <w:tcBorders>
              <w:top w:val="single" w:sz="4" w:space="0" w:color="auto"/>
              <w:bottom w:val="single" w:sz="4" w:space="0" w:color="auto"/>
            </w:tcBorders>
          </w:tcPr>
          <w:p w14:paraId="063CE554" w14:textId="77777777" w:rsidR="003C5469" w:rsidRPr="00B455FF" w:rsidRDefault="003C5469" w:rsidP="00321B73">
            <w:pPr>
              <w:contextualSpacing/>
              <w:rPr>
                <w:rFonts w:cs="Times New Roman"/>
                <w:sz w:val="20"/>
                <w:szCs w:val="20"/>
              </w:rPr>
            </w:pPr>
            <w:r w:rsidRPr="00B455FF">
              <w:rPr>
                <w:rFonts w:cs="Times New Roman"/>
                <w:sz w:val="20"/>
                <w:szCs w:val="20"/>
              </w:rPr>
              <w:t>0.035</w:t>
            </w:r>
          </w:p>
        </w:tc>
        <w:tc>
          <w:tcPr>
            <w:tcW w:w="2340" w:type="dxa"/>
            <w:tcBorders>
              <w:top w:val="single" w:sz="4" w:space="0" w:color="auto"/>
              <w:bottom w:val="single" w:sz="4" w:space="0" w:color="auto"/>
            </w:tcBorders>
          </w:tcPr>
          <w:p w14:paraId="69368601" w14:textId="77777777" w:rsidR="003C5469" w:rsidRPr="00B455FF" w:rsidRDefault="003C5469" w:rsidP="00321B73">
            <w:pPr>
              <w:contextualSpacing/>
              <w:rPr>
                <w:rFonts w:cs="Times New Roman"/>
                <w:sz w:val="20"/>
                <w:szCs w:val="20"/>
              </w:rPr>
            </w:pPr>
            <w:r w:rsidRPr="00B455FF">
              <w:rPr>
                <w:rFonts w:cs="Times New Roman"/>
                <w:sz w:val="20"/>
                <w:szCs w:val="20"/>
              </w:rPr>
              <w:t>c-</w:t>
            </w:r>
            <w:proofErr w:type="spellStart"/>
            <w:r w:rsidRPr="00B455FF">
              <w:rPr>
                <w:rFonts w:cs="Times New Roman"/>
                <w:sz w:val="20"/>
                <w:szCs w:val="20"/>
              </w:rPr>
              <w:t>Fos</w:t>
            </w:r>
            <w:proofErr w:type="spellEnd"/>
            <w:r w:rsidRPr="00B455FF">
              <w:rPr>
                <w:rFonts w:cs="Times New Roman"/>
                <w:sz w:val="20"/>
                <w:szCs w:val="20"/>
              </w:rPr>
              <w:t>-like (A0A1X7TY01</w:t>
            </w:r>
            <w:proofErr w:type="gramStart"/>
            <w:r w:rsidRPr="00B455FF">
              <w:rPr>
                <w:rFonts w:cs="Times New Roman"/>
                <w:sz w:val="20"/>
                <w:szCs w:val="20"/>
              </w:rPr>
              <w:t>) :</w:t>
            </w:r>
            <w:proofErr w:type="gramEnd"/>
            <w:r w:rsidRPr="00B455FF">
              <w:rPr>
                <w:rFonts w:cs="Times New Roman"/>
                <w:sz w:val="20"/>
                <w:szCs w:val="20"/>
              </w:rPr>
              <w:t xml:space="preserve"> 37 : 55.3% : 1.4e-3</w:t>
            </w:r>
          </w:p>
        </w:tc>
        <w:tc>
          <w:tcPr>
            <w:tcW w:w="2070" w:type="dxa"/>
            <w:tcBorders>
              <w:top w:val="single" w:sz="4" w:space="0" w:color="auto"/>
              <w:bottom w:val="single" w:sz="4" w:space="0" w:color="auto"/>
            </w:tcBorders>
          </w:tcPr>
          <w:p w14:paraId="6BBFC0EF" w14:textId="77777777" w:rsidR="003C5469" w:rsidRPr="00B455FF" w:rsidRDefault="003C5469" w:rsidP="00321B73">
            <w:pPr>
              <w:contextualSpacing/>
              <w:rPr>
                <w:rFonts w:cs="Times New Roman"/>
                <w:sz w:val="20"/>
                <w:szCs w:val="20"/>
              </w:rPr>
            </w:pPr>
            <w:r w:rsidRPr="00B455FF">
              <w:rPr>
                <w:rFonts w:cs="Times New Roman"/>
                <w:sz w:val="20"/>
                <w:szCs w:val="20"/>
                <w:vertAlign w:val="superscript"/>
              </w:rPr>
              <w:t>2</w:t>
            </w:r>
          </w:p>
        </w:tc>
      </w:tr>
      <w:tr w:rsidR="003C5469" w:rsidRPr="00B455FF" w14:paraId="0103AC36" w14:textId="77777777" w:rsidTr="00321B73">
        <w:tc>
          <w:tcPr>
            <w:tcW w:w="2628" w:type="dxa"/>
            <w:tcBorders>
              <w:top w:val="single" w:sz="4" w:space="0" w:color="auto"/>
              <w:bottom w:val="single" w:sz="4" w:space="0" w:color="auto"/>
            </w:tcBorders>
          </w:tcPr>
          <w:p w14:paraId="2080205F" w14:textId="77777777" w:rsidR="003C5469" w:rsidRPr="00B455FF" w:rsidRDefault="003C5469" w:rsidP="00321B73">
            <w:pPr>
              <w:contextualSpacing/>
              <w:rPr>
                <w:rFonts w:cs="Times New Roman"/>
                <w:sz w:val="20"/>
                <w:szCs w:val="20"/>
              </w:rPr>
            </w:pPr>
            <w:r w:rsidRPr="00B455FF">
              <w:rPr>
                <w:rFonts w:cs="Times New Roman"/>
                <w:sz w:val="20"/>
                <w:szCs w:val="20"/>
              </w:rPr>
              <w:t>TRINITY_DN148741_c1_g1</w:t>
            </w:r>
          </w:p>
        </w:tc>
        <w:tc>
          <w:tcPr>
            <w:tcW w:w="810" w:type="dxa"/>
            <w:tcBorders>
              <w:top w:val="single" w:sz="4" w:space="0" w:color="auto"/>
              <w:bottom w:val="single" w:sz="4" w:space="0" w:color="auto"/>
            </w:tcBorders>
          </w:tcPr>
          <w:p w14:paraId="6E66954E" w14:textId="77777777" w:rsidR="003C5469" w:rsidRPr="00B455FF" w:rsidRDefault="003C5469" w:rsidP="00321B73">
            <w:pPr>
              <w:contextualSpacing/>
              <w:rPr>
                <w:rFonts w:cs="Times New Roman"/>
                <w:sz w:val="20"/>
                <w:szCs w:val="20"/>
              </w:rPr>
            </w:pPr>
            <w:r w:rsidRPr="00B455FF">
              <w:rPr>
                <w:rFonts w:cs="Times New Roman"/>
                <w:sz w:val="20"/>
                <w:szCs w:val="20"/>
              </w:rPr>
              <w:t>-3.8</w:t>
            </w:r>
          </w:p>
        </w:tc>
        <w:tc>
          <w:tcPr>
            <w:tcW w:w="990" w:type="dxa"/>
            <w:tcBorders>
              <w:top w:val="single" w:sz="4" w:space="0" w:color="auto"/>
              <w:bottom w:val="single" w:sz="4" w:space="0" w:color="auto"/>
            </w:tcBorders>
          </w:tcPr>
          <w:p w14:paraId="707AC566" w14:textId="77777777" w:rsidR="003C5469" w:rsidRPr="00B455FF" w:rsidRDefault="003C5469" w:rsidP="00321B73">
            <w:pPr>
              <w:contextualSpacing/>
              <w:rPr>
                <w:rFonts w:cs="Times New Roman"/>
                <w:sz w:val="20"/>
                <w:szCs w:val="20"/>
              </w:rPr>
            </w:pPr>
            <w:r w:rsidRPr="00B455FF">
              <w:rPr>
                <w:rFonts w:cs="Times New Roman"/>
                <w:sz w:val="20"/>
                <w:szCs w:val="20"/>
              </w:rPr>
              <w:t>0.035</w:t>
            </w:r>
          </w:p>
        </w:tc>
        <w:tc>
          <w:tcPr>
            <w:tcW w:w="2340" w:type="dxa"/>
            <w:tcBorders>
              <w:top w:val="single" w:sz="4" w:space="0" w:color="auto"/>
              <w:bottom w:val="single" w:sz="4" w:space="0" w:color="auto"/>
            </w:tcBorders>
          </w:tcPr>
          <w:p w14:paraId="30F3C1D5" w14:textId="77777777" w:rsidR="003C5469" w:rsidRPr="00B455FF" w:rsidRDefault="003C5469" w:rsidP="00321B73">
            <w:pPr>
              <w:contextualSpacing/>
              <w:rPr>
                <w:rFonts w:cs="Times New Roman"/>
                <w:sz w:val="20"/>
                <w:szCs w:val="20"/>
              </w:rPr>
            </w:pPr>
            <w:r w:rsidRPr="00B455FF">
              <w:rPr>
                <w:rFonts w:cs="Times New Roman"/>
                <w:sz w:val="20"/>
                <w:szCs w:val="20"/>
              </w:rPr>
              <w:t>-</w:t>
            </w:r>
          </w:p>
        </w:tc>
        <w:tc>
          <w:tcPr>
            <w:tcW w:w="2070" w:type="dxa"/>
            <w:tcBorders>
              <w:top w:val="single" w:sz="4" w:space="0" w:color="auto"/>
              <w:bottom w:val="single" w:sz="4" w:space="0" w:color="auto"/>
            </w:tcBorders>
          </w:tcPr>
          <w:p w14:paraId="125FD1E3" w14:textId="77777777" w:rsidR="003C5469" w:rsidRPr="00B455FF" w:rsidRDefault="003C5469" w:rsidP="00321B73">
            <w:pPr>
              <w:contextualSpacing/>
              <w:rPr>
                <w:rFonts w:cs="Times New Roman"/>
                <w:sz w:val="20"/>
                <w:szCs w:val="20"/>
              </w:rPr>
            </w:pPr>
            <w:r w:rsidRPr="00B455FF">
              <w:rPr>
                <w:rFonts w:cs="Times New Roman"/>
                <w:sz w:val="20"/>
                <w:szCs w:val="20"/>
              </w:rPr>
              <w:t>TM prediction</w:t>
            </w:r>
          </w:p>
        </w:tc>
      </w:tr>
      <w:tr w:rsidR="003C5469" w:rsidRPr="00B455FF" w14:paraId="0FC715F8" w14:textId="77777777" w:rsidTr="00321B73">
        <w:tc>
          <w:tcPr>
            <w:tcW w:w="2628" w:type="dxa"/>
            <w:tcBorders>
              <w:top w:val="single" w:sz="4" w:space="0" w:color="auto"/>
              <w:bottom w:val="single" w:sz="4" w:space="0" w:color="auto"/>
            </w:tcBorders>
          </w:tcPr>
          <w:p w14:paraId="04F256AF" w14:textId="77777777" w:rsidR="003C5469" w:rsidRPr="00B455FF" w:rsidRDefault="003C5469" w:rsidP="00321B73">
            <w:pPr>
              <w:contextualSpacing/>
              <w:rPr>
                <w:rFonts w:cs="Times New Roman"/>
                <w:sz w:val="20"/>
                <w:szCs w:val="20"/>
              </w:rPr>
            </w:pPr>
            <w:r w:rsidRPr="00B455FF">
              <w:rPr>
                <w:rFonts w:cs="Times New Roman"/>
                <w:sz w:val="20"/>
                <w:szCs w:val="20"/>
              </w:rPr>
              <w:t>TRINITY_DN173731_c4_g1</w:t>
            </w:r>
          </w:p>
        </w:tc>
        <w:tc>
          <w:tcPr>
            <w:tcW w:w="810" w:type="dxa"/>
            <w:tcBorders>
              <w:top w:val="single" w:sz="4" w:space="0" w:color="auto"/>
              <w:bottom w:val="single" w:sz="4" w:space="0" w:color="auto"/>
            </w:tcBorders>
          </w:tcPr>
          <w:p w14:paraId="5FF41A7E" w14:textId="77777777" w:rsidR="003C5469" w:rsidRPr="00B455FF" w:rsidRDefault="003C5469" w:rsidP="00321B73">
            <w:pPr>
              <w:contextualSpacing/>
              <w:rPr>
                <w:rFonts w:cs="Times New Roman"/>
                <w:sz w:val="20"/>
                <w:szCs w:val="20"/>
              </w:rPr>
            </w:pPr>
            <w:r w:rsidRPr="00B455FF">
              <w:rPr>
                <w:rFonts w:cs="Times New Roman"/>
                <w:sz w:val="20"/>
                <w:szCs w:val="20"/>
              </w:rPr>
              <w:t>-2.6</w:t>
            </w:r>
          </w:p>
        </w:tc>
        <w:tc>
          <w:tcPr>
            <w:tcW w:w="990" w:type="dxa"/>
            <w:tcBorders>
              <w:top w:val="single" w:sz="4" w:space="0" w:color="auto"/>
              <w:bottom w:val="single" w:sz="4" w:space="0" w:color="auto"/>
            </w:tcBorders>
          </w:tcPr>
          <w:p w14:paraId="32A92B79" w14:textId="77777777" w:rsidR="003C5469" w:rsidRPr="00B455FF" w:rsidRDefault="003C5469" w:rsidP="00321B73">
            <w:pPr>
              <w:contextualSpacing/>
              <w:rPr>
                <w:rFonts w:cs="Times New Roman"/>
                <w:sz w:val="20"/>
                <w:szCs w:val="20"/>
              </w:rPr>
            </w:pPr>
            <w:r w:rsidRPr="00B455FF">
              <w:rPr>
                <w:rFonts w:cs="Times New Roman"/>
                <w:sz w:val="20"/>
                <w:szCs w:val="20"/>
              </w:rPr>
              <w:t>0.042</w:t>
            </w:r>
          </w:p>
        </w:tc>
        <w:tc>
          <w:tcPr>
            <w:tcW w:w="2340" w:type="dxa"/>
            <w:tcBorders>
              <w:top w:val="single" w:sz="4" w:space="0" w:color="auto"/>
              <w:bottom w:val="single" w:sz="4" w:space="0" w:color="auto"/>
            </w:tcBorders>
          </w:tcPr>
          <w:p w14:paraId="1EF5976D" w14:textId="77777777" w:rsidR="003C5469" w:rsidRPr="00B455FF" w:rsidRDefault="003C5469" w:rsidP="00321B73">
            <w:pPr>
              <w:contextualSpacing/>
              <w:rPr>
                <w:rFonts w:cs="Times New Roman"/>
                <w:sz w:val="20"/>
                <w:szCs w:val="20"/>
              </w:rPr>
            </w:pPr>
            <w:r w:rsidRPr="00B455FF">
              <w:rPr>
                <w:rFonts w:cs="Times New Roman"/>
                <w:sz w:val="20"/>
                <w:szCs w:val="20"/>
              </w:rPr>
              <w:t>-</w:t>
            </w:r>
          </w:p>
        </w:tc>
        <w:tc>
          <w:tcPr>
            <w:tcW w:w="2070" w:type="dxa"/>
            <w:tcBorders>
              <w:top w:val="single" w:sz="4" w:space="0" w:color="auto"/>
              <w:bottom w:val="single" w:sz="4" w:space="0" w:color="auto"/>
            </w:tcBorders>
          </w:tcPr>
          <w:p w14:paraId="4EBEFB9A" w14:textId="77777777" w:rsidR="003C5469" w:rsidRPr="00B455FF" w:rsidRDefault="003C5469" w:rsidP="00321B73">
            <w:pPr>
              <w:contextualSpacing/>
              <w:rPr>
                <w:rFonts w:cs="Times New Roman"/>
                <w:sz w:val="20"/>
                <w:szCs w:val="20"/>
              </w:rPr>
            </w:pPr>
            <w:r w:rsidRPr="00B455FF">
              <w:rPr>
                <w:rFonts w:cs="Times New Roman"/>
                <w:sz w:val="20"/>
                <w:szCs w:val="20"/>
              </w:rPr>
              <w:t>c-</w:t>
            </w:r>
            <w:proofErr w:type="spellStart"/>
            <w:r w:rsidRPr="00B455FF">
              <w:rPr>
                <w:rFonts w:cs="Times New Roman"/>
                <w:sz w:val="20"/>
                <w:szCs w:val="20"/>
              </w:rPr>
              <w:t>Fos</w:t>
            </w:r>
            <w:proofErr w:type="spellEnd"/>
            <w:r w:rsidRPr="00B455FF">
              <w:rPr>
                <w:rFonts w:cs="Times New Roman"/>
                <w:sz w:val="20"/>
                <w:szCs w:val="20"/>
              </w:rPr>
              <w:t xml:space="preserve">-like </w:t>
            </w:r>
          </w:p>
        </w:tc>
      </w:tr>
      <w:tr w:rsidR="003C5469" w:rsidRPr="00B455FF" w14:paraId="4BFB43B6" w14:textId="77777777" w:rsidTr="00321B73">
        <w:tc>
          <w:tcPr>
            <w:tcW w:w="2628" w:type="dxa"/>
            <w:tcBorders>
              <w:top w:val="single" w:sz="4" w:space="0" w:color="auto"/>
              <w:bottom w:val="single" w:sz="4" w:space="0" w:color="auto"/>
            </w:tcBorders>
          </w:tcPr>
          <w:p w14:paraId="63A28875" w14:textId="77777777" w:rsidR="003C5469" w:rsidRPr="00B455FF" w:rsidRDefault="003C5469" w:rsidP="00321B73">
            <w:pPr>
              <w:contextualSpacing/>
              <w:rPr>
                <w:rFonts w:cs="Times New Roman"/>
                <w:sz w:val="20"/>
                <w:szCs w:val="20"/>
              </w:rPr>
            </w:pPr>
            <w:r w:rsidRPr="00B455FF">
              <w:rPr>
                <w:rFonts w:cs="Times New Roman"/>
                <w:sz w:val="20"/>
                <w:szCs w:val="20"/>
              </w:rPr>
              <w:lastRenderedPageBreak/>
              <w:t>TRINITY_DN169503_c0_g2</w:t>
            </w:r>
          </w:p>
        </w:tc>
        <w:tc>
          <w:tcPr>
            <w:tcW w:w="810" w:type="dxa"/>
            <w:tcBorders>
              <w:top w:val="single" w:sz="4" w:space="0" w:color="auto"/>
              <w:bottom w:val="single" w:sz="4" w:space="0" w:color="auto"/>
            </w:tcBorders>
          </w:tcPr>
          <w:p w14:paraId="6D59E7A3" w14:textId="77777777" w:rsidR="003C5469" w:rsidRPr="00B455FF" w:rsidRDefault="003C5469" w:rsidP="00321B73">
            <w:pPr>
              <w:contextualSpacing/>
              <w:rPr>
                <w:rFonts w:cs="Times New Roman"/>
                <w:sz w:val="20"/>
                <w:szCs w:val="20"/>
              </w:rPr>
            </w:pPr>
            <w:r w:rsidRPr="00B455FF">
              <w:rPr>
                <w:rFonts w:cs="Times New Roman"/>
                <w:sz w:val="20"/>
                <w:szCs w:val="20"/>
              </w:rPr>
              <w:t>8.7</w:t>
            </w:r>
          </w:p>
        </w:tc>
        <w:tc>
          <w:tcPr>
            <w:tcW w:w="990" w:type="dxa"/>
            <w:tcBorders>
              <w:top w:val="single" w:sz="4" w:space="0" w:color="auto"/>
              <w:bottom w:val="single" w:sz="4" w:space="0" w:color="auto"/>
            </w:tcBorders>
          </w:tcPr>
          <w:p w14:paraId="2D185113" w14:textId="77777777" w:rsidR="003C5469" w:rsidRPr="00B455FF" w:rsidRDefault="003C5469" w:rsidP="00321B73">
            <w:pPr>
              <w:contextualSpacing/>
              <w:rPr>
                <w:rFonts w:cs="Times New Roman"/>
                <w:sz w:val="20"/>
                <w:szCs w:val="20"/>
              </w:rPr>
            </w:pPr>
            <w:r w:rsidRPr="00B455FF">
              <w:rPr>
                <w:rFonts w:cs="Times New Roman"/>
                <w:sz w:val="20"/>
                <w:szCs w:val="20"/>
              </w:rPr>
              <w:t>0.006</w:t>
            </w:r>
          </w:p>
        </w:tc>
        <w:tc>
          <w:tcPr>
            <w:tcW w:w="2340" w:type="dxa"/>
            <w:tcBorders>
              <w:top w:val="single" w:sz="4" w:space="0" w:color="auto"/>
              <w:bottom w:val="single" w:sz="4" w:space="0" w:color="auto"/>
            </w:tcBorders>
          </w:tcPr>
          <w:p w14:paraId="18EB1F4B" w14:textId="77777777" w:rsidR="003C5469" w:rsidRPr="00B455FF" w:rsidRDefault="003C5469" w:rsidP="00321B73">
            <w:pPr>
              <w:contextualSpacing/>
              <w:rPr>
                <w:rFonts w:cs="Times New Roman"/>
                <w:sz w:val="20"/>
                <w:szCs w:val="20"/>
              </w:rPr>
            </w:pPr>
            <w:r w:rsidRPr="00B455FF">
              <w:rPr>
                <w:rFonts w:cs="Times New Roman"/>
                <w:sz w:val="20"/>
                <w:szCs w:val="20"/>
              </w:rPr>
              <w:t>Uncharacterized protein (A0A1X7VUW9): 162: 37.6%:9.0e-17</w:t>
            </w:r>
          </w:p>
        </w:tc>
        <w:tc>
          <w:tcPr>
            <w:tcW w:w="2070" w:type="dxa"/>
            <w:tcBorders>
              <w:top w:val="single" w:sz="4" w:space="0" w:color="auto"/>
              <w:bottom w:val="single" w:sz="4" w:space="0" w:color="auto"/>
            </w:tcBorders>
          </w:tcPr>
          <w:p w14:paraId="0F1C4E79" w14:textId="77777777" w:rsidR="003C5469" w:rsidRPr="00B455FF" w:rsidRDefault="003C5469" w:rsidP="00321B73">
            <w:pPr>
              <w:contextualSpacing/>
              <w:rPr>
                <w:rFonts w:cs="Times New Roman"/>
                <w:sz w:val="20"/>
                <w:szCs w:val="20"/>
              </w:rPr>
            </w:pPr>
            <w:proofErr w:type="spellStart"/>
            <w:r w:rsidRPr="00B455FF">
              <w:rPr>
                <w:rFonts w:cs="Times New Roman"/>
                <w:sz w:val="20"/>
                <w:szCs w:val="20"/>
              </w:rPr>
              <w:t>Balbiani</w:t>
            </w:r>
            <w:proofErr w:type="spellEnd"/>
            <w:r w:rsidRPr="00B455FF">
              <w:rPr>
                <w:rFonts w:cs="Times New Roman"/>
                <w:sz w:val="20"/>
                <w:szCs w:val="20"/>
              </w:rPr>
              <w:t xml:space="preserve"> ring protein-like; PF02014: Reeler domain, PF03128: CXCXC repeat</w:t>
            </w:r>
          </w:p>
        </w:tc>
      </w:tr>
      <w:tr w:rsidR="003C5469" w:rsidRPr="00B455FF" w14:paraId="14CC9649" w14:textId="77777777" w:rsidTr="00321B73">
        <w:tc>
          <w:tcPr>
            <w:tcW w:w="2628" w:type="dxa"/>
            <w:tcBorders>
              <w:top w:val="single" w:sz="4" w:space="0" w:color="auto"/>
              <w:bottom w:val="single" w:sz="4" w:space="0" w:color="auto"/>
            </w:tcBorders>
          </w:tcPr>
          <w:p w14:paraId="01616919" w14:textId="77777777" w:rsidR="003C5469" w:rsidRPr="00B455FF" w:rsidRDefault="003C5469" w:rsidP="00321B73">
            <w:pPr>
              <w:contextualSpacing/>
              <w:rPr>
                <w:rFonts w:cs="Times New Roman"/>
                <w:sz w:val="20"/>
                <w:szCs w:val="20"/>
              </w:rPr>
            </w:pPr>
            <w:r w:rsidRPr="00B455FF">
              <w:rPr>
                <w:rFonts w:cs="Times New Roman"/>
                <w:sz w:val="20"/>
                <w:szCs w:val="20"/>
              </w:rPr>
              <w:t>TRINITY_DN140810_c0_g1</w:t>
            </w:r>
          </w:p>
        </w:tc>
        <w:tc>
          <w:tcPr>
            <w:tcW w:w="810" w:type="dxa"/>
            <w:tcBorders>
              <w:top w:val="single" w:sz="4" w:space="0" w:color="auto"/>
              <w:bottom w:val="single" w:sz="4" w:space="0" w:color="auto"/>
            </w:tcBorders>
          </w:tcPr>
          <w:p w14:paraId="11099E9B" w14:textId="77777777" w:rsidR="003C5469" w:rsidRPr="00B455FF" w:rsidRDefault="003C5469" w:rsidP="00321B73">
            <w:pPr>
              <w:contextualSpacing/>
              <w:rPr>
                <w:rFonts w:cs="Times New Roman"/>
                <w:sz w:val="20"/>
                <w:szCs w:val="20"/>
              </w:rPr>
            </w:pPr>
            <w:r w:rsidRPr="00B455FF">
              <w:rPr>
                <w:rFonts w:cs="Times New Roman"/>
                <w:sz w:val="20"/>
                <w:szCs w:val="20"/>
              </w:rPr>
              <w:t>7.8</w:t>
            </w:r>
          </w:p>
        </w:tc>
        <w:tc>
          <w:tcPr>
            <w:tcW w:w="990" w:type="dxa"/>
            <w:tcBorders>
              <w:top w:val="single" w:sz="4" w:space="0" w:color="auto"/>
              <w:bottom w:val="single" w:sz="4" w:space="0" w:color="auto"/>
            </w:tcBorders>
          </w:tcPr>
          <w:p w14:paraId="39164E77" w14:textId="77777777" w:rsidR="003C5469" w:rsidRPr="00B455FF" w:rsidRDefault="003C5469" w:rsidP="00321B73">
            <w:pPr>
              <w:contextualSpacing/>
              <w:rPr>
                <w:rFonts w:cs="Times New Roman"/>
                <w:sz w:val="20"/>
                <w:szCs w:val="20"/>
              </w:rPr>
            </w:pPr>
            <w:r w:rsidRPr="00B455FF">
              <w:rPr>
                <w:rFonts w:cs="Times New Roman"/>
                <w:sz w:val="20"/>
                <w:szCs w:val="20"/>
              </w:rPr>
              <w:t>0.019</w:t>
            </w:r>
          </w:p>
        </w:tc>
        <w:tc>
          <w:tcPr>
            <w:tcW w:w="2340" w:type="dxa"/>
            <w:tcBorders>
              <w:top w:val="single" w:sz="4" w:space="0" w:color="auto"/>
              <w:bottom w:val="single" w:sz="4" w:space="0" w:color="auto"/>
            </w:tcBorders>
          </w:tcPr>
          <w:p w14:paraId="27CD0C60" w14:textId="77777777" w:rsidR="003C5469" w:rsidRPr="00B455FF" w:rsidRDefault="003C5469" w:rsidP="00321B73">
            <w:pPr>
              <w:contextualSpacing/>
              <w:rPr>
                <w:rFonts w:cs="Times New Roman"/>
                <w:sz w:val="20"/>
                <w:szCs w:val="20"/>
              </w:rPr>
            </w:pPr>
            <w:r w:rsidRPr="00B455FF">
              <w:rPr>
                <w:rFonts w:cs="Times New Roman"/>
                <w:sz w:val="20"/>
                <w:szCs w:val="20"/>
              </w:rPr>
              <w:t>IF rod domain containing protein (A0A1X7UUA0): 403:25.6%: 9.9e-17</w:t>
            </w:r>
          </w:p>
        </w:tc>
        <w:tc>
          <w:tcPr>
            <w:tcW w:w="2070" w:type="dxa"/>
            <w:tcBorders>
              <w:top w:val="single" w:sz="4" w:space="0" w:color="auto"/>
              <w:bottom w:val="single" w:sz="4" w:space="0" w:color="auto"/>
            </w:tcBorders>
          </w:tcPr>
          <w:p w14:paraId="006098A5" w14:textId="77777777" w:rsidR="003C5469" w:rsidRPr="00B455FF" w:rsidRDefault="003C5469" w:rsidP="00321B73">
            <w:pPr>
              <w:contextualSpacing/>
              <w:rPr>
                <w:rFonts w:cs="Times New Roman"/>
                <w:sz w:val="20"/>
                <w:szCs w:val="20"/>
              </w:rPr>
            </w:pPr>
            <w:r w:rsidRPr="00B455FF">
              <w:rPr>
                <w:rFonts w:cs="Times New Roman"/>
                <w:sz w:val="20"/>
                <w:szCs w:val="20"/>
              </w:rPr>
              <w:t>Filament protein-like; PF00038: Intermediate filament protein</w:t>
            </w:r>
          </w:p>
        </w:tc>
      </w:tr>
      <w:tr w:rsidR="003C5469" w:rsidRPr="00B455FF" w14:paraId="62F86BF8" w14:textId="77777777" w:rsidTr="00321B73">
        <w:tc>
          <w:tcPr>
            <w:tcW w:w="2628" w:type="dxa"/>
            <w:tcBorders>
              <w:top w:val="single" w:sz="4" w:space="0" w:color="auto"/>
            </w:tcBorders>
          </w:tcPr>
          <w:p w14:paraId="07AE25AC" w14:textId="77777777" w:rsidR="003C5469" w:rsidRPr="00B455FF" w:rsidRDefault="003C5469" w:rsidP="00321B73">
            <w:pPr>
              <w:contextualSpacing/>
              <w:rPr>
                <w:rFonts w:cs="Times New Roman"/>
                <w:sz w:val="20"/>
                <w:szCs w:val="20"/>
              </w:rPr>
            </w:pPr>
            <w:r w:rsidRPr="00B455FF">
              <w:rPr>
                <w:rFonts w:cs="Times New Roman"/>
                <w:sz w:val="20"/>
                <w:szCs w:val="20"/>
              </w:rPr>
              <w:t>TRINITY_DN169019_c1_g1</w:t>
            </w:r>
          </w:p>
        </w:tc>
        <w:tc>
          <w:tcPr>
            <w:tcW w:w="810" w:type="dxa"/>
            <w:tcBorders>
              <w:top w:val="single" w:sz="4" w:space="0" w:color="auto"/>
            </w:tcBorders>
          </w:tcPr>
          <w:p w14:paraId="3EE7ED57" w14:textId="77777777" w:rsidR="003C5469" w:rsidRPr="00B455FF" w:rsidRDefault="003C5469" w:rsidP="00321B73">
            <w:pPr>
              <w:contextualSpacing/>
              <w:rPr>
                <w:rFonts w:cs="Times New Roman"/>
                <w:sz w:val="20"/>
                <w:szCs w:val="20"/>
              </w:rPr>
            </w:pPr>
            <w:r w:rsidRPr="00B455FF">
              <w:rPr>
                <w:rFonts w:cs="Times New Roman"/>
                <w:sz w:val="20"/>
                <w:szCs w:val="20"/>
              </w:rPr>
              <w:t>3.5</w:t>
            </w:r>
          </w:p>
        </w:tc>
        <w:tc>
          <w:tcPr>
            <w:tcW w:w="990" w:type="dxa"/>
            <w:tcBorders>
              <w:top w:val="single" w:sz="4" w:space="0" w:color="auto"/>
            </w:tcBorders>
          </w:tcPr>
          <w:p w14:paraId="6288F4EE" w14:textId="77777777" w:rsidR="003C5469" w:rsidRPr="00B455FF" w:rsidRDefault="003C5469" w:rsidP="00321B73">
            <w:pPr>
              <w:contextualSpacing/>
              <w:rPr>
                <w:rFonts w:cs="Times New Roman"/>
                <w:sz w:val="20"/>
                <w:szCs w:val="20"/>
              </w:rPr>
            </w:pPr>
            <w:r w:rsidRPr="00B455FF">
              <w:rPr>
                <w:rFonts w:cs="Times New Roman"/>
                <w:sz w:val="20"/>
                <w:szCs w:val="20"/>
              </w:rPr>
              <w:t>0.035</w:t>
            </w:r>
          </w:p>
        </w:tc>
        <w:tc>
          <w:tcPr>
            <w:tcW w:w="2340" w:type="dxa"/>
            <w:tcBorders>
              <w:top w:val="single" w:sz="4" w:space="0" w:color="auto"/>
            </w:tcBorders>
          </w:tcPr>
          <w:p w14:paraId="3B294812" w14:textId="77777777" w:rsidR="003C5469" w:rsidRPr="00B455FF" w:rsidRDefault="003C5469" w:rsidP="00321B73">
            <w:pPr>
              <w:contextualSpacing/>
              <w:rPr>
                <w:rFonts w:cs="Times New Roman"/>
                <w:sz w:val="20"/>
                <w:szCs w:val="20"/>
              </w:rPr>
            </w:pPr>
            <w:r w:rsidRPr="00B455FF">
              <w:rPr>
                <w:rFonts w:cs="Times New Roman"/>
                <w:sz w:val="20"/>
                <w:szCs w:val="20"/>
              </w:rPr>
              <w:t>Ficolin-like (A0A1X7U0C2): 116: 63.8%: 4.22e-48</w:t>
            </w:r>
          </w:p>
        </w:tc>
        <w:tc>
          <w:tcPr>
            <w:tcW w:w="2070" w:type="dxa"/>
            <w:tcBorders>
              <w:top w:val="single" w:sz="4" w:space="0" w:color="auto"/>
            </w:tcBorders>
          </w:tcPr>
          <w:p w14:paraId="39BEACD0" w14:textId="77777777" w:rsidR="003C5469" w:rsidRPr="00B455FF" w:rsidRDefault="003C5469" w:rsidP="00321B73">
            <w:pPr>
              <w:contextualSpacing/>
              <w:rPr>
                <w:rFonts w:cs="Times New Roman"/>
                <w:sz w:val="20"/>
                <w:szCs w:val="20"/>
              </w:rPr>
            </w:pPr>
            <w:r w:rsidRPr="00B455FF">
              <w:rPr>
                <w:rFonts w:cs="Times New Roman"/>
                <w:sz w:val="20"/>
                <w:szCs w:val="20"/>
              </w:rPr>
              <w:t>Tenascin/ficolin-like gene; PF00147: Fibrinogen beta and gamma chains, C-terminal globular domain</w:t>
            </w:r>
          </w:p>
        </w:tc>
      </w:tr>
    </w:tbl>
    <w:p w14:paraId="6F530313" w14:textId="77777777" w:rsidR="003C5469" w:rsidRPr="00B455FF" w:rsidRDefault="003C5469" w:rsidP="003C5469">
      <w:pPr>
        <w:shd w:val="clear" w:color="auto" w:fill="FFFFFF"/>
        <w:spacing w:after="0"/>
        <w:contextualSpacing/>
        <w:jc w:val="both"/>
        <w:rPr>
          <w:rFonts w:cs="Times New Roman"/>
        </w:rPr>
      </w:pPr>
      <w:r w:rsidRPr="00B455FF">
        <w:rPr>
          <w:rFonts w:cs="Times New Roman"/>
        </w:rPr>
        <w:t xml:space="preserve">DEGs defined as FDR p-value (FDR) &lt; 0.05. </w:t>
      </w:r>
      <w:proofErr w:type="spellStart"/>
      <w:r w:rsidRPr="00B455FF">
        <w:rPr>
          <w:rFonts w:cs="Times New Roman"/>
        </w:rPr>
        <w:t>logFC</w:t>
      </w:r>
      <w:proofErr w:type="spellEnd"/>
      <w:r w:rsidRPr="00B455FF">
        <w:rPr>
          <w:rFonts w:cs="Times New Roman"/>
        </w:rPr>
        <w:t xml:space="preserve"> refers to log2(fold change): positive values denote activation upon grazing and negative values denote activation upon mechanical-damage. Aqueen </w:t>
      </w:r>
      <w:proofErr w:type="spellStart"/>
      <w:r w:rsidRPr="00B455FF">
        <w:rPr>
          <w:rFonts w:cs="Times New Roman"/>
        </w:rPr>
        <w:t>blastp</w:t>
      </w:r>
      <w:proofErr w:type="spellEnd"/>
      <w:r w:rsidRPr="00B455FF">
        <w:rPr>
          <w:rFonts w:cs="Times New Roman"/>
        </w:rPr>
        <w:t xml:space="preserve"> column reports the best </w:t>
      </w:r>
      <w:proofErr w:type="spellStart"/>
      <w:r w:rsidRPr="00B455FF">
        <w:rPr>
          <w:rFonts w:cs="Times New Roman"/>
        </w:rPr>
        <w:t>blastp</w:t>
      </w:r>
      <w:proofErr w:type="spellEnd"/>
      <w:r w:rsidRPr="00B455FF">
        <w:rPr>
          <w:rFonts w:cs="Times New Roman"/>
        </w:rPr>
        <w:t xml:space="preserve"> hit in </w:t>
      </w:r>
      <w:r w:rsidRPr="00B455FF">
        <w:rPr>
          <w:rFonts w:cs="Times New Roman"/>
          <w:i/>
        </w:rPr>
        <w:t xml:space="preserve">A. </w:t>
      </w:r>
      <w:proofErr w:type="spellStart"/>
      <w:r w:rsidRPr="00B455FF">
        <w:rPr>
          <w:rFonts w:cs="Times New Roman"/>
          <w:i/>
        </w:rPr>
        <w:t>queenslandica</w:t>
      </w:r>
      <w:proofErr w:type="spellEnd"/>
      <w:r w:rsidRPr="00B455FF">
        <w:rPr>
          <w:rFonts w:cs="Times New Roman"/>
        </w:rPr>
        <w:t xml:space="preserve"> reference proteome as follows: “protein name or function (</w:t>
      </w:r>
      <w:proofErr w:type="spellStart"/>
      <w:r w:rsidRPr="00B455FF">
        <w:rPr>
          <w:rFonts w:cs="Times New Roman"/>
        </w:rPr>
        <w:t>Uniprot</w:t>
      </w:r>
      <w:proofErr w:type="spellEnd"/>
      <w:r w:rsidRPr="00B455FF">
        <w:rPr>
          <w:rFonts w:cs="Times New Roman"/>
        </w:rPr>
        <w:t xml:space="preserve"> ID): sequence </w:t>
      </w:r>
      <w:proofErr w:type="gramStart"/>
      <w:r w:rsidRPr="00B455FF">
        <w:rPr>
          <w:rFonts w:cs="Times New Roman"/>
        </w:rPr>
        <w:t>overlap :</w:t>
      </w:r>
      <w:proofErr w:type="gramEnd"/>
      <w:r w:rsidRPr="00B455FF">
        <w:rPr>
          <w:rFonts w:cs="Times New Roman"/>
        </w:rPr>
        <w:t xml:space="preserve"> percentage of identical matches : e-value” . </w:t>
      </w:r>
      <w:proofErr w:type="spellStart"/>
      <w:r w:rsidRPr="00B455FF">
        <w:rPr>
          <w:rFonts w:cs="Times New Roman"/>
        </w:rPr>
        <w:t>Trinotate</w:t>
      </w:r>
      <w:proofErr w:type="spellEnd"/>
      <w:r w:rsidRPr="00B455FF">
        <w:rPr>
          <w:rFonts w:cs="Times New Roman"/>
        </w:rPr>
        <w:t xml:space="preserve"> annotation column report results </w:t>
      </w:r>
      <w:proofErr w:type="spellStart"/>
      <w:r w:rsidRPr="00B455FF">
        <w:rPr>
          <w:rFonts w:cs="Times New Roman"/>
        </w:rPr>
        <w:t>blastx</w:t>
      </w:r>
      <w:proofErr w:type="spellEnd"/>
      <w:r w:rsidRPr="00B455FF">
        <w:rPr>
          <w:rFonts w:cs="Times New Roman"/>
        </w:rPr>
        <w:t>/</w:t>
      </w:r>
      <w:proofErr w:type="spellStart"/>
      <w:r w:rsidRPr="00B455FF">
        <w:rPr>
          <w:rFonts w:cs="Times New Roman"/>
        </w:rPr>
        <w:t>blastp</w:t>
      </w:r>
      <w:proofErr w:type="spellEnd"/>
      <w:r w:rsidRPr="00B455FF">
        <w:rPr>
          <w:rFonts w:cs="Times New Roman"/>
        </w:rPr>
        <w:t xml:space="preserve"> protein match, PFAM annotation and </w:t>
      </w:r>
      <w:proofErr w:type="spellStart"/>
      <w:r w:rsidRPr="00B455FF">
        <w:rPr>
          <w:rFonts w:cs="Times New Roman"/>
        </w:rPr>
        <w:t>sigP</w:t>
      </w:r>
      <w:proofErr w:type="spellEnd"/>
      <w:r w:rsidRPr="00B455FF">
        <w:rPr>
          <w:rFonts w:cs="Times New Roman"/>
        </w:rPr>
        <w:t xml:space="preserve"> annotation. TM: transmembrane domain.</w:t>
      </w:r>
    </w:p>
    <w:p w14:paraId="5EA9E504" w14:textId="77777777" w:rsidR="003C5469" w:rsidRPr="00B455FF" w:rsidRDefault="003C5469" w:rsidP="003C5469">
      <w:pPr>
        <w:shd w:val="clear" w:color="auto" w:fill="FFFFFF"/>
        <w:spacing w:after="0"/>
        <w:contextualSpacing/>
        <w:jc w:val="both"/>
        <w:rPr>
          <w:rFonts w:cs="Times New Roman"/>
        </w:rPr>
      </w:pPr>
      <w:r w:rsidRPr="00B455FF">
        <w:rPr>
          <w:rFonts w:cs="Times New Roman"/>
          <w:vertAlign w:val="superscript"/>
        </w:rPr>
        <w:t>1</w:t>
      </w:r>
      <w:r w:rsidRPr="00B455FF">
        <w:rPr>
          <w:rFonts w:cs="Times New Roman"/>
        </w:rPr>
        <w:t xml:space="preserve">longest ORF codifies to 98aa long protein, so no detected in </w:t>
      </w:r>
      <w:proofErr w:type="spellStart"/>
      <w:r w:rsidRPr="00B455FF">
        <w:rPr>
          <w:rFonts w:cs="Times New Roman"/>
        </w:rPr>
        <w:t>Trinotate</w:t>
      </w:r>
      <w:proofErr w:type="spellEnd"/>
      <w:r w:rsidRPr="00B455FF">
        <w:rPr>
          <w:rFonts w:cs="Times New Roman"/>
        </w:rPr>
        <w:t xml:space="preserve"> pipeline. Identified </w:t>
      </w:r>
      <w:proofErr w:type="spellStart"/>
      <w:r w:rsidRPr="00B455FF">
        <w:rPr>
          <w:rFonts w:cs="Times New Roman"/>
        </w:rPr>
        <w:t>bu</w:t>
      </w:r>
      <w:proofErr w:type="spellEnd"/>
      <w:r w:rsidRPr="00B455FF">
        <w:rPr>
          <w:rFonts w:cs="Times New Roman"/>
        </w:rPr>
        <w:t xml:space="preserve"> NCBI CDD conserved domain search, e-value: 2.2e-5</w:t>
      </w:r>
    </w:p>
    <w:p w14:paraId="36C3A0B2" w14:textId="35873C06" w:rsidR="003C5469" w:rsidRDefault="003C5469" w:rsidP="003C5469">
      <w:pPr>
        <w:shd w:val="clear" w:color="auto" w:fill="FFFFFF"/>
        <w:spacing w:after="0"/>
        <w:contextualSpacing/>
        <w:jc w:val="both"/>
        <w:rPr>
          <w:rFonts w:cs="Times New Roman"/>
        </w:rPr>
      </w:pPr>
      <w:r w:rsidRPr="00B455FF">
        <w:rPr>
          <w:rFonts w:cs="Times New Roman"/>
          <w:vertAlign w:val="superscript"/>
        </w:rPr>
        <w:t>2</w:t>
      </w:r>
      <w:r w:rsidRPr="00B455FF">
        <w:rPr>
          <w:rFonts w:cs="Times New Roman"/>
        </w:rPr>
        <w:t xml:space="preserve">longest ORF codifies to 77 amino acid- long protein, so no detected in </w:t>
      </w:r>
      <w:proofErr w:type="spellStart"/>
      <w:r w:rsidRPr="00B455FF">
        <w:rPr>
          <w:rFonts w:cs="Times New Roman"/>
        </w:rPr>
        <w:t>Trinotate</w:t>
      </w:r>
      <w:proofErr w:type="spellEnd"/>
      <w:r w:rsidRPr="00B455FF">
        <w:rPr>
          <w:rFonts w:cs="Times New Roman"/>
        </w:rPr>
        <w:t xml:space="preserve"> pipeline. </w:t>
      </w:r>
      <w:proofErr w:type="spellStart"/>
      <w:r w:rsidRPr="00B455FF">
        <w:rPr>
          <w:rFonts w:cs="Times New Roman"/>
        </w:rPr>
        <w:t>Blastp</w:t>
      </w:r>
      <w:proofErr w:type="spellEnd"/>
      <w:r w:rsidRPr="00B455FF">
        <w:rPr>
          <w:rFonts w:cs="Times New Roman"/>
        </w:rPr>
        <w:t xml:space="preserve"> in </w:t>
      </w:r>
      <w:proofErr w:type="spellStart"/>
      <w:r w:rsidRPr="00B455FF">
        <w:rPr>
          <w:rFonts w:cs="Times New Roman"/>
        </w:rPr>
        <w:t>Uniprot</w:t>
      </w:r>
      <w:proofErr w:type="spellEnd"/>
      <w:r w:rsidRPr="00B455FF">
        <w:rPr>
          <w:rFonts w:cs="Times New Roman"/>
        </w:rPr>
        <w:t>. No conserved domain detected.</w:t>
      </w:r>
    </w:p>
    <w:p w14:paraId="2016947D" w14:textId="77777777" w:rsidR="008B5BE9" w:rsidRPr="00B455FF" w:rsidRDefault="008B5BE9" w:rsidP="003C5469">
      <w:pPr>
        <w:shd w:val="clear" w:color="auto" w:fill="FFFFFF"/>
        <w:spacing w:after="0"/>
        <w:contextualSpacing/>
        <w:jc w:val="both"/>
        <w:rPr>
          <w:rFonts w:cs="Times New Roman"/>
        </w:rPr>
      </w:pPr>
    </w:p>
    <w:p w14:paraId="6754D378" w14:textId="7E0A1A55" w:rsidR="00994A3D" w:rsidRPr="001549D3" w:rsidRDefault="00994A3D" w:rsidP="00994A3D">
      <w:pPr>
        <w:keepNext/>
        <w:rPr>
          <w:rFonts w:cs="Times New Roman"/>
          <w:szCs w:val="24"/>
        </w:rPr>
      </w:pPr>
    </w:p>
    <w:p w14:paraId="44FF78DD" w14:textId="1E9C0775" w:rsidR="00A741D8" w:rsidRDefault="00A741D8" w:rsidP="00727990">
      <w:pPr>
        <w:shd w:val="clear" w:color="auto" w:fill="FFFFFF"/>
        <w:spacing w:before="240" w:after="0"/>
        <w:contextualSpacing/>
        <w:jc w:val="both"/>
        <w:rPr>
          <w:rFonts w:cs="Times New Roman"/>
          <w:b/>
          <w:szCs w:val="24"/>
        </w:rPr>
      </w:pPr>
      <w:r>
        <w:rPr>
          <w:rFonts w:cs="Times New Roman"/>
          <w:b/>
          <w:noProof/>
          <w:szCs w:val="24"/>
        </w:rPr>
        <w:drawing>
          <wp:inline distT="0" distB="0" distL="0" distR="0" wp14:anchorId="62D6E480" wp14:editId="0C26E3AD">
            <wp:extent cx="5486400" cy="1793447"/>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88009" cy="1793973"/>
                    </a:xfrm>
                    <a:prstGeom prst="rect">
                      <a:avLst/>
                    </a:prstGeom>
                  </pic:spPr>
                </pic:pic>
              </a:graphicData>
            </a:graphic>
          </wp:inline>
        </w:drawing>
      </w:r>
    </w:p>
    <w:p w14:paraId="41F7D8B0" w14:textId="0CC38CDC" w:rsidR="00727990" w:rsidRPr="00B455FF" w:rsidRDefault="00727990" w:rsidP="00727990">
      <w:pPr>
        <w:shd w:val="clear" w:color="auto" w:fill="FFFFFF"/>
        <w:spacing w:before="240" w:after="0"/>
        <w:contextualSpacing/>
        <w:jc w:val="both"/>
        <w:rPr>
          <w:rFonts w:cs="Times New Roman"/>
          <w:szCs w:val="24"/>
        </w:rPr>
      </w:pPr>
      <w:r>
        <w:rPr>
          <w:rFonts w:cs="Times New Roman"/>
          <w:b/>
          <w:szCs w:val="24"/>
        </w:rPr>
        <w:t xml:space="preserve">Supplementary </w:t>
      </w:r>
      <w:r w:rsidRPr="00B455FF">
        <w:rPr>
          <w:rFonts w:cs="Times New Roman"/>
          <w:b/>
          <w:szCs w:val="24"/>
        </w:rPr>
        <w:t xml:space="preserve">Figure </w:t>
      </w:r>
      <w:r w:rsidR="00C2331C">
        <w:rPr>
          <w:rFonts w:cs="Times New Roman"/>
          <w:b/>
          <w:szCs w:val="24"/>
        </w:rPr>
        <w:t>S</w:t>
      </w:r>
      <w:r w:rsidRPr="00B455FF">
        <w:rPr>
          <w:rFonts w:cs="Times New Roman"/>
          <w:b/>
          <w:szCs w:val="24"/>
        </w:rPr>
        <w:t>1. Wound caused by grazing.</w:t>
      </w:r>
      <w:r w:rsidRPr="00B455FF">
        <w:rPr>
          <w:rFonts w:cs="Times New Roman"/>
        </w:rPr>
        <w:t xml:space="preserve"> </w:t>
      </w:r>
      <w:r w:rsidRPr="00B455FF">
        <w:rPr>
          <w:rFonts w:cs="Times New Roman"/>
          <w:szCs w:val="24"/>
        </w:rPr>
        <w:t xml:space="preserve">Example of a wound caused by grazing after stop of grazing treatment (left) and scar 3d post-treatment (right). This figure was published in Wu et al. </w:t>
      </w:r>
      <w:r w:rsidRPr="00B455FF">
        <w:rPr>
          <w:rFonts w:cs="Times New Roman"/>
          <w:szCs w:val="24"/>
        </w:rPr>
        <w:fldChar w:fldCharType="begin" w:fldLock="1"/>
      </w:r>
      <w:r w:rsidR="008B5BE9">
        <w:rPr>
          <w:rFonts w:cs="Times New Roman"/>
          <w:szCs w:val="24"/>
        </w:rPr>
        <w:instrText>ADDIN CSL_CITATION {"citationItems":[{"id":"ITEM-1","itemData":{"DOI":"10.1038/s41598-020-78667-7","ISBN":"0123456789","ISSN":"2045-2322","abstract":"Sponges thrive in marine benthic communities due to their specific and diverse chemical arsenal against predators and competitors. Yet, some animals specifically overcome these defences and use sponges as food and home. Most research on sponge chemical ecology has characterised crude extracts and investigated defences against generalist predators like fish. Consequently, we know little about chemical dynamics in the tissue and responses to specialist grazers. Here, we studied the response of the sponge Aplysina aerophoba to grazing by the opisthobranch Tylodina perversa, in comparison to mechanical damage, at the cellular (via microscopy) and chemical level (via matrix-assisted laser desorption/ionization imaging mass spectrometry, MALDI-imaging MS). We characterised the distribution of two major brominated alkaloids in A. aerophoba , aerophobin-2 and aeroplysinin-1, and identified a generalised wounding response that was similar in both wounding treatments: (i) brominated compound-carrying cells (spherulous cells) accumulated at the wound and (ii) secondary metabolites reallocated to the sponge surface. Upon mechanical damage, the wound turned dark due to oxidised compounds, causing T. perversa deterrence. During grazing, T. perversa ’s way of feeding prevented oxidation. Thus, the sponge has not evolved a specific response to this specialist predator, but rather relies on rapid regeneration and flexible allocation of constitutive defences.","author":[{"dropping-particle":"","family":"Wu","given":"Yu-Chen","non-dropping-particle":"","parse-names":false,"suffix":""},{"dropping-particle":"","family":"García-Altares","given":"María","non-dropping-particle":"","parse-names":false,"suffix":""},{"dropping-particle":"","family":"Pintó","given":"Berta","non-dropping-particle":"","parse-names":false,"suffix":""},{"dropping-particle":"","family":"Ribes","given":"Marta","non-dropping-particle":"","parse-names":false,"suffix":""},{"dropping-particle":"","family":"Hentschel","given":"Ute","non-dropping-particle":"","parse-names":false,"suffix":""},{"dropping-particle":"","family":"Pita","given":"Lucía","non-dropping-particle":"","parse-names":false,"suffix":""}],"container-title":"Scientific Reports","id":"ITEM-1","issue":"1","issued":{"date-parts":[["2020","12","14"]]},"page":"21934","publisher":"Nature Publishing Group UK","title":"Opisthobranch grazing results in mobilisation of spherulous cells and re-allocation of secondary metabolites in the sponge &lt;i&gt;Aplysina aerophoba&lt;/i&gt;","type":"article-journal","volume":"10"},"uris":["http://www.mendeley.com/documents/?uuid=102f9c54-6629-47f9-90f1-842f5799396c"]}],"mendeley":{"formattedCitation":"(Wu et al., 2020)","plainTextFormattedCitation":"(Wu et al., 2020)","previouslyFormattedCitation":"[2]"},"properties":{"noteIndex":0},"schema":"https://github.com/citation-style-language/schema/raw/master/csl-citation.json"}</w:instrText>
      </w:r>
      <w:r w:rsidRPr="00B455FF">
        <w:rPr>
          <w:rFonts w:cs="Times New Roman"/>
          <w:szCs w:val="24"/>
        </w:rPr>
        <w:fldChar w:fldCharType="separate"/>
      </w:r>
      <w:r w:rsidR="008B5BE9" w:rsidRPr="008B5BE9">
        <w:rPr>
          <w:rFonts w:cs="Times New Roman"/>
          <w:noProof/>
          <w:szCs w:val="24"/>
        </w:rPr>
        <w:t>(Wu et al., 2020)</w:t>
      </w:r>
      <w:r w:rsidRPr="00B455FF">
        <w:rPr>
          <w:rFonts w:cs="Times New Roman"/>
          <w:szCs w:val="24"/>
        </w:rPr>
        <w:fldChar w:fldCharType="end"/>
      </w:r>
      <w:r w:rsidRPr="00B455FF">
        <w:rPr>
          <w:rFonts w:cs="Times New Roman"/>
          <w:szCs w:val="24"/>
        </w:rPr>
        <w:t xml:space="preserve"> as part of Supplementary Figure S3 under CC-BY license.</w:t>
      </w:r>
    </w:p>
    <w:p w14:paraId="7B65BC41" w14:textId="1275018C" w:rsidR="00DE23E8" w:rsidRDefault="00727990" w:rsidP="00727990">
      <w:pPr>
        <w:spacing w:before="240"/>
        <w:jc w:val="center"/>
      </w:pPr>
      <w:r w:rsidRPr="00B455FF">
        <w:rPr>
          <w:rFonts w:cs="Times New Roman"/>
          <w:b/>
          <w:noProof/>
          <w:szCs w:val="24"/>
        </w:rPr>
        <w:lastRenderedPageBreak/>
        <w:drawing>
          <wp:inline distT="0" distB="0" distL="0" distR="0" wp14:anchorId="4911B148" wp14:editId="72110836">
            <wp:extent cx="5122163" cy="3930733"/>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S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22751" cy="3931184"/>
                    </a:xfrm>
                    <a:prstGeom prst="rect">
                      <a:avLst/>
                    </a:prstGeom>
                  </pic:spPr>
                </pic:pic>
              </a:graphicData>
            </a:graphic>
          </wp:inline>
        </w:drawing>
      </w:r>
    </w:p>
    <w:p w14:paraId="62802DA9" w14:textId="664972B1" w:rsidR="00727990" w:rsidRDefault="00727990" w:rsidP="00727990">
      <w:pPr>
        <w:shd w:val="clear" w:color="auto" w:fill="FFFFFF"/>
        <w:spacing w:before="240" w:after="0"/>
        <w:contextualSpacing/>
        <w:jc w:val="both"/>
        <w:rPr>
          <w:rFonts w:cs="Times New Roman"/>
          <w:szCs w:val="24"/>
        </w:rPr>
      </w:pPr>
      <w:bookmarkStart w:id="0" w:name="_Hlk75361655"/>
      <w:r>
        <w:rPr>
          <w:rFonts w:cs="Times New Roman"/>
          <w:b/>
          <w:szCs w:val="24"/>
        </w:rPr>
        <w:t xml:space="preserve">Supplementary </w:t>
      </w:r>
      <w:r w:rsidRPr="00B455FF">
        <w:rPr>
          <w:rFonts w:cs="Times New Roman"/>
          <w:b/>
          <w:szCs w:val="24"/>
        </w:rPr>
        <w:t xml:space="preserve">Figure </w:t>
      </w:r>
      <w:r w:rsidR="00C2331C">
        <w:rPr>
          <w:rFonts w:cs="Times New Roman"/>
          <w:b/>
          <w:szCs w:val="24"/>
        </w:rPr>
        <w:t>S</w:t>
      </w:r>
      <w:r w:rsidRPr="00B455FF">
        <w:rPr>
          <w:rFonts w:cs="Times New Roman"/>
          <w:b/>
          <w:szCs w:val="24"/>
        </w:rPr>
        <w:t>2.</w:t>
      </w:r>
      <w:r w:rsidRPr="00B455FF">
        <w:rPr>
          <w:rFonts w:cs="Times New Roman"/>
          <w:szCs w:val="24"/>
        </w:rPr>
        <w:t xml:space="preserve"> </w:t>
      </w:r>
      <w:r w:rsidRPr="00B455FF">
        <w:rPr>
          <w:rFonts w:cs="Times New Roman"/>
          <w:b/>
          <w:szCs w:val="24"/>
        </w:rPr>
        <w:t xml:space="preserve">Activation of gene expression upon wounding. </w:t>
      </w:r>
      <w:r w:rsidRPr="00B455FF">
        <w:rPr>
          <w:rFonts w:cs="Times New Roman"/>
          <w:szCs w:val="24"/>
        </w:rPr>
        <w:t>Heatmaps showing log</w:t>
      </w:r>
      <w:r w:rsidRPr="00B455FF">
        <w:rPr>
          <w:rFonts w:cs="Times New Roman"/>
          <w:szCs w:val="24"/>
          <w:vertAlign w:val="subscript"/>
        </w:rPr>
        <w:t>2</w:t>
      </w:r>
      <w:r w:rsidRPr="00B455FF">
        <w:rPr>
          <w:rFonts w:cs="Times New Roman"/>
          <w:szCs w:val="24"/>
        </w:rPr>
        <w:t>-transformed median-centered TMM-normalized expression changes of each DEG (rows) in each sample from 3h (left) and 1d (right)</w:t>
      </w:r>
      <w:bookmarkEnd w:id="0"/>
      <w:r w:rsidRPr="00B455FF">
        <w:rPr>
          <w:rFonts w:cs="Times New Roman"/>
          <w:szCs w:val="24"/>
        </w:rPr>
        <w:t xml:space="preserve">. Differential gene expression analyses were performed in </w:t>
      </w:r>
      <w:proofErr w:type="spellStart"/>
      <w:r w:rsidRPr="00B455FF">
        <w:rPr>
          <w:rFonts w:cs="Times New Roman"/>
          <w:szCs w:val="24"/>
        </w:rPr>
        <w:t>edgeR</w:t>
      </w:r>
      <w:proofErr w:type="spellEnd"/>
      <w:r w:rsidRPr="00B455FF">
        <w:rPr>
          <w:rFonts w:cs="Times New Roman"/>
          <w:szCs w:val="24"/>
        </w:rPr>
        <w:t xml:space="preserve"> following Trinity pipeline </w:t>
      </w:r>
      <w:r w:rsidRPr="00B455FF">
        <w:rPr>
          <w:rFonts w:cs="Times New Roman"/>
          <w:szCs w:val="24"/>
        </w:rPr>
        <w:fldChar w:fldCharType="begin" w:fldLock="1"/>
      </w:r>
      <w:r w:rsidR="008B5BE9">
        <w:rPr>
          <w:rFonts w:cs="Times New Roman"/>
          <w:szCs w:val="24"/>
        </w:rPr>
        <w:instrText>ADDIN CSL_CITATION {"citationItems":[{"id":"ITEM-1","itemData":{"DOI":"10.1038/nprot.2013.084.De","ISBN":"3942667509","author":[{"dropping-particle":"","family":"Haas","given":"Brian J","non-dropping-particle":"","parse-names":false,"suffix":""},{"dropping-particle":"","family":"Papanicolaou","given":"Alexie","non-dropping-particle":"","parse-names":false,"suffix":""},{"dropping-particle":"","family":"Yassour","given":"Moran","non-dropping-particle":"","parse-names":false,"suffix":""},{"dropping-particle":"","family":"Grabherr","given":"Manfred","non-dropping-particle":"","parse-names":false,"suffix":""},{"dropping-particle":"","family":"Philip","given":"D","non-dropping-particle":"","parse-names":false,"suffix":""},{"dropping-particle":"","family":"Bowden","given":"Joshua","non-dropping-particle":"","parse-names":false,"suffix":""},{"dropping-particle":"","family":"Couger","given":"Matthew Brian","non-dropping-particle":"","parse-names":false,"suffix":""},{"dropping-particle":"","family":"Eccles","given":"David","non-dropping-particle":"","parse-names":false,"suffix":""},{"dropping-particle":"","family":"Li","given":"Bo","non-dropping-particle":"","parse-names":false,"suffix":""},{"dropping-particle":"","family":"Macmanes","given":"Matthew D","non-dropping-particle":"","parse-names":false,"suffix":""},{"dropping-particle":"","family":"Ott","given":"Michael","non-dropping-particle":"","parse-names":false,"suffix":""},{"dropping-particle":"","family":"Orvis","given":"Joshua","non-dropping-particle":"","parse-names":false,"suffix":""},{"dropping-particle":"","family":"Pochet","given":"Nathalie","non-dropping-particle":"","parse-names":false,"suffix":""}],"container-title":"Nature protocols","id":"ITEM-1","issue":"8","issued":{"date-parts":[["2013"]]},"page":"1494","title":"De novo transcript sequence reconstruction from RNA-Seq: reference generation and analysis with Trinity","type":"article-journal","volume":"8"},"uris":["http://www.mendeley.com/documents/?uuid=931d622d-d6e3-41fb-b2cc-d6304fa7042a"]}],"mendeley":{"formattedCitation":"(Haas et al., 2013)","plainTextFormattedCitation":"(Haas et al., 2013)","previouslyFormattedCitation":"[35]"},"properties":{"noteIndex":0},"schema":"https://github.com/citation-style-language/schema/raw/master/csl-citation.json"}</w:instrText>
      </w:r>
      <w:r w:rsidRPr="00B455FF">
        <w:rPr>
          <w:rFonts w:cs="Times New Roman"/>
          <w:szCs w:val="24"/>
        </w:rPr>
        <w:fldChar w:fldCharType="separate"/>
      </w:r>
      <w:r w:rsidR="008B5BE9" w:rsidRPr="008B5BE9">
        <w:rPr>
          <w:rFonts w:cs="Times New Roman"/>
          <w:noProof/>
          <w:szCs w:val="24"/>
        </w:rPr>
        <w:t>(Haas et al., 2013)</w:t>
      </w:r>
      <w:r w:rsidRPr="00B455FF">
        <w:rPr>
          <w:rFonts w:cs="Times New Roman"/>
          <w:szCs w:val="24"/>
        </w:rPr>
        <w:fldChar w:fldCharType="end"/>
      </w:r>
      <w:r w:rsidRPr="00B455FF">
        <w:rPr>
          <w:rFonts w:cs="Times New Roman"/>
          <w:szCs w:val="24"/>
        </w:rPr>
        <w:t>.</w:t>
      </w:r>
    </w:p>
    <w:p w14:paraId="4A301678" w14:textId="0AB40A85" w:rsidR="00727990" w:rsidRDefault="00727990" w:rsidP="00727990">
      <w:pPr>
        <w:shd w:val="clear" w:color="auto" w:fill="FFFFFF"/>
        <w:spacing w:before="240" w:after="0"/>
        <w:contextualSpacing/>
        <w:jc w:val="both"/>
        <w:rPr>
          <w:rFonts w:cs="Times New Roman"/>
          <w:szCs w:val="24"/>
        </w:rPr>
      </w:pPr>
    </w:p>
    <w:p w14:paraId="38044717" w14:textId="570F476C" w:rsidR="00727990" w:rsidRDefault="008B5BE9" w:rsidP="00727990">
      <w:pPr>
        <w:shd w:val="clear" w:color="auto" w:fill="FFFFFF"/>
        <w:spacing w:before="240" w:after="0"/>
        <w:contextualSpacing/>
        <w:jc w:val="both"/>
        <w:rPr>
          <w:rFonts w:cs="Times New Roman"/>
          <w:szCs w:val="24"/>
        </w:rPr>
      </w:pPr>
      <w:r w:rsidRPr="00B455FF">
        <w:rPr>
          <w:rFonts w:cs="Times New Roman"/>
          <w:b/>
          <w:noProof/>
          <w:szCs w:val="24"/>
        </w:rPr>
        <w:lastRenderedPageBreak/>
        <w:drawing>
          <wp:inline distT="0" distB="0" distL="0" distR="0" wp14:anchorId="0033CDC9" wp14:editId="55AE43F2">
            <wp:extent cx="4709766" cy="6662057"/>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13216" cy="6666938"/>
                    </a:xfrm>
                    <a:prstGeom prst="rect">
                      <a:avLst/>
                    </a:prstGeom>
                  </pic:spPr>
                </pic:pic>
              </a:graphicData>
            </a:graphic>
          </wp:inline>
        </w:drawing>
      </w:r>
    </w:p>
    <w:p w14:paraId="3460EA50" w14:textId="0509DDED" w:rsidR="00727990" w:rsidRDefault="00727990" w:rsidP="00727990">
      <w:pPr>
        <w:shd w:val="clear" w:color="auto" w:fill="FFFFFF"/>
        <w:spacing w:before="240" w:after="0"/>
        <w:contextualSpacing/>
        <w:jc w:val="both"/>
        <w:rPr>
          <w:rFonts w:cs="Times New Roman"/>
          <w:szCs w:val="24"/>
        </w:rPr>
      </w:pPr>
    </w:p>
    <w:p w14:paraId="10BC544D" w14:textId="30A8B879" w:rsidR="00727990" w:rsidRPr="00B455FF" w:rsidRDefault="00727990" w:rsidP="00727990">
      <w:pPr>
        <w:shd w:val="clear" w:color="auto" w:fill="FFFFFF"/>
        <w:spacing w:before="240" w:after="0"/>
        <w:contextualSpacing/>
        <w:jc w:val="both"/>
        <w:rPr>
          <w:rFonts w:cs="Times New Roman"/>
          <w:szCs w:val="24"/>
        </w:rPr>
      </w:pPr>
      <w:r>
        <w:rPr>
          <w:rFonts w:cs="Times New Roman"/>
          <w:b/>
          <w:szCs w:val="24"/>
        </w:rPr>
        <w:t xml:space="preserve">Supplementary </w:t>
      </w:r>
      <w:r w:rsidRPr="00B455FF">
        <w:rPr>
          <w:rFonts w:cs="Times New Roman"/>
          <w:b/>
          <w:szCs w:val="24"/>
        </w:rPr>
        <w:t xml:space="preserve">Figure </w:t>
      </w:r>
      <w:r w:rsidR="00C2331C">
        <w:rPr>
          <w:rFonts w:cs="Times New Roman"/>
          <w:b/>
          <w:szCs w:val="24"/>
        </w:rPr>
        <w:t>S</w:t>
      </w:r>
      <w:r w:rsidRPr="00B455FF">
        <w:rPr>
          <w:rFonts w:cs="Times New Roman"/>
          <w:b/>
          <w:szCs w:val="24"/>
        </w:rPr>
        <w:t xml:space="preserve">3. Gene expression patterns. A) </w:t>
      </w:r>
      <w:r w:rsidRPr="00B455FF">
        <w:rPr>
          <w:rFonts w:cs="Times New Roman"/>
          <w:szCs w:val="24"/>
        </w:rPr>
        <w:t xml:space="preserve">Number of differentially expressed genes (DEGs) in grazing (G) and mechanical damage (M) groups compared to control group at different time points (3h, 1d, and 6d). Note that none differentially-expressed gene was detected 6d post-treatment. </w:t>
      </w:r>
      <w:r w:rsidRPr="00B455FF">
        <w:rPr>
          <w:rFonts w:cs="Times New Roman"/>
          <w:b/>
          <w:szCs w:val="24"/>
        </w:rPr>
        <w:t>B)</w:t>
      </w:r>
      <w:r w:rsidRPr="00B455FF">
        <w:rPr>
          <w:rFonts w:cs="Times New Roman"/>
          <w:szCs w:val="24"/>
        </w:rPr>
        <w:t xml:space="preserve"> Gene clusters at 3h according to expression patterns based on the hierarchically clustered gene tree showed in the heatmap. Clusters were defined at 60% height. DEGs were defined according to FDR p-value &lt; 0.005 and log</w:t>
      </w:r>
      <w:r w:rsidRPr="00B455FF">
        <w:rPr>
          <w:rFonts w:cs="Times New Roman"/>
          <w:szCs w:val="24"/>
          <w:vertAlign w:val="subscript"/>
        </w:rPr>
        <w:t xml:space="preserve">2 </w:t>
      </w:r>
      <w:r w:rsidRPr="00B455FF">
        <w:rPr>
          <w:rFonts w:cs="Times New Roman"/>
          <w:szCs w:val="24"/>
        </w:rPr>
        <w:t xml:space="preserve">|FC| ≥ 2 expression, as calculated in </w:t>
      </w:r>
      <w:proofErr w:type="spellStart"/>
      <w:r w:rsidRPr="00B455FF">
        <w:rPr>
          <w:rFonts w:cs="Times New Roman"/>
          <w:szCs w:val="24"/>
        </w:rPr>
        <w:t>edge</w:t>
      </w:r>
      <w:r w:rsidR="00A741D8">
        <w:rPr>
          <w:rFonts w:cs="Times New Roman"/>
          <w:szCs w:val="24"/>
        </w:rPr>
        <w:t>R</w:t>
      </w:r>
      <w:proofErr w:type="spellEnd"/>
      <w:r w:rsidRPr="00B455FF">
        <w:rPr>
          <w:rFonts w:cs="Times New Roman"/>
          <w:szCs w:val="24"/>
        </w:rPr>
        <w:t>.</w:t>
      </w:r>
    </w:p>
    <w:p w14:paraId="23FABB62" w14:textId="77777777" w:rsidR="00727990" w:rsidRPr="00B455FF" w:rsidRDefault="00727990" w:rsidP="00727990">
      <w:pPr>
        <w:shd w:val="clear" w:color="auto" w:fill="FFFFFF"/>
        <w:spacing w:before="240" w:after="0"/>
        <w:contextualSpacing/>
        <w:jc w:val="both"/>
        <w:rPr>
          <w:rFonts w:cs="Times New Roman"/>
          <w:noProof/>
          <w:szCs w:val="24"/>
        </w:rPr>
      </w:pPr>
    </w:p>
    <w:p w14:paraId="2FD84A74" w14:textId="17ACFEBD" w:rsidR="008B5BE9" w:rsidRDefault="008B5BE9" w:rsidP="00727990">
      <w:pPr>
        <w:shd w:val="clear" w:color="auto" w:fill="FFFFFF"/>
        <w:spacing w:before="240" w:after="0"/>
        <w:contextualSpacing/>
        <w:jc w:val="both"/>
        <w:rPr>
          <w:rFonts w:cs="Times New Roman"/>
          <w:b/>
          <w:szCs w:val="24"/>
        </w:rPr>
      </w:pPr>
    </w:p>
    <w:p w14:paraId="62B54DC8" w14:textId="02F6E00E" w:rsidR="008B5BE9" w:rsidRDefault="008B5BE9" w:rsidP="00727990">
      <w:pPr>
        <w:shd w:val="clear" w:color="auto" w:fill="FFFFFF"/>
        <w:spacing w:before="240" w:after="0"/>
        <w:contextualSpacing/>
        <w:jc w:val="both"/>
        <w:rPr>
          <w:rFonts w:cs="Times New Roman"/>
          <w:b/>
          <w:szCs w:val="24"/>
        </w:rPr>
      </w:pPr>
    </w:p>
    <w:p w14:paraId="274E9910" w14:textId="26C8B417" w:rsidR="00E267E7" w:rsidRPr="00B455FF" w:rsidRDefault="00E267E7" w:rsidP="00727990">
      <w:pPr>
        <w:shd w:val="clear" w:color="auto" w:fill="FFFFFF"/>
        <w:spacing w:before="240" w:after="0"/>
        <w:contextualSpacing/>
        <w:jc w:val="both"/>
        <w:rPr>
          <w:rFonts w:cs="Times New Roman"/>
          <w:szCs w:val="24"/>
        </w:rPr>
      </w:pPr>
    </w:p>
    <w:p w14:paraId="660DD605" w14:textId="77777777" w:rsidR="00727990" w:rsidRPr="00B455FF" w:rsidRDefault="00727990" w:rsidP="00727990">
      <w:pPr>
        <w:shd w:val="clear" w:color="auto" w:fill="FFFFFF"/>
        <w:spacing w:before="240" w:after="0"/>
        <w:contextualSpacing/>
        <w:jc w:val="both"/>
        <w:rPr>
          <w:rFonts w:cs="Times New Roman"/>
          <w:szCs w:val="24"/>
        </w:rPr>
      </w:pPr>
    </w:p>
    <w:p w14:paraId="056F5B08" w14:textId="77777777" w:rsidR="008B5BE9" w:rsidRDefault="008B5BE9" w:rsidP="00727990">
      <w:pPr>
        <w:shd w:val="clear" w:color="auto" w:fill="FFFFFF"/>
        <w:spacing w:before="240" w:after="0"/>
        <w:contextualSpacing/>
        <w:jc w:val="both"/>
        <w:rPr>
          <w:rFonts w:cs="Times New Roman"/>
          <w:b/>
          <w:szCs w:val="24"/>
        </w:rPr>
      </w:pPr>
    </w:p>
    <w:p w14:paraId="61818466" w14:textId="059F5A7B" w:rsidR="008B5BE9" w:rsidRDefault="008B5BE9" w:rsidP="00727990">
      <w:pPr>
        <w:shd w:val="clear" w:color="auto" w:fill="FFFFFF"/>
        <w:spacing w:before="240" w:after="0"/>
        <w:contextualSpacing/>
        <w:jc w:val="both"/>
        <w:rPr>
          <w:rFonts w:cs="Times New Roman"/>
          <w:b/>
          <w:szCs w:val="24"/>
        </w:rPr>
      </w:pPr>
      <w:r w:rsidRPr="00B455FF">
        <w:rPr>
          <w:rFonts w:cs="Times New Roman"/>
          <w:b/>
          <w:noProof/>
          <w:szCs w:val="24"/>
        </w:rPr>
        <w:drawing>
          <wp:inline distT="0" distB="0" distL="0" distR="0" wp14:anchorId="4D5EE758" wp14:editId="4CDDF074">
            <wp:extent cx="5274310" cy="3691890"/>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1d_v3.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691890"/>
                    </a:xfrm>
                    <a:prstGeom prst="rect">
                      <a:avLst/>
                    </a:prstGeom>
                  </pic:spPr>
                </pic:pic>
              </a:graphicData>
            </a:graphic>
          </wp:inline>
        </w:drawing>
      </w:r>
    </w:p>
    <w:p w14:paraId="3BD87A6C" w14:textId="5BBB5D5C" w:rsidR="00727990" w:rsidRPr="00B455FF" w:rsidRDefault="00727990" w:rsidP="00727990">
      <w:pPr>
        <w:shd w:val="clear" w:color="auto" w:fill="FFFFFF"/>
        <w:spacing w:before="240" w:after="0"/>
        <w:contextualSpacing/>
        <w:jc w:val="both"/>
        <w:rPr>
          <w:rFonts w:cs="Times New Roman"/>
          <w:bCs/>
          <w:szCs w:val="24"/>
        </w:rPr>
      </w:pPr>
      <w:r>
        <w:rPr>
          <w:rFonts w:cs="Times New Roman"/>
          <w:b/>
          <w:szCs w:val="24"/>
        </w:rPr>
        <w:t xml:space="preserve">Supplementary </w:t>
      </w:r>
      <w:r w:rsidRPr="00B455FF">
        <w:rPr>
          <w:rFonts w:cs="Times New Roman"/>
          <w:b/>
          <w:szCs w:val="24"/>
        </w:rPr>
        <w:t xml:space="preserve">Figure </w:t>
      </w:r>
      <w:r w:rsidR="009D09AD">
        <w:rPr>
          <w:rFonts w:cs="Times New Roman"/>
          <w:b/>
          <w:szCs w:val="24"/>
        </w:rPr>
        <w:t>S4</w:t>
      </w:r>
      <w:r w:rsidRPr="00B455FF">
        <w:rPr>
          <w:rFonts w:cs="Times New Roman"/>
          <w:b/>
          <w:szCs w:val="24"/>
        </w:rPr>
        <w:t>. S</w:t>
      </w:r>
      <w:r w:rsidR="000C1600">
        <w:rPr>
          <w:rFonts w:cs="Times New Roman"/>
          <w:b/>
          <w:szCs w:val="24"/>
        </w:rPr>
        <w:t xml:space="preserve">uggested reconstruction </w:t>
      </w:r>
      <w:r w:rsidRPr="00B455FF">
        <w:rPr>
          <w:rFonts w:cs="Times New Roman"/>
          <w:b/>
          <w:szCs w:val="24"/>
        </w:rPr>
        <w:t>of the sponge response to wounding at 1d</w:t>
      </w:r>
      <w:r w:rsidRPr="00B455FF">
        <w:rPr>
          <w:rFonts w:cs="Times New Roman"/>
          <w:szCs w:val="24"/>
        </w:rPr>
        <w:t xml:space="preserve">. </w:t>
      </w:r>
      <w:r w:rsidR="000C1600">
        <w:rPr>
          <w:rFonts w:cs="Times New Roman"/>
          <w:szCs w:val="24"/>
        </w:rPr>
        <w:t>Schematic representation ba</w:t>
      </w:r>
      <w:r w:rsidR="00A741D8">
        <w:rPr>
          <w:rFonts w:cs="Times New Roman"/>
          <w:szCs w:val="24"/>
        </w:rPr>
        <w:t>s</w:t>
      </w:r>
      <w:r w:rsidR="000C1600">
        <w:rPr>
          <w:rFonts w:cs="Times New Roman"/>
          <w:szCs w:val="24"/>
        </w:rPr>
        <w:t>ed on the set of annotated differentially-expressed genes</w:t>
      </w:r>
      <w:r w:rsidRPr="00B455FF">
        <w:rPr>
          <w:rFonts w:cs="Times New Roman"/>
          <w:bCs/>
          <w:szCs w:val="24"/>
        </w:rPr>
        <w:t>. The localization of the proteins</w:t>
      </w:r>
      <w:r w:rsidR="000C1600">
        <w:rPr>
          <w:rFonts w:cs="Times New Roman"/>
          <w:bCs/>
          <w:szCs w:val="24"/>
        </w:rPr>
        <w:t xml:space="preserve"> and their interactions</w:t>
      </w:r>
      <w:r w:rsidRPr="00B455FF">
        <w:rPr>
          <w:rFonts w:cs="Times New Roman"/>
          <w:bCs/>
          <w:szCs w:val="24"/>
        </w:rPr>
        <w:t xml:space="preserve"> </w:t>
      </w:r>
      <w:r w:rsidR="000C1600">
        <w:rPr>
          <w:rFonts w:cs="Times New Roman"/>
          <w:bCs/>
          <w:szCs w:val="24"/>
        </w:rPr>
        <w:t>are</w:t>
      </w:r>
      <w:r w:rsidR="000C1600" w:rsidRPr="00B455FF">
        <w:rPr>
          <w:rFonts w:cs="Times New Roman"/>
          <w:bCs/>
          <w:szCs w:val="24"/>
        </w:rPr>
        <w:t xml:space="preserve"> </w:t>
      </w:r>
      <w:r w:rsidRPr="00B455FF">
        <w:rPr>
          <w:rFonts w:cs="Times New Roman"/>
          <w:bCs/>
          <w:szCs w:val="24"/>
        </w:rPr>
        <w:t xml:space="preserve">proposed according to literature or annotation of transmembrane domains. TGM: transglutaminases. Created with BioRender.com </w:t>
      </w:r>
    </w:p>
    <w:p w14:paraId="7ADD5DB1" w14:textId="795E665B" w:rsidR="00727990" w:rsidRDefault="00727990" w:rsidP="00727990">
      <w:pPr>
        <w:shd w:val="clear" w:color="auto" w:fill="FFFFFF"/>
        <w:spacing w:before="240" w:after="0"/>
        <w:contextualSpacing/>
        <w:jc w:val="both"/>
        <w:rPr>
          <w:rFonts w:cs="Times New Roman"/>
          <w:szCs w:val="24"/>
        </w:rPr>
      </w:pPr>
    </w:p>
    <w:p w14:paraId="3589B78E" w14:textId="7F539E38" w:rsidR="008B5BE9" w:rsidRDefault="008B5BE9" w:rsidP="00727990">
      <w:pPr>
        <w:shd w:val="clear" w:color="auto" w:fill="FFFFFF"/>
        <w:spacing w:before="240" w:after="0"/>
        <w:contextualSpacing/>
        <w:jc w:val="both"/>
        <w:rPr>
          <w:rFonts w:cs="Times New Roman"/>
          <w:szCs w:val="24"/>
        </w:rPr>
      </w:pPr>
    </w:p>
    <w:p w14:paraId="45E9D02A" w14:textId="3707A6D4" w:rsidR="008B5BE9" w:rsidRPr="00B455FF" w:rsidRDefault="008B5BE9" w:rsidP="008B5BE9">
      <w:pPr>
        <w:shd w:val="clear" w:color="auto" w:fill="FFFFFF"/>
        <w:spacing w:before="240" w:after="0"/>
        <w:contextualSpacing/>
        <w:jc w:val="center"/>
        <w:rPr>
          <w:rFonts w:cs="Times New Roman"/>
          <w:szCs w:val="24"/>
        </w:rPr>
      </w:pPr>
      <w:r w:rsidRPr="00B455FF">
        <w:rPr>
          <w:rFonts w:cs="Times New Roman"/>
          <w:b/>
          <w:noProof/>
          <w:szCs w:val="24"/>
        </w:rPr>
        <w:lastRenderedPageBreak/>
        <w:drawing>
          <wp:inline distT="0" distB="0" distL="0" distR="0" wp14:anchorId="3B97D21B" wp14:editId="74E8DFA6">
            <wp:extent cx="4797607" cy="483919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vsM_logFC_EDIT_color_v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01029" cy="4842646"/>
                    </a:xfrm>
                    <a:prstGeom prst="rect">
                      <a:avLst/>
                    </a:prstGeom>
                  </pic:spPr>
                </pic:pic>
              </a:graphicData>
            </a:graphic>
          </wp:inline>
        </w:drawing>
      </w:r>
    </w:p>
    <w:p w14:paraId="1960550D" w14:textId="267E63B6" w:rsidR="00727990" w:rsidRPr="00B455FF" w:rsidRDefault="00727990" w:rsidP="00727990">
      <w:pPr>
        <w:shd w:val="clear" w:color="auto" w:fill="FFFFFF"/>
        <w:spacing w:before="240" w:after="0"/>
        <w:contextualSpacing/>
        <w:jc w:val="both"/>
        <w:rPr>
          <w:rFonts w:cs="Times New Roman"/>
          <w:szCs w:val="24"/>
        </w:rPr>
      </w:pPr>
      <w:r>
        <w:rPr>
          <w:rFonts w:cs="Times New Roman"/>
          <w:b/>
          <w:szCs w:val="24"/>
        </w:rPr>
        <w:t xml:space="preserve">Supplementary </w:t>
      </w:r>
      <w:r w:rsidRPr="00B455FF">
        <w:rPr>
          <w:rFonts w:cs="Times New Roman"/>
          <w:b/>
          <w:szCs w:val="24"/>
        </w:rPr>
        <w:t xml:space="preserve">Figure </w:t>
      </w:r>
      <w:r w:rsidR="009D09AD">
        <w:rPr>
          <w:rFonts w:cs="Times New Roman"/>
          <w:b/>
          <w:szCs w:val="24"/>
        </w:rPr>
        <w:t>S5</w:t>
      </w:r>
      <w:r w:rsidRPr="00B455FF">
        <w:rPr>
          <w:rFonts w:cs="Times New Roman"/>
          <w:b/>
          <w:szCs w:val="24"/>
        </w:rPr>
        <w:t xml:space="preserve">. Direct comparison of mechanical damage to grazing response. </w:t>
      </w:r>
      <w:r w:rsidRPr="00B455FF">
        <w:rPr>
          <w:rFonts w:cs="Times New Roman"/>
          <w:szCs w:val="24"/>
        </w:rPr>
        <w:t>The direct comparison of grazing to the mechanical treatment at each experiment within 3h and 1d experiments</w:t>
      </w:r>
      <w:r w:rsidR="00A741D8">
        <w:rPr>
          <w:rFonts w:cs="Times New Roman"/>
          <w:szCs w:val="24"/>
        </w:rPr>
        <w:t xml:space="preserve"> (black bars on the left side)</w:t>
      </w:r>
      <w:r w:rsidRPr="00B455FF">
        <w:rPr>
          <w:rFonts w:cs="Times New Roman"/>
          <w:szCs w:val="24"/>
        </w:rPr>
        <w:t xml:space="preserve"> revealed only 7 differentially-expressed genes (DEGs) at the most restrictive definition of FDR p-value &lt;0.005 (dark bars). </w:t>
      </w:r>
      <w:r w:rsidRPr="00B455FF">
        <w:rPr>
          <w:rFonts w:eastAsia="Times New Roman" w:cs="Times New Roman"/>
          <w:color w:val="000000"/>
          <w:szCs w:val="24"/>
        </w:rPr>
        <w:t>When we relaxed our definition of DEG between grazing and mechanical damage from FDR p-value &lt;0.005 to FDR p-value &lt;0.05, we detected 19 additional DEGs (light bars).</w:t>
      </w:r>
      <w:r w:rsidRPr="00B455FF">
        <w:rPr>
          <w:rFonts w:cs="Times New Roman"/>
          <w:szCs w:val="24"/>
        </w:rPr>
        <w:t xml:space="preserve"> Gene names and annotation are reported. Further details on the annotation can be found in </w:t>
      </w:r>
      <w:r w:rsidRPr="00B455FF">
        <w:rPr>
          <w:rFonts w:cs="Times New Roman"/>
          <w:b/>
          <w:szCs w:val="24"/>
        </w:rPr>
        <w:t>Table S3</w:t>
      </w:r>
      <w:r w:rsidRPr="00B455FF">
        <w:rPr>
          <w:rFonts w:cs="Times New Roman"/>
          <w:szCs w:val="24"/>
        </w:rPr>
        <w:t xml:space="preserve">. </w:t>
      </w:r>
      <w:bookmarkStart w:id="1" w:name="_Hlk49875326"/>
      <w:r w:rsidRPr="00B455FF">
        <w:rPr>
          <w:rFonts w:cs="Times New Roman"/>
          <w:szCs w:val="24"/>
        </w:rPr>
        <w:t xml:space="preserve">Differential gene expression analyses were performed in </w:t>
      </w:r>
      <w:proofErr w:type="spellStart"/>
      <w:r w:rsidRPr="00B455FF">
        <w:rPr>
          <w:rFonts w:cs="Times New Roman"/>
          <w:szCs w:val="24"/>
        </w:rPr>
        <w:t>edgeR</w:t>
      </w:r>
      <w:proofErr w:type="spellEnd"/>
      <w:r w:rsidRPr="00B455FF">
        <w:rPr>
          <w:rFonts w:cs="Times New Roman"/>
          <w:szCs w:val="24"/>
        </w:rPr>
        <w:t xml:space="preserve"> following Trinity pipeline </w:t>
      </w:r>
      <w:r w:rsidRPr="00B455FF">
        <w:rPr>
          <w:rFonts w:cs="Times New Roman"/>
          <w:szCs w:val="24"/>
        </w:rPr>
        <w:fldChar w:fldCharType="begin" w:fldLock="1"/>
      </w:r>
      <w:r w:rsidR="008B5BE9">
        <w:rPr>
          <w:rFonts w:cs="Times New Roman"/>
          <w:szCs w:val="24"/>
        </w:rPr>
        <w:instrText>ADDIN CSL_CITATION {"citationItems":[{"id":"ITEM-1","itemData":{"DOI":"10.1038/nprot.2013.084.De","ISBN":"3942667509","author":[{"dropping-particle":"","family":"Haas","given":"Brian J","non-dropping-particle":"","parse-names":false,"suffix":""},{"dropping-particle":"","family":"Papanicolaou","given":"Alexie","non-dropping-particle":"","parse-names":false,"suffix":""},{"dropping-particle":"","family":"Yassour","given":"Moran","non-dropping-particle":"","parse-names":false,"suffix":""},{"dropping-particle":"","family":"Grabherr","given":"Manfred","non-dropping-particle":"","parse-names":false,"suffix":""},{"dropping-particle":"","family":"Philip","given":"D","non-dropping-particle":"","parse-names":false,"suffix":""},{"dropping-particle":"","family":"Bowden","given":"Joshua","non-dropping-particle":"","parse-names":false,"suffix":""},{"dropping-particle":"","family":"Couger","given":"Matthew Brian","non-dropping-particle":"","parse-names":false,"suffix":""},{"dropping-particle":"","family":"Eccles","given":"David","non-dropping-particle":"","parse-names":false,"suffix":""},{"dropping-particle":"","family":"Li","given":"Bo","non-dropping-particle":"","parse-names":false,"suffix":""},{"dropping-particle":"","family":"Macmanes","given":"Matthew D","non-dropping-particle":"","parse-names":false,"suffix":""},{"dropping-particle":"","family":"Ott","given":"Michael","non-dropping-particle":"","parse-names":false,"suffix":""},{"dropping-particle":"","family":"Orvis","given":"Joshua","non-dropping-particle":"","parse-names":false,"suffix":""},{"dropping-particle":"","family":"Pochet","given":"Nathalie","non-dropping-particle":"","parse-names":false,"suffix":""}],"container-title":"Nature protocols","id":"ITEM-1","issue":"8","issued":{"date-parts":[["2013"]]},"page":"1494","title":"De novo transcript sequence reconstruction from RNA-Seq: reference generation and analysis with Trinity","type":"article-journal","volume":"8"},"uris":["http://www.mendeley.com/documents/?uuid=931d622d-d6e3-41fb-b2cc-d6304fa7042a"]}],"mendeley":{"formattedCitation":"(Haas et al., 2013)","plainTextFormattedCitation":"(Haas et al., 2013)","previouslyFormattedCitation":"[3]"},"properties":{"noteIndex":0},"schema":"https://github.com/citation-style-language/schema/raw/master/csl-citation.json"}</w:instrText>
      </w:r>
      <w:r w:rsidRPr="00B455FF">
        <w:rPr>
          <w:rFonts w:cs="Times New Roman"/>
          <w:szCs w:val="24"/>
        </w:rPr>
        <w:fldChar w:fldCharType="separate"/>
      </w:r>
      <w:r w:rsidR="008B5BE9" w:rsidRPr="008B5BE9">
        <w:rPr>
          <w:rFonts w:cs="Times New Roman"/>
          <w:noProof/>
          <w:szCs w:val="24"/>
        </w:rPr>
        <w:t>(Haas et al., 2013)</w:t>
      </w:r>
      <w:r w:rsidRPr="00B455FF">
        <w:rPr>
          <w:rFonts w:cs="Times New Roman"/>
          <w:szCs w:val="24"/>
        </w:rPr>
        <w:fldChar w:fldCharType="end"/>
      </w:r>
      <w:r w:rsidRPr="00B455FF">
        <w:rPr>
          <w:rFonts w:cs="Times New Roman"/>
          <w:szCs w:val="24"/>
        </w:rPr>
        <w:t xml:space="preserve"> and annotated following </w:t>
      </w:r>
      <w:proofErr w:type="spellStart"/>
      <w:r w:rsidRPr="00B455FF">
        <w:rPr>
          <w:rFonts w:cs="Times New Roman"/>
          <w:szCs w:val="24"/>
        </w:rPr>
        <w:t>Trinotate</w:t>
      </w:r>
      <w:proofErr w:type="spellEnd"/>
      <w:r w:rsidRPr="00B455FF">
        <w:rPr>
          <w:rFonts w:cs="Times New Roman"/>
          <w:szCs w:val="24"/>
        </w:rPr>
        <w:t xml:space="preserve"> pipeline </w:t>
      </w:r>
      <w:r w:rsidRPr="00B455FF">
        <w:rPr>
          <w:rFonts w:cs="Times New Roman"/>
          <w:szCs w:val="24"/>
        </w:rPr>
        <w:fldChar w:fldCharType="begin" w:fldLock="1"/>
      </w:r>
      <w:r w:rsidR="008B5BE9">
        <w:rPr>
          <w:rFonts w:cs="Times New Roman"/>
          <w:szCs w:val="24"/>
        </w:rPr>
        <w:instrText>ADDIN CSL_CITATION {"citationItems":[{"id":"ITEM-1","itemData":{"DOI":"10.1016/j.celrep.2016.12.063","ISSN":"22111247","abstract":"Mammals have extremely limited regenerative capabilities; however, axolotls are profoundly regenerative and can replace entire limbs. The mechanisms underlying limb regeneration remain poorly understood, partly because the enormous and incompletely sequenced genomes of axolotls have hindered the study of genes facilitating regeneration. We assembled and annotated a de novo transcriptome using RNA-sequencing profiles for a broad spectrum of tissues that is estimated to have near-complete sequence information for 88% of axolotl genes. We devised expression analyses that identified the axolotl orthologs of cirbp and kazald1 as highly expressed and enriched in blastemas. Using morpholino anti-sense oligonucleotides, we find evidence that cirbp plays a cytoprotective role during limb regeneration whereas manipulation of kazald1 expression disrupts regeneration. Our transcriptome and annotation resources greatly complement previous transcriptomic studies and will be a valuable resource for future research in regenerative biology.","author":[{"dropping-particle":"","family":"Bryant","given":"Donald M.","non-dropping-particle":"","parse-names":false,"suffix":""},{"dropping-particle":"","family":"Johnson","given":"Kimberly","non-dropping-particle":"","parse-names":false,"suffix":""},{"dropping-particle":"","family":"DiTommaso","given":"Tia","non-dropping-particle":"","parse-names":false,"suffix":""},{"dropping-particle":"","family":"Tickle","given":"Timothy","non-dropping-particle":"","parse-names":false,"suffix":""},{"dropping-particle":"","family":"Couger","given":"Matthew Brian","non-dropping-particle":"","parse-names":false,"suffix":""},{"dropping-particle":"","family":"Payzin-Dogru","given":"Duygu","non-dropping-particle":"","parse-names":false,"suffix":""},{"dropping-particle":"","family":"Lee","given":"Tae J.","non-dropping-particle":"","parse-names":false,"suffix":""},{"dropping-particle":"","family":"Leigh","given":"Nicholas D.","non-dropping-particle":"","parse-names":false,"suffix":""},{"dropping-particle":"","family":"Kuo","given":"Tzu-Hsing","non-dropping-particle":"","parse-names":false,"suffix":""},{"dropping-particle":"","family":"Davis","given":"Francis G.","non-dropping-particle":"","parse-names":false,"suffix":""},{"dropping-particle":"","family":"Bateman","given":"Joel","non-dropping-particle":"","parse-names":false,"suffix":""},{"dropping-particle":"","family":"Bryant","given":"Sevara","non-dropping-particle":"","parse-names":false,"suffix":""},{"dropping-particle":"","family":"Guzikowski","given":"Anna R.","non-dropping-particle":"","parse-names":false,"suffix":""},{"dropping-particle":"","family":"Tsai","given":"Stephanie L.","non-dropping-particle":"","parse-names":false,"suffix":""},{"dropping-particle":"","family":"Coyne","given":"Steven","non-dropping-particle":"","parse-names":false,"suffix":""},{"dropping-particle":"","family":"Ye","given":"William W.","non-dropping-particle":"","parse-names":false,"suffix":""},{"dropping-particle":"","family":"Freeman","given":"Robert M.","non-dropping-particle":"","parse-names":false,"suffix":""},{"dropping-particle":"","family":"Peshkin","given":"Leonid","non-dropping-particle":"","parse-names":false,"suffix":""},{"dropping-particle":"","family":"Tabin","given":"Clifford J.","non-dropping-particle":"","parse-names":false,"suffix":""},{"dropping-particle":"","family":"Regev","given":"Aviv","non-dropping-particle":"","parse-names":false,"suffix":""},{"dropping-particle":"","family":"Haas","given":"Brian J.","non-dropping-particle":"","parse-names":false,"suffix":""},{"dropping-particle":"","family":"Whited","given":"Jessica L.","non-dropping-particle":"","parse-names":false,"suffix":""}],"container-title":"Cell Reports","id":"ITEM-1","issue":"3","issued":{"date-parts":[["2017","1"]]},"page":"762-776","publisher":"ElsevierCompany.","title":"A tissue-mapped axolotl &lt;i&gt;de novo&lt;/i&gt; transcriptome enables identification of limb regeneration factors","type":"article-journal","volume":"18"},"uris":["http://www.mendeley.com/documents/?uuid=e67b5a68-0230-451f-b4ff-ee3710c03166"]}],"mendeley":{"formattedCitation":"(Bryant et al., 2017)","plainTextFormattedCitation":"(Bryant et al., 2017)","previouslyFormattedCitation":"[4]"},"properties":{"noteIndex":0},"schema":"https://github.com/citation-style-language/schema/raw/master/csl-citation.json"}</w:instrText>
      </w:r>
      <w:r w:rsidRPr="00B455FF">
        <w:rPr>
          <w:rFonts w:cs="Times New Roman"/>
          <w:szCs w:val="24"/>
        </w:rPr>
        <w:fldChar w:fldCharType="separate"/>
      </w:r>
      <w:r w:rsidR="008B5BE9" w:rsidRPr="008B5BE9">
        <w:rPr>
          <w:rFonts w:cs="Times New Roman"/>
          <w:noProof/>
          <w:szCs w:val="24"/>
        </w:rPr>
        <w:t>(Bryant et al., 2017)</w:t>
      </w:r>
      <w:r w:rsidRPr="00B455FF">
        <w:rPr>
          <w:rFonts w:cs="Times New Roman"/>
          <w:szCs w:val="24"/>
        </w:rPr>
        <w:fldChar w:fldCharType="end"/>
      </w:r>
      <w:r w:rsidRPr="00B455FF">
        <w:rPr>
          <w:rFonts w:cs="Times New Roman"/>
          <w:szCs w:val="24"/>
        </w:rPr>
        <w:t>, unless specified otherwise. The plot was created in R with the package ggplot2. Final layout was edited in Inkscape.</w:t>
      </w:r>
      <w:bookmarkEnd w:id="1"/>
      <w:r w:rsidRPr="00B455FF">
        <w:rPr>
          <w:rFonts w:cs="Times New Roman"/>
          <w:szCs w:val="24"/>
        </w:rPr>
        <w:t xml:space="preserve"> </w:t>
      </w:r>
      <w:proofErr w:type="spellStart"/>
      <w:r w:rsidRPr="00B455FF">
        <w:rPr>
          <w:rFonts w:cs="Times New Roman"/>
          <w:szCs w:val="24"/>
        </w:rPr>
        <w:t>logFC</w:t>
      </w:r>
      <w:proofErr w:type="spellEnd"/>
      <w:r w:rsidRPr="00B455FF">
        <w:rPr>
          <w:rFonts w:cs="Times New Roman"/>
          <w:szCs w:val="24"/>
        </w:rPr>
        <w:t>: log</w:t>
      </w:r>
      <w:r w:rsidRPr="00B455FF">
        <w:rPr>
          <w:rFonts w:cs="Times New Roman"/>
          <w:szCs w:val="24"/>
          <w:vertAlign w:val="subscript"/>
        </w:rPr>
        <w:t>2</w:t>
      </w:r>
      <w:r w:rsidRPr="00B455FF">
        <w:rPr>
          <w:rFonts w:cs="Times New Roman"/>
          <w:szCs w:val="24"/>
        </w:rPr>
        <w:t>(fold change); TM prediction: transmembrane domain predicted. Legend refers to FDR p-value threshold.</w:t>
      </w:r>
    </w:p>
    <w:p w14:paraId="66937EEC" w14:textId="25D02AAC" w:rsidR="00727990" w:rsidRDefault="00727990" w:rsidP="00727990">
      <w:pPr>
        <w:shd w:val="clear" w:color="auto" w:fill="FFFFFF"/>
        <w:spacing w:before="240" w:after="0"/>
        <w:contextualSpacing/>
        <w:jc w:val="both"/>
        <w:rPr>
          <w:rFonts w:cs="Times New Roman"/>
          <w:szCs w:val="24"/>
        </w:rPr>
      </w:pPr>
    </w:p>
    <w:p w14:paraId="3E01D908" w14:textId="6321745A" w:rsidR="008B5BE9" w:rsidRDefault="008B5BE9" w:rsidP="00727990">
      <w:pPr>
        <w:shd w:val="clear" w:color="auto" w:fill="FFFFFF"/>
        <w:spacing w:before="240" w:after="0"/>
        <w:contextualSpacing/>
        <w:jc w:val="both"/>
        <w:rPr>
          <w:rFonts w:cs="Times New Roman"/>
          <w:szCs w:val="24"/>
        </w:rPr>
      </w:pPr>
    </w:p>
    <w:p w14:paraId="7532B3D4" w14:textId="77777777" w:rsidR="008B5BE9" w:rsidRPr="00B455FF" w:rsidRDefault="008B5BE9" w:rsidP="008B5BE9">
      <w:pPr>
        <w:shd w:val="clear" w:color="auto" w:fill="FFFFFF"/>
        <w:spacing w:before="240" w:after="0"/>
        <w:contextualSpacing/>
        <w:jc w:val="both"/>
        <w:rPr>
          <w:rFonts w:cs="Times New Roman"/>
          <w:b/>
          <w:szCs w:val="24"/>
        </w:rPr>
      </w:pPr>
      <w:r w:rsidRPr="00B455FF">
        <w:rPr>
          <w:rFonts w:cs="Times New Roman"/>
          <w:b/>
          <w:szCs w:val="24"/>
        </w:rPr>
        <w:t>References</w:t>
      </w:r>
    </w:p>
    <w:p w14:paraId="4D61F5FC" w14:textId="5A547B50" w:rsidR="008B5BE9" w:rsidRPr="008B5BE9" w:rsidRDefault="008B5BE9" w:rsidP="008B5BE9">
      <w:pPr>
        <w:widowControl w:val="0"/>
        <w:autoSpaceDE w:val="0"/>
        <w:autoSpaceDN w:val="0"/>
        <w:adjustRightInd w:val="0"/>
        <w:spacing w:before="240" w:after="0"/>
        <w:ind w:left="480" w:hanging="480"/>
        <w:rPr>
          <w:rFonts w:cs="Times New Roman"/>
          <w:noProof/>
          <w:szCs w:val="24"/>
        </w:rPr>
      </w:pPr>
      <w:r w:rsidRPr="00B455FF">
        <w:rPr>
          <w:rFonts w:cs="Times New Roman"/>
          <w:b/>
          <w:szCs w:val="24"/>
        </w:rPr>
        <w:fldChar w:fldCharType="begin" w:fldLock="1"/>
      </w:r>
      <w:r w:rsidRPr="00B455FF">
        <w:rPr>
          <w:rFonts w:cs="Times New Roman"/>
          <w:b/>
          <w:szCs w:val="24"/>
        </w:rPr>
        <w:instrText xml:space="preserve">ADDIN Mendeley Bibliography CSL_BIBLIOGRAPHY </w:instrText>
      </w:r>
      <w:r w:rsidRPr="00B455FF">
        <w:rPr>
          <w:rFonts w:cs="Times New Roman"/>
          <w:b/>
          <w:szCs w:val="24"/>
        </w:rPr>
        <w:fldChar w:fldCharType="separate"/>
      </w:r>
      <w:r w:rsidRPr="008B5BE9">
        <w:rPr>
          <w:rFonts w:cs="Times New Roman"/>
          <w:noProof/>
          <w:szCs w:val="24"/>
        </w:rPr>
        <w:t xml:space="preserve">Bryant, D. M., Johnson, K., DiTommaso, T., Tickle, T., Couger, M. B., Payzin-Dogru, D., et al. (2017). A tissue-mapped axolotl </w:t>
      </w:r>
      <w:r w:rsidRPr="008B5BE9">
        <w:rPr>
          <w:rFonts w:cs="Times New Roman"/>
          <w:i/>
          <w:iCs/>
          <w:noProof/>
          <w:szCs w:val="24"/>
        </w:rPr>
        <w:t>de novo</w:t>
      </w:r>
      <w:r w:rsidRPr="008B5BE9">
        <w:rPr>
          <w:rFonts w:cs="Times New Roman"/>
          <w:noProof/>
          <w:szCs w:val="24"/>
        </w:rPr>
        <w:t xml:space="preserve"> transcriptome enables identification of limb regeneration factors. </w:t>
      </w:r>
      <w:r w:rsidRPr="008B5BE9">
        <w:rPr>
          <w:rFonts w:cs="Times New Roman"/>
          <w:i/>
          <w:iCs/>
          <w:noProof/>
          <w:szCs w:val="24"/>
        </w:rPr>
        <w:t>Cell Rep.</w:t>
      </w:r>
      <w:r w:rsidRPr="008B5BE9">
        <w:rPr>
          <w:rFonts w:cs="Times New Roman"/>
          <w:noProof/>
          <w:szCs w:val="24"/>
        </w:rPr>
        <w:t xml:space="preserve"> 18, 762–776. doi:10.1016/j.celrep.2016.12.063.</w:t>
      </w:r>
    </w:p>
    <w:p w14:paraId="4226A9B3" w14:textId="77777777" w:rsidR="008B5BE9" w:rsidRPr="008B5BE9" w:rsidRDefault="008B5BE9" w:rsidP="008B5BE9">
      <w:pPr>
        <w:widowControl w:val="0"/>
        <w:autoSpaceDE w:val="0"/>
        <w:autoSpaceDN w:val="0"/>
        <w:adjustRightInd w:val="0"/>
        <w:spacing w:before="240" w:after="0"/>
        <w:ind w:left="480" w:hanging="480"/>
        <w:rPr>
          <w:rFonts w:cs="Times New Roman"/>
          <w:noProof/>
          <w:szCs w:val="24"/>
        </w:rPr>
      </w:pPr>
      <w:r w:rsidRPr="008B5BE9">
        <w:rPr>
          <w:rFonts w:cs="Times New Roman"/>
          <w:noProof/>
          <w:szCs w:val="24"/>
        </w:rPr>
        <w:t xml:space="preserve">Haas, B. J., Papanicolaou, A., Yassour, M., Grabherr, M., Philip, D., Bowden, J., et al. (2013). De novo transcript sequence reconstruction from RNA-Seq: reference generation and analysis with </w:t>
      </w:r>
      <w:r w:rsidRPr="008B5BE9">
        <w:rPr>
          <w:rFonts w:cs="Times New Roman"/>
          <w:noProof/>
          <w:szCs w:val="24"/>
        </w:rPr>
        <w:lastRenderedPageBreak/>
        <w:t xml:space="preserve">Trinity. </w:t>
      </w:r>
      <w:r w:rsidRPr="008B5BE9">
        <w:rPr>
          <w:rFonts w:cs="Times New Roman"/>
          <w:i/>
          <w:iCs/>
          <w:noProof/>
          <w:szCs w:val="24"/>
        </w:rPr>
        <w:t>Nat. Protoc.</w:t>
      </w:r>
      <w:r w:rsidRPr="008B5BE9">
        <w:rPr>
          <w:rFonts w:cs="Times New Roman"/>
          <w:noProof/>
          <w:szCs w:val="24"/>
        </w:rPr>
        <w:t xml:space="preserve"> 8, 1494. doi:10.1038/nprot.2013.084.De.</w:t>
      </w:r>
    </w:p>
    <w:p w14:paraId="60491A1B" w14:textId="77777777" w:rsidR="008B5BE9" w:rsidRPr="008B5BE9" w:rsidRDefault="008B5BE9" w:rsidP="008B5BE9">
      <w:pPr>
        <w:widowControl w:val="0"/>
        <w:autoSpaceDE w:val="0"/>
        <w:autoSpaceDN w:val="0"/>
        <w:adjustRightInd w:val="0"/>
        <w:spacing w:before="240" w:after="0"/>
        <w:ind w:left="480" w:hanging="480"/>
        <w:rPr>
          <w:rFonts w:cs="Times New Roman"/>
          <w:noProof/>
          <w:szCs w:val="24"/>
        </w:rPr>
      </w:pPr>
      <w:r w:rsidRPr="008B5BE9">
        <w:rPr>
          <w:rFonts w:cs="Times New Roman"/>
          <w:noProof/>
          <w:szCs w:val="24"/>
        </w:rPr>
        <w:t xml:space="preserve">Menzel, P., and Krogh, A. (2015). Fast and sensitive taxonomic classification for metagenomics with Kaiju. </w:t>
      </w:r>
      <w:r w:rsidRPr="008B5BE9">
        <w:rPr>
          <w:rFonts w:cs="Times New Roman"/>
          <w:i/>
          <w:iCs/>
          <w:noProof/>
          <w:szCs w:val="24"/>
        </w:rPr>
        <w:t>Nat. Commun.</w:t>
      </w:r>
      <w:r w:rsidRPr="008B5BE9">
        <w:rPr>
          <w:rFonts w:cs="Times New Roman"/>
          <w:noProof/>
          <w:szCs w:val="24"/>
        </w:rPr>
        <w:t xml:space="preserve"> 7, 11257. doi:10.1101/031229.</w:t>
      </w:r>
    </w:p>
    <w:p w14:paraId="6F7B7518" w14:textId="77777777" w:rsidR="008B5BE9" w:rsidRPr="008B5BE9" w:rsidRDefault="008B5BE9" w:rsidP="008B5BE9">
      <w:pPr>
        <w:widowControl w:val="0"/>
        <w:autoSpaceDE w:val="0"/>
        <w:autoSpaceDN w:val="0"/>
        <w:adjustRightInd w:val="0"/>
        <w:spacing w:before="240" w:after="0"/>
        <w:ind w:left="480" w:hanging="480"/>
        <w:rPr>
          <w:rFonts w:cs="Times New Roman"/>
          <w:noProof/>
          <w:szCs w:val="24"/>
        </w:rPr>
      </w:pPr>
      <w:r w:rsidRPr="008B5BE9">
        <w:rPr>
          <w:rFonts w:cs="Times New Roman"/>
          <w:noProof/>
          <w:szCs w:val="24"/>
        </w:rPr>
        <w:t xml:space="preserve">Szklarczyk, D., Gable, A. L., Lyon, D., Junge, A., Wyder, S., Huerta-Cepas, J., et al. (2019). STRING v11: protein–protein association networks with increased coverage, supporting functional discovery in genome-wide experimental datasets. </w:t>
      </w:r>
      <w:r w:rsidRPr="008B5BE9">
        <w:rPr>
          <w:rFonts w:cs="Times New Roman"/>
          <w:i/>
          <w:iCs/>
          <w:noProof/>
          <w:szCs w:val="24"/>
        </w:rPr>
        <w:t>Nucleic Acids Res.</w:t>
      </w:r>
      <w:r w:rsidRPr="008B5BE9">
        <w:rPr>
          <w:rFonts w:cs="Times New Roman"/>
          <w:noProof/>
          <w:szCs w:val="24"/>
        </w:rPr>
        <w:t xml:space="preserve"> 47, D607–D613. doi:10.1093/nar/gky1131.</w:t>
      </w:r>
    </w:p>
    <w:p w14:paraId="6E47FA26" w14:textId="77777777" w:rsidR="008B5BE9" w:rsidRPr="008B5BE9" w:rsidRDefault="008B5BE9" w:rsidP="008B5BE9">
      <w:pPr>
        <w:widowControl w:val="0"/>
        <w:autoSpaceDE w:val="0"/>
        <w:autoSpaceDN w:val="0"/>
        <w:adjustRightInd w:val="0"/>
        <w:spacing w:before="240" w:after="0"/>
        <w:ind w:left="480" w:hanging="480"/>
        <w:rPr>
          <w:rFonts w:cs="Times New Roman"/>
          <w:noProof/>
        </w:rPr>
      </w:pPr>
      <w:r w:rsidRPr="008B5BE9">
        <w:rPr>
          <w:rFonts w:cs="Times New Roman"/>
          <w:noProof/>
          <w:szCs w:val="24"/>
        </w:rPr>
        <w:t xml:space="preserve">Wu, Y.-C., García-Altares, M., Pintó, B., Ribes, M., Hentschel, U., and Pita, L. (2020). Opisthobranch grazing results in mobilisation of spherulous cells and re-allocation of secondary metabolites in the sponge </w:t>
      </w:r>
      <w:r w:rsidRPr="008B5BE9">
        <w:rPr>
          <w:rFonts w:cs="Times New Roman"/>
          <w:i/>
          <w:iCs/>
          <w:noProof/>
          <w:szCs w:val="24"/>
        </w:rPr>
        <w:t>Aplysina aerophoba</w:t>
      </w:r>
      <w:r w:rsidRPr="008B5BE9">
        <w:rPr>
          <w:rFonts w:cs="Times New Roman"/>
          <w:noProof/>
          <w:szCs w:val="24"/>
        </w:rPr>
        <w:t xml:space="preserve">. </w:t>
      </w:r>
      <w:r w:rsidRPr="008B5BE9">
        <w:rPr>
          <w:rFonts w:cs="Times New Roman"/>
          <w:i/>
          <w:iCs/>
          <w:noProof/>
          <w:szCs w:val="24"/>
        </w:rPr>
        <w:t>Sci. Rep.</w:t>
      </w:r>
      <w:r w:rsidRPr="008B5BE9">
        <w:rPr>
          <w:rFonts w:cs="Times New Roman"/>
          <w:noProof/>
          <w:szCs w:val="24"/>
        </w:rPr>
        <w:t xml:space="preserve"> 10, 21934. doi:10.1038/s41598-020-78667-7.</w:t>
      </w:r>
    </w:p>
    <w:p w14:paraId="15799AC2" w14:textId="2D19B627" w:rsidR="008B5BE9" w:rsidRPr="008B5BE9" w:rsidRDefault="008B5BE9" w:rsidP="00727990">
      <w:pPr>
        <w:shd w:val="clear" w:color="auto" w:fill="FFFFFF"/>
        <w:spacing w:before="240" w:after="0"/>
        <w:contextualSpacing/>
        <w:jc w:val="both"/>
        <w:rPr>
          <w:rFonts w:cs="Times New Roman"/>
          <w:b/>
          <w:szCs w:val="24"/>
        </w:rPr>
      </w:pPr>
      <w:r w:rsidRPr="00B455FF">
        <w:rPr>
          <w:rFonts w:cs="Times New Roman"/>
          <w:b/>
          <w:szCs w:val="24"/>
        </w:rPr>
        <w:fldChar w:fldCharType="end"/>
      </w:r>
      <w:r w:rsidRPr="00B455FF">
        <w:rPr>
          <w:rFonts w:cs="Times New Roman"/>
          <w:b/>
          <w:szCs w:val="24"/>
        </w:rPr>
        <w:br w:type="page"/>
      </w:r>
    </w:p>
    <w:p w14:paraId="1830EDB3" w14:textId="77777777" w:rsidR="00727990" w:rsidRPr="00B455FF" w:rsidRDefault="00727990" w:rsidP="00727990">
      <w:pPr>
        <w:shd w:val="clear" w:color="auto" w:fill="FFFFFF"/>
        <w:spacing w:before="240" w:after="0"/>
        <w:contextualSpacing/>
        <w:jc w:val="both"/>
        <w:rPr>
          <w:rFonts w:cs="Times New Roman"/>
          <w:szCs w:val="24"/>
        </w:rPr>
      </w:pPr>
    </w:p>
    <w:p w14:paraId="2DC90A23" w14:textId="77777777" w:rsidR="00727990" w:rsidRPr="001549D3" w:rsidRDefault="00727990" w:rsidP="00727990">
      <w:pPr>
        <w:spacing w:before="240"/>
      </w:pPr>
    </w:p>
    <w:sectPr w:rsidR="00727990" w:rsidRPr="001549D3" w:rsidSect="0093429D">
      <w:headerReference w:type="even" r:id="rId13"/>
      <w:footerReference w:type="even" r:id="rId14"/>
      <w:footerReference w:type="default" r:id="rId15"/>
      <w:headerReference w:type="first" r:id="rId16"/>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E7AD7" w14:textId="77777777" w:rsidR="000E2EC7" w:rsidRDefault="000E2EC7" w:rsidP="00117666">
      <w:pPr>
        <w:spacing w:after="0"/>
      </w:pPr>
      <w:r>
        <w:separator/>
      </w:r>
    </w:p>
  </w:endnote>
  <w:endnote w:type="continuationSeparator" w:id="0">
    <w:p w14:paraId="4C31CC62" w14:textId="77777777" w:rsidR="000E2EC7" w:rsidRDefault="000E2EC7"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3025F" w14:textId="77777777" w:rsidR="00995F6A"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382EAD14" wp14:editId="71B2BC98">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0BC4D33"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2EAD14"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" filled="f" stroked="f" strokeweight=".5pt">
              <v:textbox style="mso-fit-shape-to-text:t">
                <w:txbxContent>
                  <w:p w14:paraId="50BC4D33"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D6A35" w14:textId="77777777" w:rsidR="00995F6A"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70F9F55F" wp14:editId="40473BEB">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70F0D09"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F9F55F"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" filled="f" stroked="f" strokeweight=".5pt">
              <v:textbox style="mso-fit-shape-to-text:t">
                <w:txbxContent>
                  <w:p w14:paraId="570F0D09"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1A6B7" w14:textId="77777777" w:rsidR="000E2EC7" w:rsidRDefault="000E2EC7" w:rsidP="00117666">
      <w:pPr>
        <w:spacing w:after="0"/>
      </w:pPr>
      <w:r>
        <w:separator/>
      </w:r>
    </w:p>
  </w:footnote>
  <w:footnote w:type="continuationSeparator" w:id="0">
    <w:p w14:paraId="2CD26C57" w14:textId="77777777" w:rsidR="000E2EC7" w:rsidRDefault="000E2EC7"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EF00C" w14:textId="77777777" w:rsidR="00995F6A"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D68C6" w14:textId="4400F0FC" w:rsidR="00995F6A" w:rsidRDefault="00C52A7B" w:rsidP="0093429D">
    <w:r w:rsidRPr="007E3148">
      <w:rPr>
        <w:b/>
      </w:rPr>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Ttulo1"/>
      <w:lvlText w:val="%1"/>
      <w:lvlJc w:val="left"/>
      <w:pPr>
        <w:tabs>
          <w:tab w:val="num" w:pos="567"/>
        </w:tabs>
        <w:ind w:left="567" w:hanging="567"/>
      </w:pPr>
      <w:rPr>
        <w:rFonts w:hint="default"/>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567"/>
        </w:tabs>
        <w:ind w:left="567" w:hanging="567"/>
      </w:pPr>
      <w:rPr>
        <w:rFonts w:hint="default"/>
      </w:rPr>
    </w:lvl>
    <w:lvl w:ilvl="3">
      <w:start w:val="1"/>
      <w:numFmt w:val="decimal"/>
      <w:pStyle w:val="Ttulo4"/>
      <w:lvlText w:val="%1.%2.%3.%4"/>
      <w:lvlJc w:val="left"/>
      <w:pPr>
        <w:tabs>
          <w:tab w:val="num" w:pos="567"/>
        </w:tabs>
        <w:ind w:left="567" w:hanging="567"/>
      </w:pPr>
      <w:rPr>
        <w:rFonts w:hint="default"/>
      </w:rPr>
    </w:lvl>
    <w:lvl w:ilvl="4">
      <w:start w:val="1"/>
      <w:numFmt w:val="decimal"/>
      <w:pStyle w:val="Ttulo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Prrafodelista"/>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abstractNumId w:val="0"/>
  </w:num>
  <w:num w:numId="2">
    <w:abstractNumId w:val="4"/>
  </w:num>
  <w:num w:numId="3">
    <w:abstractNumId w:val="1"/>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6"/>
  </w:num>
  <w:num w:numId="9">
    <w:abstractNumId w:val="6"/>
  </w:num>
  <w:num w:numId="10">
    <w:abstractNumId w:val="6"/>
  </w:num>
  <w:num w:numId="11">
    <w:abstractNumId w:val="6"/>
  </w:num>
  <w:num w:numId="12">
    <w:abstractNumId w:val="6"/>
  </w:num>
  <w:num w:numId="13">
    <w:abstractNumId w:val="3"/>
  </w:num>
  <w:num w:numId="14">
    <w:abstractNumId w:val="2"/>
  </w:num>
  <w:num w:numId="15">
    <w:abstractNumId w:val="2"/>
  </w:num>
  <w:num w:numId="16">
    <w:abstractNumId w:val="2"/>
  </w:num>
  <w:num w:numId="17">
    <w:abstractNumId w:val="2"/>
  </w:num>
  <w:num w:numId="18">
    <w:abstractNumId w:val="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trackRevisions/>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0B5"/>
    <w:rsid w:val="0001436A"/>
    <w:rsid w:val="00034304"/>
    <w:rsid w:val="00035434"/>
    <w:rsid w:val="00052A14"/>
    <w:rsid w:val="00077D53"/>
    <w:rsid w:val="000C1600"/>
    <w:rsid w:val="000E2EC7"/>
    <w:rsid w:val="00105FD9"/>
    <w:rsid w:val="00117666"/>
    <w:rsid w:val="001549D3"/>
    <w:rsid w:val="00160065"/>
    <w:rsid w:val="00177D84"/>
    <w:rsid w:val="00267D18"/>
    <w:rsid w:val="00274347"/>
    <w:rsid w:val="002868E2"/>
    <w:rsid w:val="002869C3"/>
    <w:rsid w:val="002936E4"/>
    <w:rsid w:val="002B4A57"/>
    <w:rsid w:val="002C74CA"/>
    <w:rsid w:val="003123F4"/>
    <w:rsid w:val="003544FB"/>
    <w:rsid w:val="003B2BA4"/>
    <w:rsid w:val="003C5469"/>
    <w:rsid w:val="003D2F2D"/>
    <w:rsid w:val="00401590"/>
    <w:rsid w:val="00447801"/>
    <w:rsid w:val="00452E9C"/>
    <w:rsid w:val="004735C8"/>
    <w:rsid w:val="004947A6"/>
    <w:rsid w:val="004961FF"/>
    <w:rsid w:val="004D3799"/>
    <w:rsid w:val="00517A89"/>
    <w:rsid w:val="005250F2"/>
    <w:rsid w:val="00547304"/>
    <w:rsid w:val="00593EEA"/>
    <w:rsid w:val="005A5EEE"/>
    <w:rsid w:val="006375C7"/>
    <w:rsid w:val="00654E8F"/>
    <w:rsid w:val="00660D05"/>
    <w:rsid w:val="006820B1"/>
    <w:rsid w:val="006A069B"/>
    <w:rsid w:val="006B7D14"/>
    <w:rsid w:val="00701727"/>
    <w:rsid w:val="0070566C"/>
    <w:rsid w:val="00714C50"/>
    <w:rsid w:val="00725A7D"/>
    <w:rsid w:val="00727990"/>
    <w:rsid w:val="007501BE"/>
    <w:rsid w:val="00790BB3"/>
    <w:rsid w:val="007C206C"/>
    <w:rsid w:val="008053FC"/>
    <w:rsid w:val="00817DD6"/>
    <w:rsid w:val="0082020A"/>
    <w:rsid w:val="0083759F"/>
    <w:rsid w:val="00885156"/>
    <w:rsid w:val="008B5BE9"/>
    <w:rsid w:val="009151AA"/>
    <w:rsid w:val="0093429D"/>
    <w:rsid w:val="00943573"/>
    <w:rsid w:val="00964134"/>
    <w:rsid w:val="00970F7D"/>
    <w:rsid w:val="00993044"/>
    <w:rsid w:val="00994A3D"/>
    <w:rsid w:val="009C2B12"/>
    <w:rsid w:val="009D09AD"/>
    <w:rsid w:val="00A174D9"/>
    <w:rsid w:val="00A741D8"/>
    <w:rsid w:val="00AA4D24"/>
    <w:rsid w:val="00AB6715"/>
    <w:rsid w:val="00B074F1"/>
    <w:rsid w:val="00B1671E"/>
    <w:rsid w:val="00B25EB8"/>
    <w:rsid w:val="00B37F4D"/>
    <w:rsid w:val="00C2331C"/>
    <w:rsid w:val="00C52A7B"/>
    <w:rsid w:val="00C56BAF"/>
    <w:rsid w:val="00C679AA"/>
    <w:rsid w:val="00C75972"/>
    <w:rsid w:val="00CD066B"/>
    <w:rsid w:val="00CE4FEE"/>
    <w:rsid w:val="00D060CF"/>
    <w:rsid w:val="00DB59C3"/>
    <w:rsid w:val="00DC259A"/>
    <w:rsid w:val="00DE23E8"/>
    <w:rsid w:val="00E23B5E"/>
    <w:rsid w:val="00E267E7"/>
    <w:rsid w:val="00E300EF"/>
    <w:rsid w:val="00E52377"/>
    <w:rsid w:val="00E537AD"/>
    <w:rsid w:val="00E64E17"/>
    <w:rsid w:val="00E866C9"/>
    <w:rsid w:val="00EA3D3C"/>
    <w:rsid w:val="00EC090A"/>
    <w:rsid w:val="00ED20B5"/>
    <w:rsid w:val="00F46900"/>
    <w:rsid w:val="00F61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DB94A"/>
  <w15:docId w15:val="{88748FF8-5D22-488D-A39B-60AD93690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Ttulo1">
    <w:name w:val="heading 1"/>
    <w:basedOn w:val="Prrafodelista"/>
    <w:next w:val="Normal"/>
    <w:link w:val="Ttulo1Car"/>
    <w:uiPriority w:val="2"/>
    <w:qFormat/>
    <w:rsid w:val="00AB6715"/>
    <w:pPr>
      <w:numPr>
        <w:numId w:val="19"/>
      </w:numPr>
      <w:spacing w:before="240"/>
      <w:contextualSpacing w:val="0"/>
      <w:outlineLvl w:val="0"/>
    </w:pPr>
    <w:rPr>
      <w:b/>
    </w:rPr>
  </w:style>
  <w:style w:type="paragraph" w:styleId="Ttulo2">
    <w:name w:val="heading 2"/>
    <w:basedOn w:val="Ttulo1"/>
    <w:next w:val="Normal"/>
    <w:link w:val="Ttulo2Car"/>
    <w:uiPriority w:val="2"/>
    <w:qFormat/>
    <w:rsid w:val="00AB6715"/>
    <w:pPr>
      <w:numPr>
        <w:ilvl w:val="1"/>
      </w:numPr>
      <w:spacing w:after="200"/>
      <w:outlineLvl w:val="1"/>
    </w:pPr>
  </w:style>
  <w:style w:type="paragraph" w:styleId="Ttulo3">
    <w:name w:val="heading 3"/>
    <w:basedOn w:val="Normal"/>
    <w:next w:val="Normal"/>
    <w:link w:val="Ttulo3C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Ttulo4">
    <w:name w:val="heading 4"/>
    <w:basedOn w:val="Ttulo3"/>
    <w:next w:val="Normal"/>
    <w:link w:val="Ttulo4Car"/>
    <w:uiPriority w:val="2"/>
    <w:qFormat/>
    <w:rsid w:val="00AB6715"/>
    <w:pPr>
      <w:numPr>
        <w:ilvl w:val="3"/>
      </w:numPr>
      <w:outlineLvl w:val="3"/>
    </w:pPr>
    <w:rPr>
      <w:iCs/>
    </w:rPr>
  </w:style>
  <w:style w:type="paragraph" w:styleId="Ttulo5">
    <w:name w:val="heading 5"/>
    <w:basedOn w:val="Ttulo4"/>
    <w:next w:val="Normal"/>
    <w:link w:val="Ttulo5Car"/>
    <w:uiPriority w:val="2"/>
    <w:qFormat/>
    <w:rsid w:val="00AB6715"/>
    <w:pPr>
      <w:numPr>
        <w:ilvl w:val="4"/>
      </w:numPr>
      <w:outlineLvl w:val="4"/>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2"/>
    <w:rsid w:val="00AB6715"/>
    <w:rPr>
      <w:rFonts w:ascii="Times New Roman" w:eastAsia="Cambria" w:hAnsi="Times New Roman" w:cs="Times New Roman"/>
      <w:b/>
      <w:sz w:val="24"/>
      <w:szCs w:val="24"/>
    </w:rPr>
  </w:style>
  <w:style w:type="character" w:customStyle="1" w:styleId="Ttulo2Car">
    <w:name w:val="Título 2 Car"/>
    <w:basedOn w:val="Fuentedeprrafopredeter"/>
    <w:link w:val="Ttulo2"/>
    <w:uiPriority w:val="2"/>
    <w:rsid w:val="00AB6715"/>
    <w:rPr>
      <w:rFonts w:ascii="Times New Roman" w:eastAsia="Cambria" w:hAnsi="Times New Roman" w:cs="Times New Roman"/>
      <w:b/>
      <w:sz w:val="24"/>
      <w:szCs w:val="24"/>
    </w:rPr>
  </w:style>
  <w:style w:type="paragraph" w:styleId="Subttulo">
    <w:name w:val="Subtitle"/>
    <w:basedOn w:val="Normal"/>
    <w:next w:val="Normal"/>
    <w:link w:val="SubttuloCar"/>
    <w:uiPriority w:val="99"/>
    <w:unhideWhenUsed/>
    <w:qFormat/>
    <w:rsid w:val="00AB6715"/>
    <w:pPr>
      <w:spacing w:before="240"/>
    </w:pPr>
    <w:rPr>
      <w:rFonts w:cs="Times New Roman"/>
      <w:b/>
      <w:szCs w:val="24"/>
    </w:rPr>
  </w:style>
  <w:style w:type="character" w:customStyle="1" w:styleId="SubttuloCar">
    <w:name w:val="Subtítulo Car"/>
    <w:basedOn w:val="Fuentedeprrafopredeter"/>
    <w:link w:val="Subttulo"/>
    <w:uiPriority w:val="99"/>
    <w:rsid w:val="00AB6715"/>
    <w:rPr>
      <w:rFonts w:ascii="Times New Roman" w:hAnsi="Times New Roman" w:cs="Times New Roman"/>
      <w:b/>
      <w:sz w:val="24"/>
      <w:szCs w:val="24"/>
    </w:rPr>
  </w:style>
  <w:style w:type="paragraph" w:customStyle="1" w:styleId="AuthorList">
    <w:name w:val="Author List"/>
    <w:aliases w:val="Keywords,Abstract"/>
    <w:basedOn w:val="Subttulo"/>
    <w:next w:val="Normal"/>
    <w:uiPriority w:val="1"/>
    <w:qFormat/>
    <w:rsid w:val="00AB6715"/>
  </w:style>
  <w:style w:type="paragraph" w:styleId="Textodeglobo">
    <w:name w:val="Balloon Text"/>
    <w:basedOn w:val="Normal"/>
    <w:link w:val="TextodegloboCar"/>
    <w:uiPriority w:val="99"/>
    <w:semiHidden/>
    <w:unhideWhenUsed/>
    <w:rsid w:val="00AB6715"/>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6715"/>
    <w:rPr>
      <w:rFonts w:ascii="Tahoma" w:hAnsi="Tahoma" w:cs="Tahoma"/>
      <w:sz w:val="16"/>
      <w:szCs w:val="16"/>
    </w:rPr>
  </w:style>
  <w:style w:type="character" w:styleId="Ttulodellibro">
    <w:name w:val="Book Title"/>
    <w:basedOn w:val="Fuentedeprrafopredeter"/>
    <w:uiPriority w:val="33"/>
    <w:qFormat/>
    <w:rsid w:val="00AB6715"/>
    <w:rPr>
      <w:rFonts w:ascii="Times New Roman" w:hAnsi="Times New Roman"/>
      <w:b/>
      <w:bCs/>
      <w:i/>
      <w:iCs/>
      <w:spacing w:val="5"/>
    </w:rPr>
  </w:style>
  <w:style w:type="paragraph" w:styleId="Descripcin">
    <w:name w:val="caption"/>
    <w:basedOn w:val="Normal"/>
    <w:next w:val="Sinespaciado"/>
    <w:uiPriority w:val="35"/>
    <w:unhideWhenUsed/>
    <w:qFormat/>
    <w:rsid w:val="00AB6715"/>
    <w:pPr>
      <w:keepNext/>
    </w:pPr>
    <w:rPr>
      <w:rFonts w:cs="Times New Roman"/>
      <w:b/>
      <w:bCs/>
      <w:szCs w:val="24"/>
    </w:rPr>
  </w:style>
  <w:style w:type="paragraph" w:styleId="Sinespaciado">
    <w:name w:val="No Spacing"/>
    <w:uiPriority w:val="99"/>
    <w:unhideWhenUsed/>
    <w:qFormat/>
    <w:rsid w:val="00AB6715"/>
    <w:pPr>
      <w:spacing w:after="0" w:line="240" w:lineRule="auto"/>
    </w:pPr>
    <w:rPr>
      <w:rFonts w:ascii="Times New Roman" w:hAnsi="Times New Roman"/>
      <w:sz w:val="24"/>
    </w:rPr>
  </w:style>
  <w:style w:type="character" w:styleId="Refdecomentario">
    <w:name w:val="annotation reference"/>
    <w:basedOn w:val="Fuentedeprrafopredeter"/>
    <w:uiPriority w:val="99"/>
    <w:semiHidden/>
    <w:unhideWhenUsed/>
    <w:rsid w:val="00AB6715"/>
    <w:rPr>
      <w:sz w:val="16"/>
      <w:szCs w:val="16"/>
    </w:rPr>
  </w:style>
  <w:style w:type="paragraph" w:styleId="Textocomentario">
    <w:name w:val="annotation text"/>
    <w:basedOn w:val="Normal"/>
    <w:link w:val="TextocomentarioCar"/>
    <w:uiPriority w:val="99"/>
    <w:semiHidden/>
    <w:unhideWhenUsed/>
    <w:rsid w:val="00AB6715"/>
    <w:rPr>
      <w:sz w:val="20"/>
      <w:szCs w:val="20"/>
    </w:rPr>
  </w:style>
  <w:style w:type="character" w:customStyle="1" w:styleId="TextocomentarioCar">
    <w:name w:val="Texto comentario Car"/>
    <w:basedOn w:val="Fuentedeprrafopredeter"/>
    <w:link w:val="Textocomentario"/>
    <w:uiPriority w:val="99"/>
    <w:semiHidden/>
    <w:rsid w:val="00AB6715"/>
    <w:rPr>
      <w:rFonts w:ascii="Times New Roman" w:hAnsi="Times New Roman"/>
      <w:sz w:val="20"/>
      <w:szCs w:val="20"/>
    </w:rPr>
  </w:style>
  <w:style w:type="paragraph" w:styleId="Asuntodelcomentario">
    <w:name w:val="annotation subject"/>
    <w:basedOn w:val="Textocomentario"/>
    <w:next w:val="Textocomentario"/>
    <w:link w:val="AsuntodelcomentarioCar"/>
    <w:uiPriority w:val="99"/>
    <w:semiHidden/>
    <w:unhideWhenUsed/>
    <w:rsid w:val="00AB6715"/>
    <w:rPr>
      <w:b/>
      <w:bCs/>
    </w:rPr>
  </w:style>
  <w:style w:type="character" w:customStyle="1" w:styleId="AsuntodelcomentarioCar">
    <w:name w:val="Asunto del comentario Car"/>
    <w:basedOn w:val="TextocomentarioCar"/>
    <w:link w:val="Asuntodelcomentario"/>
    <w:uiPriority w:val="99"/>
    <w:semiHidden/>
    <w:rsid w:val="00AB6715"/>
    <w:rPr>
      <w:rFonts w:ascii="Times New Roman" w:hAnsi="Times New Roman"/>
      <w:b/>
      <w:bCs/>
      <w:sz w:val="20"/>
      <w:szCs w:val="20"/>
    </w:rPr>
  </w:style>
  <w:style w:type="character" w:styleId="nfasis">
    <w:name w:val="Emphasis"/>
    <w:basedOn w:val="Fuentedeprrafopredeter"/>
    <w:uiPriority w:val="20"/>
    <w:qFormat/>
    <w:rsid w:val="00AB6715"/>
    <w:rPr>
      <w:rFonts w:ascii="Times New Roman" w:hAnsi="Times New Roman"/>
      <w:i/>
      <w:iCs/>
    </w:rPr>
  </w:style>
  <w:style w:type="character" w:styleId="Refdenotaalfinal">
    <w:name w:val="endnote reference"/>
    <w:basedOn w:val="Fuentedeprrafopredeter"/>
    <w:uiPriority w:val="99"/>
    <w:semiHidden/>
    <w:unhideWhenUsed/>
    <w:rsid w:val="00AB6715"/>
    <w:rPr>
      <w:vertAlign w:val="superscript"/>
    </w:rPr>
  </w:style>
  <w:style w:type="paragraph" w:styleId="Textonotaalfinal">
    <w:name w:val="endnote text"/>
    <w:basedOn w:val="Normal"/>
    <w:link w:val="TextonotaalfinalCar"/>
    <w:uiPriority w:val="99"/>
    <w:semiHidden/>
    <w:unhideWhenUsed/>
    <w:rsid w:val="00AB6715"/>
    <w:pPr>
      <w:spacing w:after="0"/>
    </w:pPr>
    <w:rPr>
      <w:sz w:val="20"/>
      <w:szCs w:val="20"/>
    </w:rPr>
  </w:style>
  <w:style w:type="character" w:customStyle="1" w:styleId="TextonotaalfinalCar">
    <w:name w:val="Texto nota al final Car"/>
    <w:basedOn w:val="Fuentedeprrafopredeter"/>
    <w:link w:val="Textonotaalfinal"/>
    <w:uiPriority w:val="99"/>
    <w:semiHidden/>
    <w:rsid w:val="00AB6715"/>
    <w:rPr>
      <w:rFonts w:ascii="Times New Roman" w:hAnsi="Times New Roman"/>
      <w:sz w:val="20"/>
      <w:szCs w:val="20"/>
    </w:rPr>
  </w:style>
  <w:style w:type="character" w:styleId="Hipervnculovisitado">
    <w:name w:val="FollowedHyperlink"/>
    <w:basedOn w:val="Fuentedeprrafopredeter"/>
    <w:uiPriority w:val="99"/>
    <w:semiHidden/>
    <w:unhideWhenUsed/>
    <w:rsid w:val="00AB6715"/>
    <w:rPr>
      <w:color w:val="800080" w:themeColor="followedHyperlink"/>
      <w:u w:val="single"/>
    </w:rPr>
  </w:style>
  <w:style w:type="paragraph" w:styleId="Piedepgina">
    <w:name w:val="footer"/>
    <w:basedOn w:val="Normal"/>
    <w:link w:val="PiedepginaCar"/>
    <w:uiPriority w:val="99"/>
    <w:unhideWhenUsed/>
    <w:rsid w:val="00AB6715"/>
    <w:pPr>
      <w:tabs>
        <w:tab w:val="center" w:pos="4844"/>
        <w:tab w:val="right" w:pos="9689"/>
      </w:tabs>
      <w:spacing w:after="0"/>
    </w:pPr>
  </w:style>
  <w:style w:type="character" w:customStyle="1" w:styleId="PiedepginaCar">
    <w:name w:val="Pie de página Car"/>
    <w:basedOn w:val="Fuentedeprrafopredeter"/>
    <w:link w:val="Piedepgina"/>
    <w:uiPriority w:val="99"/>
    <w:rsid w:val="00AB6715"/>
    <w:rPr>
      <w:rFonts w:ascii="Times New Roman" w:hAnsi="Times New Roman"/>
      <w:sz w:val="24"/>
    </w:rPr>
  </w:style>
  <w:style w:type="character" w:styleId="Refdenotaalpie">
    <w:name w:val="footnote reference"/>
    <w:basedOn w:val="Fuentedeprrafopredeter"/>
    <w:uiPriority w:val="99"/>
    <w:semiHidden/>
    <w:unhideWhenUsed/>
    <w:rsid w:val="00AB6715"/>
    <w:rPr>
      <w:vertAlign w:val="superscript"/>
    </w:rPr>
  </w:style>
  <w:style w:type="paragraph" w:styleId="Textonotapie">
    <w:name w:val="footnote text"/>
    <w:basedOn w:val="Normal"/>
    <w:link w:val="TextonotapieCar"/>
    <w:uiPriority w:val="99"/>
    <w:semiHidden/>
    <w:unhideWhenUsed/>
    <w:rsid w:val="00AB6715"/>
    <w:pPr>
      <w:spacing w:after="0"/>
    </w:pPr>
    <w:rPr>
      <w:sz w:val="20"/>
      <w:szCs w:val="20"/>
    </w:rPr>
  </w:style>
  <w:style w:type="character" w:customStyle="1" w:styleId="TextonotapieCar">
    <w:name w:val="Texto nota pie Car"/>
    <w:basedOn w:val="Fuentedeprrafopredeter"/>
    <w:link w:val="Textonotapie"/>
    <w:uiPriority w:val="99"/>
    <w:semiHidden/>
    <w:rsid w:val="00AB6715"/>
    <w:rPr>
      <w:rFonts w:ascii="Times New Roman" w:hAnsi="Times New Roman"/>
      <w:sz w:val="20"/>
      <w:szCs w:val="20"/>
    </w:rPr>
  </w:style>
  <w:style w:type="paragraph" w:styleId="Encabezado">
    <w:name w:val="header"/>
    <w:basedOn w:val="Normal"/>
    <w:link w:val="EncabezadoCar"/>
    <w:uiPriority w:val="99"/>
    <w:unhideWhenUsed/>
    <w:rsid w:val="00AB6715"/>
    <w:pPr>
      <w:tabs>
        <w:tab w:val="center" w:pos="4844"/>
        <w:tab w:val="right" w:pos="9689"/>
      </w:tabs>
    </w:pPr>
    <w:rPr>
      <w:b/>
    </w:rPr>
  </w:style>
  <w:style w:type="character" w:customStyle="1" w:styleId="EncabezadoCar">
    <w:name w:val="Encabezado Car"/>
    <w:basedOn w:val="Fuentedeprrafopredeter"/>
    <w:link w:val="Encabezado"/>
    <w:uiPriority w:val="99"/>
    <w:rsid w:val="00AB6715"/>
    <w:rPr>
      <w:rFonts w:ascii="Times New Roman" w:hAnsi="Times New Roman"/>
      <w:b/>
      <w:sz w:val="24"/>
    </w:rPr>
  </w:style>
  <w:style w:type="paragraph" w:styleId="Prrafodelista">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ipervnculo">
    <w:name w:val="Hyperlink"/>
    <w:basedOn w:val="Fuentedeprrafopredeter"/>
    <w:uiPriority w:val="99"/>
    <w:unhideWhenUsed/>
    <w:rsid w:val="00AB6715"/>
    <w:rPr>
      <w:color w:val="0000FF"/>
      <w:u w:val="single"/>
    </w:rPr>
  </w:style>
  <w:style w:type="character" w:styleId="nfasisintenso">
    <w:name w:val="Intense Emphasis"/>
    <w:basedOn w:val="Fuentedeprrafopredeter"/>
    <w:uiPriority w:val="21"/>
    <w:unhideWhenUsed/>
    <w:rsid w:val="00AB6715"/>
    <w:rPr>
      <w:rFonts w:ascii="Times New Roman" w:hAnsi="Times New Roman"/>
      <w:i/>
      <w:iCs/>
      <w:color w:val="auto"/>
    </w:rPr>
  </w:style>
  <w:style w:type="character" w:styleId="Referenciaintensa">
    <w:name w:val="Intense Reference"/>
    <w:basedOn w:val="Fuentedeprrafopredeter"/>
    <w:uiPriority w:val="32"/>
    <w:qFormat/>
    <w:rsid w:val="00AB6715"/>
    <w:rPr>
      <w:b/>
      <w:bCs/>
      <w:smallCaps/>
      <w:color w:val="auto"/>
      <w:spacing w:val="5"/>
    </w:rPr>
  </w:style>
  <w:style w:type="character" w:styleId="Nmerodelnea">
    <w:name w:val="line number"/>
    <w:basedOn w:val="Fuentedeprrafopredeter"/>
    <w:uiPriority w:val="99"/>
    <w:semiHidden/>
    <w:unhideWhenUsed/>
    <w:rsid w:val="00AB6715"/>
  </w:style>
  <w:style w:type="character" w:customStyle="1" w:styleId="Ttulo3Car">
    <w:name w:val="Título 3 Car"/>
    <w:basedOn w:val="Fuentedeprrafopredeter"/>
    <w:link w:val="Ttulo3"/>
    <w:uiPriority w:val="2"/>
    <w:rsid w:val="00AB6715"/>
    <w:rPr>
      <w:rFonts w:ascii="Times New Roman" w:eastAsiaTheme="majorEastAsia" w:hAnsi="Times New Roman" w:cstheme="majorBidi"/>
      <w:b/>
      <w:sz w:val="24"/>
      <w:szCs w:val="24"/>
    </w:rPr>
  </w:style>
  <w:style w:type="character" w:customStyle="1" w:styleId="Ttulo4Car">
    <w:name w:val="Título 4 Car"/>
    <w:basedOn w:val="Fuentedeprrafopredeter"/>
    <w:link w:val="Ttulo4"/>
    <w:uiPriority w:val="2"/>
    <w:rsid w:val="00AB6715"/>
    <w:rPr>
      <w:rFonts w:ascii="Times New Roman" w:eastAsiaTheme="majorEastAsia" w:hAnsi="Times New Roman" w:cstheme="majorBidi"/>
      <w:b/>
      <w:iCs/>
      <w:sz w:val="24"/>
      <w:szCs w:val="24"/>
    </w:rPr>
  </w:style>
  <w:style w:type="character" w:customStyle="1" w:styleId="Ttulo5Car">
    <w:name w:val="Título 5 Car"/>
    <w:basedOn w:val="Fuentedeprrafopredeter"/>
    <w:link w:val="Ttulo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Cita">
    <w:name w:val="Quote"/>
    <w:basedOn w:val="Normal"/>
    <w:next w:val="Normal"/>
    <w:link w:val="CitaCar"/>
    <w:uiPriority w:val="29"/>
    <w:qFormat/>
    <w:rsid w:val="00AB6715"/>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B6715"/>
    <w:rPr>
      <w:rFonts w:ascii="Times New Roman" w:hAnsi="Times New Roman"/>
      <w:i/>
      <w:iCs/>
      <w:color w:val="404040" w:themeColor="text1" w:themeTint="BF"/>
      <w:sz w:val="24"/>
    </w:rPr>
  </w:style>
  <w:style w:type="character" w:styleId="Textoennegrita">
    <w:name w:val="Strong"/>
    <w:basedOn w:val="Fuentedeprrafopredeter"/>
    <w:uiPriority w:val="22"/>
    <w:qFormat/>
    <w:rsid w:val="00AB6715"/>
    <w:rPr>
      <w:rFonts w:ascii="Times New Roman" w:hAnsi="Times New Roman"/>
      <w:b/>
      <w:bCs/>
    </w:rPr>
  </w:style>
  <w:style w:type="character" w:styleId="nfasissutil">
    <w:name w:val="Subtle Emphasis"/>
    <w:basedOn w:val="Fuentedeprrafopredeter"/>
    <w:uiPriority w:val="19"/>
    <w:qFormat/>
    <w:rsid w:val="00AB6715"/>
    <w:rPr>
      <w:rFonts w:ascii="Times New Roman" w:hAnsi="Times New Roman"/>
      <w:i/>
      <w:iCs/>
      <w:color w:val="404040" w:themeColor="text1" w:themeTint="BF"/>
    </w:rPr>
  </w:style>
  <w:style w:type="table" w:styleId="Tablaconcuadrcula">
    <w:name w:val="Table Grid"/>
    <w:basedOn w:val="Tablanormal"/>
    <w:uiPriority w:val="3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qFormat/>
    <w:rsid w:val="00AB6715"/>
    <w:pPr>
      <w:suppressLineNumbers/>
      <w:spacing w:before="240" w:after="360"/>
      <w:jc w:val="center"/>
    </w:pPr>
    <w:rPr>
      <w:rFonts w:cs="Times New Roman"/>
      <w:b/>
      <w:sz w:val="32"/>
      <w:szCs w:val="32"/>
    </w:rPr>
  </w:style>
  <w:style w:type="character" w:customStyle="1" w:styleId="TtuloCar">
    <w:name w:val="Título Car"/>
    <w:basedOn w:val="Fuentedeprrafopredeter"/>
    <w:link w:val="Ttulo"/>
    <w:rsid w:val="00AB6715"/>
    <w:rPr>
      <w:rFonts w:ascii="Times New Roman" w:hAnsi="Times New Roman" w:cs="Times New Roman"/>
      <w:b/>
      <w:sz w:val="32"/>
      <w:szCs w:val="32"/>
    </w:rPr>
  </w:style>
  <w:style w:type="paragraph" w:customStyle="1" w:styleId="SupplementaryMaterial">
    <w:name w:val="Supplementary Material"/>
    <w:basedOn w:val="Ttulo"/>
    <w:next w:val="Ttulo"/>
    <w:qFormat/>
    <w:rsid w:val="0001436A"/>
    <w:pPr>
      <w:spacing w:after="12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0455E34-DEC4-4EBE-8AE5-CD6FEF81F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Supplementary_Material</Template>
  <TotalTime>94</TotalTime>
  <Pages>1</Pages>
  <Words>4847</Words>
  <Characters>26663</Characters>
  <Application>Microsoft Office Word</Application>
  <DocSecurity>0</DocSecurity>
  <Lines>222</Lines>
  <Paragraphs>62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Frontiers Media SA</dc:creator>
  <cp:lastModifiedBy>Lucía Pita</cp:lastModifiedBy>
  <cp:revision>16</cp:revision>
  <cp:lastPrinted>2013-10-03T12:51:00Z</cp:lastPrinted>
  <dcterms:created xsi:type="dcterms:W3CDTF">2018-11-23T08:58:00Z</dcterms:created>
  <dcterms:modified xsi:type="dcterms:W3CDTF">2021-11-22T12:19:00Z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http://www.zotero.org/styles/harvard1</vt:lpwstr>
  </property>
  <property fmtid="{D5CDD505-2E9C-101B-9397-08002B2CF9AE}" pid="7" name="Mendeley Recent Style Name 2_1">
    <vt:lpwstr>Harvard reference format 1 (deprecated)</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http://www.zotero.org/styles/limnology-and-oceanography</vt:lpwstr>
  </property>
  <property fmtid="{D5CDD505-2E9C-101B-9397-08002B2CF9AE}" pid="11" name="Mendeley Recent Style Name 4_1">
    <vt:lpwstr>Limnology and Oceanography</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http://www.zotero.org/styles/proceedings-of-the-royal-society-b</vt:lpwstr>
  </property>
  <property fmtid="{D5CDD505-2E9C-101B-9397-08002B2CF9AE}" pid="19" name="Mendeley Recent Style Name 8_1">
    <vt:lpwstr>Proceedings of the Royal Society B</vt:lpwstr>
  </property>
  <property fmtid="{D5CDD505-2E9C-101B-9397-08002B2CF9AE}" pid="20" name="Mendeley Recent Style Id 9_1">
    <vt:lpwstr>http://www.zotero.org/styles/scientific-reports</vt:lpwstr>
  </property>
  <property fmtid="{D5CDD505-2E9C-101B-9397-08002B2CF9AE}" pid="21" name="Mendeley Recent Style Name 9_1">
    <vt:lpwstr>Scientific Reports</vt:lpwstr>
  </property>
  <property fmtid="{D5CDD505-2E9C-101B-9397-08002B2CF9AE}" pid="22" name="Mendeley Document_1">
    <vt:lpwstr>True</vt:lpwstr>
  </property>
  <property fmtid="{D5CDD505-2E9C-101B-9397-08002B2CF9AE}" pid="23" name="Mendeley Citation Style_1">
    <vt:lpwstr>http://www.zotero.org/styles/frontiers</vt:lpwstr>
  </property>
  <property fmtid="{D5CDD505-2E9C-101B-9397-08002B2CF9AE}" pid="24" name="Mendeley Unique User Id_1">
    <vt:lpwstr>f3336f84-b178-3d44-93b9-2da735efa3b3</vt:lpwstr>
  </property>
</Properties>
</file>