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2C7F" w:rsidRPr="002C2591" w:rsidRDefault="001F5453" w:rsidP="00A35C91">
      <w:pPr>
        <w:autoSpaceDE w:val="0"/>
        <w:autoSpaceDN w:val="0"/>
        <w:adjustRightInd w:val="0"/>
        <w:spacing w:after="0" w:line="48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val="en-GB"/>
        </w:rPr>
      </w:pPr>
      <w:r w:rsidRPr="002C2591">
        <w:rPr>
          <w:rFonts w:ascii="Arial" w:hAnsi="Arial" w:cs="Arial"/>
          <w:b/>
          <w:bCs/>
          <w:sz w:val="28"/>
          <w:szCs w:val="28"/>
          <w:lang w:val="en-GB"/>
        </w:rPr>
        <w:t>Supplemental Materials</w:t>
      </w:r>
    </w:p>
    <w:p w:rsidR="001040B5" w:rsidRPr="002C2591" w:rsidRDefault="00687AAD" w:rsidP="00697652">
      <w:pPr>
        <w:pStyle w:val="Bibliography"/>
        <w:rPr>
          <w:rFonts w:ascii="Arial" w:hAnsi="Arial" w:cs="Arial"/>
        </w:rPr>
      </w:pPr>
      <w:r w:rsidRPr="002C2591">
        <w:rPr>
          <w:rFonts w:ascii="Arial" w:hAnsi="Arial" w:cs="Arial"/>
          <w:lang w:val="en-US"/>
        </w:rPr>
        <w:fldChar w:fldCharType="begin"/>
      </w:r>
      <w:r w:rsidR="001F5453" w:rsidRPr="002C2591">
        <w:rPr>
          <w:rFonts w:ascii="Arial" w:hAnsi="Arial" w:cs="Arial"/>
          <w:lang w:val="en-US"/>
        </w:rPr>
        <w:instrText xml:space="preserve"> ADDIN ZOTERO_BIBL {"uncited":[],"omitted":[],"custom":[]} CSL_BIBLIOGRAPHY </w:instrText>
      </w:r>
      <w:r w:rsidRPr="002C2591">
        <w:rPr>
          <w:rFonts w:ascii="Arial" w:hAnsi="Arial" w:cs="Arial"/>
          <w:lang w:val="en-US"/>
        </w:rPr>
        <w:fldChar w:fldCharType="separate"/>
      </w:r>
    </w:p>
    <w:p w:rsidR="002212CD" w:rsidRPr="002C2591" w:rsidRDefault="001F5453" w:rsidP="00DA065B">
      <w:pPr>
        <w:jc w:val="center"/>
        <w:rPr>
          <w:rFonts w:ascii="Arial" w:hAnsi="Arial" w:cs="Arial"/>
          <w:b/>
          <w:sz w:val="28"/>
          <w:szCs w:val="28"/>
        </w:rPr>
      </w:pPr>
      <w:r w:rsidRPr="002C2591">
        <w:rPr>
          <w:rFonts w:ascii="Arial" w:hAnsi="Arial" w:cs="Arial"/>
          <w:b/>
          <w:sz w:val="28"/>
          <w:szCs w:val="28"/>
        </w:rPr>
        <w:t>Supplemental Figures</w:t>
      </w:r>
    </w:p>
    <w:p w:rsidR="002212CD" w:rsidRPr="002C2591" w:rsidRDefault="00687AAD" w:rsidP="002212CD">
      <w:pPr>
        <w:jc w:val="center"/>
      </w:pPr>
      <w:r w:rsidRPr="002C2591">
        <w:rPr>
          <w:rFonts w:ascii="Arial" w:hAnsi="Arial" w:cs="Arial"/>
          <w:sz w:val="24"/>
          <w:szCs w:val="24"/>
          <w:lang w:val="en-US"/>
        </w:rPr>
        <w:fldChar w:fldCharType="end"/>
      </w:r>
      <w:r w:rsidR="001F5453" w:rsidRPr="002C2591">
        <w:rPr>
          <w:rFonts w:ascii="Arial" w:hAnsi="Arial" w:cs="Arial"/>
          <w:bCs/>
          <w:noProof/>
          <w:sz w:val="24"/>
          <w:szCs w:val="24"/>
          <w:lang w:val="en-IN" w:eastAsia="en-IN"/>
        </w:rPr>
        <w:drawing>
          <wp:inline distT="0" distB="0" distL="0" distR="0">
            <wp:extent cx="3987800" cy="4072646"/>
            <wp:effectExtent l="0" t="0" r="0" b="444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397095" name="Imag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959" cy="4076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2CD" w:rsidRPr="002C2591" w:rsidRDefault="001F5453" w:rsidP="00DA065B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2C2591">
        <w:rPr>
          <w:rFonts w:ascii="Arial" w:hAnsi="Arial" w:cs="Arial"/>
          <w:b/>
          <w:bCs/>
          <w:sz w:val="24"/>
          <w:szCs w:val="24"/>
          <w:lang w:val="en-US"/>
        </w:rPr>
        <w:t xml:space="preserve">Fig. supp 1: Liraglutide </w:t>
      </w:r>
      <w:r w:rsidR="00DA065B" w:rsidRPr="002C2591">
        <w:rPr>
          <w:rFonts w:ascii="Arial" w:hAnsi="Arial" w:cs="Arial"/>
          <w:b/>
          <w:bCs/>
          <w:sz w:val="24"/>
          <w:szCs w:val="24"/>
          <w:lang w:val="en-US"/>
        </w:rPr>
        <w:t>did not significantly affect the</w:t>
      </w:r>
      <w:r w:rsidRPr="002C2591">
        <w:rPr>
          <w:rFonts w:ascii="Arial" w:hAnsi="Arial" w:cs="Arial"/>
          <w:b/>
          <w:bCs/>
          <w:sz w:val="24"/>
          <w:szCs w:val="24"/>
          <w:lang w:val="en-US"/>
        </w:rPr>
        <w:t xml:space="preserve"> body weight </w:t>
      </w:r>
      <w:r w:rsidR="00DA065B" w:rsidRPr="002C2591">
        <w:rPr>
          <w:rFonts w:ascii="Arial" w:hAnsi="Arial" w:cs="Arial"/>
          <w:b/>
          <w:bCs/>
          <w:sz w:val="24"/>
          <w:szCs w:val="24"/>
          <w:lang w:val="en-US"/>
        </w:rPr>
        <w:t xml:space="preserve">of </w:t>
      </w:r>
      <w:r w:rsidRPr="002C2591">
        <w:rPr>
          <w:rFonts w:ascii="Arial" w:hAnsi="Arial" w:cs="Arial"/>
          <w:b/>
          <w:bCs/>
          <w:sz w:val="24"/>
          <w:szCs w:val="24"/>
          <w:lang w:val="en-US"/>
        </w:rPr>
        <w:t xml:space="preserve">MIA mice model of OA. </w:t>
      </w:r>
    </w:p>
    <w:p w:rsidR="002212CD" w:rsidRPr="002C2591" w:rsidRDefault="001F5453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2C2591">
        <w:rPr>
          <w:rFonts w:ascii="Arial" w:hAnsi="Arial" w:cs="Arial"/>
          <w:sz w:val="24"/>
          <w:szCs w:val="24"/>
          <w:lang w:val="en-US"/>
        </w:rPr>
        <w:t xml:space="preserve">Mice knee joints were IA injected with </w:t>
      </w:r>
      <w:r w:rsidR="00DA065B" w:rsidRPr="002C2591">
        <w:rPr>
          <w:rFonts w:ascii="Arial" w:hAnsi="Arial" w:cs="Arial"/>
          <w:sz w:val="24"/>
          <w:szCs w:val="24"/>
          <w:lang w:val="en-US"/>
        </w:rPr>
        <w:t xml:space="preserve">0.75 mg of </w:t>
      </w:r>
      <w:r w:rsidRPr="002C2591">
        <w:rPr>
          <w:rFonts w:ascii="Arial" w:hAnsi="Arial" w:cs="Arial"/>
          <w:sz w:val="24"/>
          <w:szCs w:val="24"/>
          <w:lang w:val="en-US"/>
        </w:rPr>
        <w:t xml:space="preserve">MIA or saline on day 1. For short-term study (a), </w:t>
      </w:r>
      <w:r w:rsidR="00A35C91" w:rsidRPr="002C2591">
        <w:rPr>
          <w:rFonts w:ascii="Arial" w:hAnsi="Arial" w:cs="Arial"/>
          <w:sz w:val="24"/>
          <w:szCs w:val="24"/>
          <w:lang w:val="en-US"/>
        </w:rPr>
        <w:t>at day 3 (</w:t>
      </w:r>
      <w:r w:rsidRPr="002C2591">
        <w:rPr>
          <w:rFonts w:ascii="Arial" w:hAnsi="Arial" w:cs="Arial"/>
          <w:sz w:val="24"/>
          <w:szCs w:val="24"/>
          <w:lang w:val="en-US"/>
        </w:rPr>
        <w:t>two days after OA induction</w:t>
      </w:r>
      <w:r w:rsidR="00A35C91" w:rsidRPr="002C2591">
        <w:rPr>
          <w:rFonts w:ascii="Arial" w:hAnsi="Arial" w:cs="Arial"/>
          <w:sz w:val="24"/>
          <w:szCs w:val="24"/>
          <w:lang w:val="en-US"/>
        </w:rPr>
        <w:t>)</w:t>
      </w:r>
      <w:r w:rsidRPr="002C2591">
        <w:rPr>
          <w:rFonts w:ascii="Arial" w:hAnsi="Arial" w:cs="Arial"/>
          <w:sz w:val="24"/>
          <w:szCs w:val="24"/>
          <w:lang w:val="en-US"/>
        </w:rPr>
        <w:t>, treatments (liraglutide, dexamethasone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, or vehicle) were </w:t>
      </w:r>
      <w:r w:rsidR="00DA065B" w:rsidRPr="002C2591">
        <w:rPr>
          <w:rFonts w:ascii="Arial" w:eastAsia="Calibri" w:hAnsi="Arial" w:cs="Arial"/>
          <w:sz w:val="24"/>
          <w:szCs w:val="24"/>
          <w:lang w:val="en-US"/>
        </w:rPr>
        <w:t xml:space="preserve">IA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injected. For the long-term study (b), </w:t>
      </w:r>
      <w:r w:rsidR="00A35C91" w:rsidRPr="002C2591">
        <w:rPr>
          <w:rFonts w:ascii="Arial" w:hAnsi="Arial" w:cs="Arial"/>
          <w:sz w:val="24"/>
          <w:szCs w:val="24"/>
          <w:lang w:val="en-US"/>
        </w:rPr>
        <w:t xml:space="preserve">IA </w:t>
      </w:r>
      <w:r w:rsidRPr="002C2591">
        <w:rPr>
          <w:rFonts w:ascii="Arial" w:hAnsi="Arial" w:cs="Arial"/>
          <w:sz w:val="24"/>
          <w:szCs w:val="24"/>
          <w:lang w:val="en-US"/>
        </w:rPr>
        <w:t>treatments were administered on day 8, 15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, and 22. (a) Mean body weight of mice in the </w:t>
      </w:r>
      <w:r w:rsidRPr="002C2591">
        <w:rPr>
          <w:rFonts w:ascii="Arial" w:hAnsi="Arial" w:cs="Arial"/>
          <w:sz w:val="24"/>
          <w:szCs w:val="24"/>
          <w:lang w:val="en-US"/>
        </w:rPr>
        <w:t xml:space="preserve">treatment groups on days 1, 3, 8,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>and 11 (n</w:t>
      </w:r>
      <w:r w:rsidR="00DA065B" w:rsidRPr="002C259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>=</w:t>
      </w:r>
      <w:r w:rsidR="00DA065B" w:rsidRPr="002C259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15-19 per group). (b) Mean body weight of mice in the indicated </w:t>
      </w:r>
      <w:r w:rsidRPr="002C2591">
        <w:rPr>
          <w:rFonts w:ascii="Arial" w:hAnsi="Arial" w:cs="Arial"/>
          <w:sz w:val="24"/>
          <w:szCs w:val="24"/>
          <w:lang w:val="en-US"/>
        </w:rPr>
        <w:t>treatment groups on days 1, 3, 7, 10, 14, 20, 24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>, and 28 (n</w:t>
      </w:r>
      <w:r w:rsidR="00DA065B" w:rsidRPr="002C259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>=</w:t>
      </w:r>
      <w:r w:rsidR="00DA065B" w:rsidRPr="002C2591">
        <w:rPr>
          <w:rFonts w:ascii="Arial" w:eastAsia="Calibri" w:hAnsi="Arial" w:cs="Arial"/>
          <w:sz w:val="24"/>
          <w:szCs w:val="24"/>
          <w:lang w:val="en-US"/>
        </w:rPr>
        <w:t xml:space="preserve">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9-10 per group). Arrows indicate the treatment with IA administration.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lastRenderedPageBreak/>
        <w:t xml:space="preserve">Statistical analysis: Mean ± SEM, </w:t>
      </w:r>
      <w:r w:rsidRPr="002C2591">
        <w:rPr>
          <w:rFonts w:ascii="Arial" w:hAnsi="Arial" w:cs="Arial"/>
          <w:sz w:val="24"/>
          <w:szCs w:val="24"/>
          <w:lang w:val="en-US"/>
        </w:rPr>
        <w:t>two-way ANOVA test, no statistical differences between groups.</w:t>
      </w:r>
    </w:p>
    <w:p w:rsidR="002212CD" w:rsidRPr="002C2591" w:rsidRDefault="001F5453" w:rsidP="002212CD">
      <w:pPr>
        <w:rPr>
          <w:lang w:val="en-US"/>
        </w:rPr>
      </w:pPr>
      <w:r w:rsidRPr="002C2591">
        <w:rPr>
          <w:noProof/>
          <w:lang w:val="en-IN" w:eastAsia="en-IN"/>
        </w:rPr>
        <w:drawing>
          <wp:inline distT="0" distB="0" distL="0" distR="0">
            <wp:extent cx="5759450" cy="3975406"/>
            <wp:effectExtent l="0" t="0" r="0" b="635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6821397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068" b="28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21" cy="3978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212CD" w:rsidRPr="002C2591" w:rsidRDefault="001F5453" w:rsidP="006266E5">
      <w:pPr>
        <w:spacing w:line="48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2C2591">
        <w:rPr>
          <w:rFonts w:ascii="Arial" w:hAnsi="Arial" w:cs="Arial"/>
          <w:b/>
          <w:sz w:val="24"/>
          <w:szCs w:val="24"/>
          <w:lang w:val="en-US"/>
        </w:rPr>
        <w:t>Fig. supp 2: Expression of GLP-1 receptor in murine chondrocytes and macrophages.</w:t>
      </w:r>
      <w:r w:rsidRPr="002C2591">
        <w:rPr>
          <w:rFonts w:ascii="Arial" w:hAnsi="Arial" w:cs="Arial"/>
          <w:bCs/>
          <w:sz w:val="24"/>
          <w:szCs w:val="24"/>
          <w:lang w:val="en-US"/>
        </w:rPr>
        <w:t xml:space="preserve"> </w:t>
      </w:r>
    </w:p>
    <w:p w:rsidR="002212CD" w:rsidRPr="002C2591" w:rsidRDefault="001F5453" w:rsidP="006266E5">
      <w:pPr>
        <w:spacing w:line="48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2C2591">
        <w:rPr>
          <w:rFonts w:ascii="Arial" w:hAnsi="Arial" w:cs="Arial"/>
          <w:sz w:val="24"/>
          <w:szCs w:val="24"/>
          <w:lang w:val="en-US"/>
        </w:rPr>
        <w:t xml:space="preserve">Immunofluorescence staining </w:t>
      </w:r>
      <w:r w:rsidR="00DA065B" w:rsidRPr="002C2591">
        <w:rPr>
          <w:rFonts w:ascii="Arial" w:hAnsi="Arial" w:cs="Arial"/>
          <w:sz w:val="24"/>
          <w:szCs w:val="24"/>
          <w:lang w:val="en-US"/>
        </w:rPr>
        <w:t xml:space="preserve">for </w:t>
      </w:r>
      <w:r w:rsidRPr="002C2591">
        <w:rPr>
          <w:rFonts w:ascii="Arial" w:hAnsi="Arial" w:cs="Arial"/>
          <w:sz w:val="24"/>
          <w:szCs w:val="24"/>
          <w:lang w:val="en-US"/>
        </w:rPr>
        <w:t>GLP-1R was performed on murine primary chondrocytes and murine macrophage RAW 264.7</w:t>
      </w:r>
      <w:r w:rsidR="00DA065B" w:rsidRPr="002C2591">
        <w:rPr>
          <w:rFonts w:ascii="Arial" w:hAnsi="Arial" w:cs="Arial"/>
          <w:sz w:val="24"/>
          <w:szCs w:val="24"/>
          <w:lang w:val="en-US"/>
        </w:rPr>
        <w:t xml:space="preserve"> cells</w:t>
      </w:r>
      <w:r w:rsidRPr="002C2591">
        <w:rPr>
          <w:rFonts w:ascii="Arial" w:hAnsi="Arial" w:cs="Arial"/>
          <w:sz w:val="24"/>
          <w:szCs w:val="24"/>
          <w:lang w:val="en-US"/>
        </w:rPr>
        <w:t xml:space="preserve">.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 xml:space="preserve">The </w:t>
      </w:r>
      <w:r w:rsidRPr="002C2591">
        <w:rPr>
          <w:rFonts w:ascii="Arial" w:hAnsi="Arial" w:cs="Arial"/>
          <w:sz w:val="24"/>
          <w:szCs w:val="24"/>
          <w:lang w:val="en-US"/>
        </w:rPr>
        <w:t xml:space="preserve">control was performed without </w:t>
      </w:r>
      <w:r w:rsidRPr="002C2591">
        <w:rPr>
          <w:rFonts w:ascii="Arial" w:eastAsia="Calibri" w:hAnsi="Arial" w:cs="Arial"/>
          <w:sz w:val="24"/>
          <w:szCs w:val="24"/>
          <w:lang w:val="en-US"/>
        </w:rPr>
        <w:t>incubation with primary antibody</w:t>
      </w:r>
      <w:r w:rsidRPr="002C2591">
        <w:rPr>
          <w:rFonts w:ascii="Arial" w:hAnsi="Arial" w:cs="Arial"/>
          <w:sz w:val="24"/>
          <w:szCs w:val="24"/>
          <w:lang w:val="en-US"/>
        </w:rPr>
        <w:t>. Representative field of immunofluorescence staining of GLP-1R (green) and nuclei labeled with DAPI (blue) (scale bar = 10 µm).</w:t>
      </w:r>
    </w:p>
    <w:p w:rsidR="002212CD" w:rsidRPr="002C2591" w:rsidRDefault="002212CD" w:rsidP="002212CD">
      <w:pPr>
        <w:rPr>
          <w:lang w:val="en-US"/>
        </w:rPr>
      </w:pPr>
    </w:p>
    <w:p w:rsidR="002212CD" w:rsidRPr="002C2591" w:rsidRDefault="002212CD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315BB0" w:rsidRPr="002C2591" w:rsidRDefault="00315BB0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315BB0" w:rsidRPr="002C2591" w:rsidRDefault="00315BB0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</w:p>
    <w:p w:rsidR="00315BB0" w:rsidRPr="002C2591" w:rsidRDefault="00315BB0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</w:p>
    <w:p w:rsidR="00A35C91" w:rsidRPr="002C2591" w:rsidRDefault="00A35C91" w:rsidP="002212CD">
      <w:pPr>
        <w:autoSpaceDE w:val="0"/>
        <w:autoSpaceDN w:val="0"/>
        <w:adjustRightInd w:val="0"/>
        <w:spacing w:after="0" w:line="480" w:lineRule="auto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</w:p>
    <w:p w:rsidR="002212CD" w:rsidRPr="002C2591" w:rsidRDefault="001F5453" w:rsidP="006266E5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2C2591">
        <w:rPr>
          <w:rFonts w:ascii="Arial" w:hAnsi="Arial" w:cs="Arial"/>
          <w:b/>
          <w:sz w:val="24"/>
          <w:szCs w:val="24"/>
          <w:lang w:val="en-US"/>
        </w:rPr>
        <w:t>Supplementa</w:t>
      </w:r>
      <w:r w:rsidR="00DA065B" w:rsidRPr="002C2591">
        <w:rPr>
          <w:rFonts w:ascii="Arial" w:hAnsi="Arial" w:cs="Arial"/>
          <w:b/>
          <w:sz w:val="24"/>
          <w:szCs w:val="24"/>
          <w:lang w:val="en-US"/>
        </w:rPr>
        <w:t>ry</w:t>
      </w:r>
      <w:r w:rsidRPr="002C2591">
        <w:rPr>
          <w:rFonts w:ascii="Arial" w:hAnsi="Arial" w:cs="Arial"/>
          <w:b/>
          <w:sz w:val="24"/>
          <w:szCs w:val="24"/>
          <w:lang w:val="en-US"/>
        </w:rPr>
        <w:t xml:space="preserve"> Tabl</w:t>
      </w:r>
      <w:bookmarkStart w:id="0" w:name="_GoBack"/>
      <w:bookmarkEnd w:id="0"/>
      <w:r w:rsidRPr="002C2591">
        <w:rPr>
          <w:rFonts w:ascii="Arial" w:hAnsi="Arial" w:cs="Arial"/>
          <w:b/>
          <w:sz w:val="24"/>
          <w:szCs w:val="24"/>
          <w:lang w:val="en-US"/>
        </w:rPr>
        <w:t>e 1: List of primers used in RT-qPCR for inflammation and catabolic genes.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3827"/>
        <w:gridCol w:w="3859"/>
      </w:tblGrid>
      <w:tr w:rsidR="00E8675D" w:rsidRPr="002C2591" w:rsidTr="005A4270">
        <w:tc>
          <w:tcPr>
            <w:tcW w:w="1526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b/>
                <w:bCs/>
              </w:rPr>
              <w:t>Genes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b/>
                <w:bCs/>
              </w:rPr>
              <w:t>Forward primer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b/>
                <w:bCs/>
              </w:rPr>
              <w:t>Reverse primer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INos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AAG-GTG-AGC-TGA-ACG-AGG-AG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GGA-GCC-TTT-AGA-CCT-CAA-CAG-A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Cox2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GCA-TTC-TTT-GCC-CAG-CAC-TT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AGA-CCA-GGC-ACC-GAC-CAA-AGA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Tnf-</w:t>
            </w:r>
            <w:r w:rsidRPr="002C2591">
              <w:rPr>
                <w:rFonts w:cstheme="minorHAnsi"/>
                <w:i/>
                <w:iCs/>
              </w:rPr>
              <w:t>α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CAA-GGA-CTC-AAA-TGG-GCT-TTC-CG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TCT-GTC-AGG-AAG-GCT-GTG-CAT-TG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Il-6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GTC-ACA-GAA-GGA-GTG-GCT-A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AGA-GAA-CAA-CAT-AAG-TCA-GAT-ACC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Mcp-1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CAT-CCA-CGT-GTT-GGC-TCA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GAT-CAT-CTT-GCT-GGT-GAA-TGA-GT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Cd38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AAG-ATG-TTC-ACC-CTG-GAG-GA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ACT-CCA-ATG-TGG-GCA-AGA-GA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Erg-2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t>CTA-CCC-GGT-GGA-AGA-CCT-C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AAT-GTT-GAT-CAT-GCC-ATC-TCC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Adamts4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GGA-GGC-AGT-GAT-GTC-TTG-GTG-AAT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TCA-TCC-CTT-ACT-CCC-TGA-AGG-CA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Adamts5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ACT-CTT-GGC-CCC-ACT-GTA-TAA-GTC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TGT-ACG-GTC-CCA-TGT-TTC-AGT-G</w:t>
            </w:r>
          </w:p>
        </w:tc>
      </w:tr>
      <w:tr w:rsidR="00E8675D" w:rsidRPr="002C2591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Mmp-3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TGA-AAA-TGA-AGG-GTC-TTC-CGG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GCA-GAA-GCT-CCA-TAC-CAG-CA</w:t>
            </w:r>
          </w:p>
        </w:tc>
      </w:tr>
      <w:tr w:rsidR="00E8675D" w:rsidRPr="00D508FC" w:rsidTr="00D508FC">
        <w:tc>
          <w:tcPr>
            <w:tcW w:w="1526" w:type="dxa"/>
            <w:shd w:val="clear" w:color="auto" w:fill="auto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after="160" w:line="480" w:lineRule="auto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2C2591">
              <w:rPr>
                <w:i/>
                <w:iCs/>
              </w:rPr>
              <w:t>Mmp-13</w:t>
            </w:r>
          </w:p>
        </w:tc>
        <w:tc>
          <w:tcPr>
            <w:tcW w:w="3827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GAT-GGC-ACT-GCT-GAC-ATC-AT</w:t>
            </w:r>
          </w:p>
        </w:tc>
        <w:tc>
          <w:tcPr>
            <w:tcW w:w="3859" w:type="dxa"/>
          </w:tcPr>
          <w:p w:rsidR="002212CD" w:rsidRPr="002C2591" w:rsidRDefault="001F5453" w:rsidP="005A4270">
            <w:pPr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C2591">
              <w:rPr>
                <w:lang w:val="en-US"/>
              </w:rPr>
              <w:t>TGT-AGC-CTT-TGG-AAC-TGC-TT</w:t>
            </w:r>
          </w:p>
        </w:tc>
      </w:tr>
    </w:tbl>
    <w:p w:rsidR="002212CD" w:rsidRPr="00502A45" w:rsidRDefault="002212CD" w:rsidP="002212CD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:rsidR="002212CD" w:rsidRPr="001076FA" w:rsidRDefault="002212CD" w:rsidP="002212CD">
      <w:pPr>
        <w:rPr>
          <w:lang w:val="en-US"/>
        </w:rPr>
      </w:pPr>
    </w:p>
    <w:p w:rsidR="006D4CDB" w:rsidRPr="006D4CDB" w:rsidRDefault="006D4CDB" w:rsidP="006D4CDB">
      <w:pPr>
        <w:rPr>
          <w:lang w:val="en-US"/>
        </w:rPr>
      </w:pPr>
    </w:p>
    <w:sectPr w:rsidR="006D4CDB" w:rsidRPr="006D4CDB" w:rsidSect="002C259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025F" w:rsidRDefault="00F7025F">
      <w:pPr>
        <w:spacing w:after="0" w:line="240" w:lineRule="auto"/>
      </w:pPr>
      <w:r>
        <w:separator/>
      </w:r>
    </w:p>
  </w:endnote>
  <w:endnote w:type="continuationSeparator" w:id="0">
    <w:p w:rsidR="00F7025F" w:rsidRDefault="00F70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61978"/>
      <w:docPartObj>
        <w:docPartGallery w:val="Page Numbers (Bottom of Page)"/>
        <w:docPartUnique/>
      </w:docPartObj>
    </w:sdtPr>
    <w:sdtEndPr/>
    <w:sdtContent>
      <w:p w:rsidR="00D22E3D" w:rsidRDefault="00687AAD">
        <w:pPr>
          <w:pStyle w:val="Footer"/>
          <w:jc w:val="center"/>
        </w:pPr>
        <w:r>
          <w:fldChar w:fldCharType="begin"/>
        </w:r>
        <w:r w:rsidR="00873916">
          <w:instrText xml:space="preserve"> PAGE   \* MERGEFORMAT </w:instrText>
        </w:r>
        <w:r>
          <w:fldChar w:fldCharType="separate"/>
        </w:r>
        <w:r w:rsidR="002C259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22E3D" w:rsidRDefault="00D22E3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025F" w:rsidRDefault="00F7025F">
      <w:pPr>
        <w:spacing w:after="0" w:line="240" w:lineRule="auto"/>
      </w:pPr>
      <w:r>
        <w:separator/>
      </w:r>
    </w:p>
  </w:footnote>
  <w:footnote w:type="continuationSeparator" w:id="0">
    <w:p w:rsidR="00F7025F" w:rsidRDefault="00F702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yMDAysrQ0MgaSJkbGZko6SsGpxcWZ+XkgBYa1AFLpX6EsAAAA"/>
  </w:docVars>
  <w:rsids>
    <w:rsidRoot w:val="00997025"/>
    <w:rsid w:val="0003329A"/>
    <w:rsid w:val="000E3D62"/>
    <w:rsid w:val="001040B5"/>
    <w:rsid w:val="001076FA"/>
    <w:rsid w:val="00181934"/>
    <w:rsid w:val="001D1B85"/>
    <w:rsid w:val="001F5453"/>
    <w:rsid w:val="00202C3B"/>
    <w:rsid w:val="002212CD"/>
    <w:rsid w:val="002C2591"/>
    <w:rsid w:val="002C4855"/>
    <w:rsid w:val="002C60B1"/>
    <w:rsid w:val="002D054F"/>
    <w:rsid w:val="00315BB0"/>
    <w:rsid w:val="003642A6"/>
    <w:rsid w:val="003704CC"/>
    <w:rsid w:val="003709B7"/>
    <w:rsid w:val="00472832"/>
    <w:rsid w:val="004963A2"/>
    <w:rsid w:val="00502A45"/>
    <w:rsid w:val="00533879"/>
    <w:rsid w:val="00536B21"/>
    <w:rsid w:val="005A33E8"/>
    <w:rsid w:val="005A4270"/>
    <w:rsid w:val="005B6E63"/>
    <w:rsid w:val="00611C4B"/>
    <w:rsid w:val="006266E5"/>
    <w:rsid w:val="00655870"/>
    <w:rsid w:val="00687AAD"/>
    <w:rsid w:val="00697652"/>
    <w:rsid w:val="006D4CDB"/>
    <w:rsid w:val="006D72B3"/>
    <w:rsid w:val="006F0F45"/>
    <w:rsid w:val="0071456C"/>
    <w:rsid w:val="007630F6"/>
    <w:rsid w:val="0076711F"/>
    <w:rsid w:val="00785416"/>
    <w:rsid w:val="007D39B6"/>
    <w:rsid w:val="00802E77"/>
    <w:rsid w:val="00864E8C"/>
    <w:rsid w:val="00873916"/>
    <w:rsid w:val="00915B0B"/>
    <w:rsid w:val="00922B65"/>
    <w:rsid w:val="00943D59"/>
    <w:rsid w:val="0096494C"/>
    <w:rsid w:val="00997025"/>
    <w:rsid w:val="009F6200"/>
    <w:rsid w:val="00A35C91"/>
    <w:rsid w:val="00A82BA6"/>
    <w:rsid w:val="00AA377C"/>
    <w:rsid w:val="00B47F28"/>
    <w:rsid w:val="00C11ED0"/>
    <w:rsid w:val="00C42C7F"/>
    <w:rsid w:val="00C56A62"/>
    <w:rsid w:val="00C7065A"/>
    <w:rsid w:val="00C80D27"/>
    <w:rsid w:val="00D22E3D"/>
    <w:rsid w:val="00D26C81"/>
    <w:rsid w:val="00D41B9E"/>
    <w:rsid w:val="00D43C20"/>
    <w:rsid w:val="00D508FC"/>
    <w:rsid w:val="00DA065B"/>
    <w:rsid w:val="00DA1763"/>
    <w:rsid w:val="00DC56FC"/>
    <w:rsid w:val="00DD3256"/>
    <w:rsid w:val="00E13059"/>
    <w:rsid w:val="00E237A1"/>
    <w:rsid w:val="00E4007D"/>
    <w:rsid w:val="00E5636E"/>
    <w:rsid w:val="00E8675D"/>
    <w:rsid w:val="00EC2C73"/>
    <w:rsid w:val="00ED3776"/>
    <w:rsid w:val="00F172FE"/>
    <w:rsid w:val="00F25AFC"/>
    <w:rsid w:val="00F7025F"/>
    <w:rsid w:val="00FD1691"/>
    <w:rsid w:val="0DDBF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7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3776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Bibliography">
    <w:name w:val="Bibliography"/>
    <w:basedOn w:val="Normal"/>
    <w:next w:val="Normal"/>
    <w:uiPriority w:val="37"/>
    <w:unhideWhenUsed/>
    <w:rsid w:val="006D4CDB"/>
    <w:pPr>
      <w:tabs>
        <w:tab w:val="left" w:pos="264"/>
      </w:tabs>
      <w:spacing w:after="240" w:line="240" w:lineRule="auto"/>
      <w:ind w:left="264" w:hanging="264"/>
    </w:pPr>
  </w:style>
  <w:style w:type="character" w:styleId="CommentReference">
    <w:name w:val="annotation reference"/>
    <w:basedOn w:val="DefaultParagraphFont"/>
    <w:uiPriority w:val="99"/>
    <w:semiHidden/>
    <w:unhideWhenUsed/>
    <w:rsid w:val="006D4CDB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rsid w:val="006D4CDB"/>
    <w:pPr>
      <w:spacing w:line="240" w:lineRule="auto"/>
    </w:pPr>
    <w:rPr>
      <w:rFonts w:ascii="Tahoma" w:hAnsi="Tahoma" w:cs="Tahoma"/>
      <w:sz w:val="16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CDB"/>
    <w:rPr>
      <w:rFonts w:ascii="Tahoma" w:hAnsi="Tahoma" w:cs="Tahoma"/>
      <w:sz w:val="16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C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2E3D"/>
  </w:style>
  <w:style w:type="paragraph" w:styleId="Footer">
    <w:name w:val="footer"/>
    <w:basedOn w:val="Normal"/>
    <w:link w:val="FooterChar"/>
    <w:uiPriority w:val="99"/>
    <w:unhideWhenUsed/>
    <w:rsid w:val="00D22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E3D"/>
  </w:style>
  <w:style w:type="table" w:styleId="TableGrid">
    <w:name w:val="Table Grid"/>
    <w:basedOn w:val="TableNormal"/>
    <w:uiPriority w:val="39"/>
    <w:rsid w:val="002212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1821</Characters>
  <Application>Microsoft Office Word</Application>
  <DocSecurity>0</DocSecurity>
  <Lines>15</Lines>
  <Paragraphs>4</Paragraphs>
  <ScaleCrop>false</ScaleCrop>
  <LinksUpToDate>false</LinksUpToDate>
  <CharactersWithSpaces>2136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2021-05-27T08:24:00Z</cp:lastPrinted>
  <dcterms:created xsi:type="dcterms:W3CDTF">2021-11-16T08:17:00Z</dcterms:created>
  <dcterms:modified xsi:type="dcterms:W3CDTF">2022-01-12T02:36:00Z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id="gITSugDC"/&gt;&lt;style id="http://www.zotero.org/styles/annals-of-the-rheumatic-diseases" hasBibliography="1" bibliographyStyleHasBeenSet="1"/&gt;&lt;prefs&gt;&lt;pref name="fieldType" value="Field"/&gt;&lt;/prefs&gt;&lt;/</vt:lpwstr>
  </property>
  <property fmtid="{D5CDD505-2E9C-101B-9397-08002B2CF9AE}" pid="3" name="ZOTERO_PREF_2">
    <vt:lpwstr>data&gt;</vt:lpwstr>
  </property>
</Properties>
</file>