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333755" w14:textId="7B1F5469" w:rsidR="002B460E" w:rsidRDefault="002B460E" w:rsidP="002B460E">
      <w:pPr>
        <w:jc w:val="center"/>
        <w:rPr>
          <w:sz w:val="28"/>
          <w:lang w:val="en-US"/>
        </w:rPr>
      </w:pPr>
      <w:r w:rsidRPr="00AD2C8C">
        <w:rPr>
          <w:sz w:val="28"/>
          <w:lang w:val="en-US"/>
        </w:rPr>
        <w:t>Supplementary information</w:t>
      </w:r>
    </w:p>
    <w:p w14:paraId="3C55FA84" w14:textId="77777777" w:rsidR="009977CE" w:rsidRPr="00AD2C8C" w:rsidRDefault="009977CE" w:rsidP="002B460E">
      <w:pPr>
        <w:jc w:val="center"/>
        <w:rPr>
          <w:sz w:val="28"/>
          <w:lang w:val="en-US"/>
        </w:rPr>
      </w:pPr>
    </w:p>
    <w:p w14:paraId="1A36CB66" w14:textId="3FCA5615" w:rsidR="009977CE" w:rsidRDefault="00EE5F07" w:rsidP="009977CE">
      <w:pPr>
        <w:spacing w:line="360" w:lineRule="auto"/>
        <w:jc w:val="center"/>
        <w:rPr>
          <w:b/>
          <w:sz w:val="28"/>
          <w:szCs w:val="20"/>
          <w:lang w:val="en-US"/>
        </w:rPr>
      </w:pPr>
      <w:r>
        <w:rPr>
          <w:b/>
          <w:sz w:val="28"/>
          <w:szCs w:val="20"/>
          <w:lang w:val="en-US"/>
        </w:rPr>
        <w:t>The impact of melt versus</w:t>
      </w:r>
      <w:r w:rsidRPr="009977CE">
        <w:rPr>
          <w:b/>
          <w:sz w:val="28"/>
          <w:szCs w:val="20"/>
          <w:lang w:val="en-US"/>
        </w:rPr>
        <w:t xml:space="preserve"> mechanical wear</w:t>
      </w:r>
      <w:r>
        <w:rPr>
          <w:b/>
          <w:sz w:val="28"/>
          <w:szCs w:val="20"/>
          <w:lang w:val="en-US"/>
        </w:rPr>
        <w:t xml:space="preserve"> on the formation of p</w:t>
      </w:r>
      <w:r w:rsidR="007B2A59">
        <w:rPr>
          <w:b/>
          <w:sz w:val="28"/>
          <w:szCs w:val="20"/>
          <w:lang w:val="en-US"/>
        </w:rPr>
        <w:t>seudotachylyte</w:t>
      </w:r>
      <w:r w:rsidR="009977CE" w:rsidRPr="009977CE">
        <w:rPr>
          <w:b/>
          <w:sz w:val="28"/>
          <w:szCs w:val="20"/>
          <w:lang w:val="en-US"/>
        </w:rPr>
        <w:t xml:space="preserve"> v</w:t>
      </w:r>
      <w:r>
        <w:rPr>
          <w:b/>
          <w:sz w:val="28"/>
          <w:szCs w:val="20"/>
          <w:lang w:val="en-US"/>
        </w:rPr>
        <w:t>eins in accretionary complexes</w:t>
      </w:r>
    </w:p>
    <w:p w14:paraId="22FD3F04" w14:textId="40FDA1A0" w:rsidR="006A4A87" w:rsidRPr="006A4A87" w:rsidRDefault="006A4A87" w:rsidP="006A4A87">
      <w:pPr>
        <w:jc w:val="center"/>
        <w:rPr>
          <w:b/>
          <w:sz w:val="28"/>
          <w:szCs w:val="20"/>
          <w:lang w:val="en-US"/>
        </w:rPr>
      </w:pPr>
    </w:p>
    <w:p w14:paraId="099ABF5D" w14:textId="77777777" w:rsidR="00AD2C8C" w:rsidRPr="00AD2C8C" w:rsidRDefault="00AD2C8C" w:rsidP="00AD2C8C">
      <w:pPr>
        <w:jc w:val="center"/>
        <w:rPr>
          <w:sz w:val="28"/>
          <w:szCs w:val="24"/>
          <w:lang w:val="en-US"/>
        </w:rPr>
      </w:pPr>
    </w:p>
    <w:p w14:paraId="5272C05A" w14:textId="77777777" w:rsidR="00B71CAA" w:rsidRDefault="00B71CAA">
      <w:pPr>
        <w:spacing w:line="259" w:lineRule="auto"/>
        <w:jc w:val="left"/>
        <w:rPr>
          <w:noProof/>
          <w:sz w:val="28"/>
          <w:lang w:val="en-US" w:eastAsia="fr-FR"/>
        </w:rPr>
      </w:pPr>
      <w:r>
        <w:rPr>
          <w:noProof/>
          <w:sz w:val="28"/>
          <w:lang w:val="en-US" w:eastAsia="fr-FR"/>
        </w:rPr>
        <w:br w:type="page"/>
      </w:r>
    </w:p>
    <w:p w14:paraId="4BEAFEEE" w14:textId="77777777" w:rsidR="00C831AF" w:rsidRDefault="00C831AF" w:rsidP="004A42A7">
      <w:pPr>
        <w:jc w:val="center"/>
        <w:rPr>
          <w:lang w:val="en-US"/>
        </w:rPr>
      </w:pPr>
    </w:p>
    <w:p w14:paraId="489751D2" w14:textId="77777777" w:rsidR="00C831AF" w:rsidRDefault="00C831AF" w:rsidP="004A42A7">
      <w:pPr>
        <w:jc w:val="center"/>
        <w:rPr>
          <w:lang w:val="en-US"/>
        </w:rPr>
      </w:pPr>
    </w:p>
    <w:p w14:paraId="5A1AAA1D" w14:textId="487AD348" w:rsidR="004A42A7" w:rsidRDefault="004A42A7" w:rsidP="004A42A7">
      <w:pPr>
        <w:rPr>
          <w:lang w:val="en-US"/>
        </w:rPr>
      </w:pPr>
    </w:p>
    <w:p w14:paraId="4BFD0DED" w14:textId="77777777" w:rsidR="004A42A7" w:rsidRDefault="004A42A7" w:rsidP="004A42A7">
      <w:pPr>
        <w:rPr>
          <w:lang w:val="en-US"/>
        </w:rPr>
      </w:pPr>
    </w:p>
    <w:p w14:paraId="0CFC5C3E" w14:textId="77777777" w:rsidR="004A42A7" w:rsidRDefault="004A42A7" w:rsidP="004A42A7">
      <w:pPr>
        <w:ind w:hanging="709"/>
        <w:jc w:val="right"/>
        <w:rPr>
          <w:lang w:val="en-US"/>
        </w:rPr>
      </w:pPr>
    </w:p>
    <w:p w14:paraId="486B5D43" w14:textId="726C57FC" w:rsidR="004A42A7" w:rsidRDefault="00595E12" w:rsidP="004A42A7">
      <w:pPr>
        <w:ind w:hanging="709"/>
        <w:jc w:val="right"/>
        <w:rPr>
          <w:lang w:val="en-US"/>
        </w:rPr>
      </w:pPr>
      <w:r w:rsidRPr="00706847">
        <w:rPr>
          <w:noProof/>
          <w:lang w:eastAsia="fr-FR"/>
        </w:rPr>
        <w:drawing>
          <wp:inline distT="0" distB="0" distL="0" distR="0" wp14:anchorId="41785409" wp14:editId="05E09BC3">
            <wp:extent cx="5760720" cy="3441065"/>
            <wp:effectExtent l="0" t="0" r="0" b="6985"/>
            <wp:docPr id="179" name="Image 179" descr="C:\Users\bmorismuttoni\Desktop\Recherche\These-ISTO\_Figures\PST\NB\2020\Figure_NB_2020_v2_Plan de travail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morismuttoni\Desktop\Recherche\These-ISTO\_Figures\PST\NB\2020\Figure_NB_2020_v2_Plan de travail 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3441065"/>
                    </a:xfrm>
                    <a:prstGeom prst="rect">
                      <a:avLst/>
                    </a:prstGeom>
                    <a:noFill/>
                    <a:ln>
                      <a:noFill/>
                    </a:ln>
                  </pic:spPr>
                </pic:pic>
              </a:graphicData>
            </a:graphic>
          </wp:inline>
        </w:drawing>
      </w:r>
    </w:p>
    <w:p w14:paraId="5AAA7576" w14:textId="77777777" w:rsidR="004A42A7" w:rsidRDefault="004A42A7" w:rsidP="004A42A7">
      <w:pPr>
        <w:spacing w:line="276" w:lineRule="auto"/>
        <w:rPr>
          <w:rFonts w:ascii="Arial" w:hAnsi="Arial" w:cs="Arial"/>
          <w:sz w:val="14"/>
          <w:szCs w:val="14"/>
          <w:lang w:val="en-US"/>
        </w:rPr>
        <w:sectPr w:rsidR="004A42A7" w:rsidSect="00B82EA9">
          <w:type w:val="continuous"/>
          <w:pgSz w:w="11906" w:h="16838"/>
          <w:pgMar w:top="1417" w:right="1417" w:bottom="1417" w:left="1417" w:header="708" w:footer="708" w:gutter="0"/>
          <w:cols w:space="708"/>
          <w:docGrid w:linePitch="360"/>
        </w:sectPr>
      </w:pPr>
    </w:p>
    <w:p w14:paraId="58690B21" w14:textId="4D0ECB7A" w:rsidR="004A42A7" w:rsidRPr="00E12683" w:rsidRDefault="002E6DC9" w:rsidP="004A42A7">
      <w:pPr>
        <w:spacing w:line="276" w:lineRule="auto"/>
        <w:rPr>
          <w:rFonts w:ascii="Arial" w:hAnsi="Arial" w:cs="Arial"/>
          <w:noProof/>
          <w:sz w:val="14"/>
          <w:szCs w:val="14"/>
          <w:lang w:val="en-US"/>
        </w:rPr>
      </w:pPr>
      <w:r>
        <w:rPr>
          <w:rFonts w:ascii="Arial" w:hAnsi="Arial" w:cs="Arial"/>
          <w:b/>
          <w:sz w:val="14"/>
          <w:szCs w:val="14"/>
          <w:lang w:val="en-US"/>
        </w:rPr>
        <w:t>Supplementary</w:t>
      </w:r>
      <w:r w:rsidR="003A5BA0">
        <w:rPr>
          <w:rFonts w:ascii="Arial" w:hAnsi="Arial" w:cs="Arial"/>
          <w:b/>
          <w:sz w:val="14"/>
          <w:szCs w:val="14"/>
          <w:lang w:val="en-US"/>
        </w:rPr>
        <w:t xml:space="preserve"> Figure 1</w:t>
      </w:r>
      <w:r w:rsidR="004A42A7">
        <w:rPr>
          <w:rFonts w:ascii="Arial" w:hAnsi="Arial" w:cs="Arial"/>
          <w:b/>
          <w:sz w:val="14"/>
          <w:szCs w:val="14"/>
          <w:lang w:val="en-US"/>
        </w:rPr>
        <w:t xml:space="preserve"> </w:t>
      </w:r>
      <w:r w:rsidR="004A42A7" w:rsidRPr="007E184F">
        <w:rPr>
          <w:rFonts w:ascii="Arial" w:hAnsi="Arial" w:cs="Arial"/>
          <w:b/>
          <w:bCs/>
          <w:sz w:val="14"/>
          <w:szCs w:val="14"/>
          <w:lang w:val="en-GB"/>
        </w:rPr>
        <w:t>|</w:t>
      </w:r>
      <w:r w:rsidR="004A42A7" w:rsidRPr="00E12683">
        <w:rPr>
          <w:rFonts w:ascii="Arial" w:hAnsi="Arial" w:cs="Arial"/>
          <w:b/>
          <w:sz w:val="14"/>
          <w:szCs w:val="14"/>
          <w:lang w:val="en-US"/>
        </w:rPr>
        <w:t xml:space="preserve"> Raman Spectroscopy results obtained for the Nobeoka Black Fault Rock</w:t>
      </w:r>
      <w:r w:rsidR="004A42A7" w:rsidRPr="00E12683">
        <w:rPr>
          <w:rFonts w:ascii="Arial" w:hAnsi="Arial" w:cs="Arial"/>
          <w:sz w:val="14"/>
          <w:szCs w:val="14"/>
          <w:lang w:val="en-US"/>
        </w:rPr>
        <w:t xml:space="preserve"> </w:t>
      </w:r>
      <w:r w:rsidR="004A42A7" w:rsidRPr="00E12683">
        <w:rPr>
          <w:rFonts w:ascii="Arial" w:hAnsi="Arial" w:cs="Arial"/>
          <w:b/>
          <w:sz w:val="14"/>
          <w:szCs w:val="14"/>
          <w:lang w:val="en-US"/>
        </w:rPr>
        <w:t>a,</w:t>
      </w:r>
      <w:r w:rsidR="004A42A7">
        <w:rPr>
          <w:rFonts w:ascii="Arial" w:hAnsi="Arial" w:cs="Arial"/>
          <w:sz w:val="14"/>
          <w:szCs w:val="14"/>
          <w:lang w:val="en-US"/>
        </w:rPr>
        <w:t xml:space="preserve"> </w:t>
      </w:r>
      <w:r w:rsidR="00B82EA9">
        <w:rPr>
          <w:rFonts w:ascii="Arial" w:hAnsi="Arial" w:cs="Arial"/>
          <w:sz w:val="14"/>
          <w:szCs w:val="14"/>
          <w:lang w:val="en-US"/>
        </w:rPr>
        <w:t>Distribution of intensity ratio over the sample – each dot corresponds to a carbonaceous particle</w:t>
      </w:r>
      <w:r w:rsidR="004A42A7" w:rsidRPr="00E12683">
        <w:rPr>
          <w:rFonts w:ascii="Arial" w:hAnsi="Arial" w:cs="Arial"/>
          <w:sz w:val="14"/>
          <w:szCs w:val="14"/>
          <w:lang w:val="en-US"/>
        </w:rPr>
        <w:t xml:space="preserve"> measured </w:t>
      </w:r>
      <w:r w:rsidR="00B82EA9">
        <w:rPr>
          <w:rFonts w:ascii="Arial" w:hAnsi="Arial" w:cs="Arial"/>
          <w:sz w:val="14"/>
          <w:szCs w:val="14"/>
          <w:lang w:val="en-US"/>
        </w:rPr>
        <w:t>by Raman spectroscopy</w:t>
      </w:r>
      <w:r w:rsidR="004A42A7" w:rsidRPr="00E12683">
        <w:rPr>
          <w:rFonts w:ascii="Arial" w:hAnsi="Arial" w:cs="Arial"/>
          <w:sz w:val="14"/>
          <w:szCs w:val="14"/>
          <w:lang w:val="en-US"/>
        </w:rPr>
        <w:t xml:space="preserve"> </w:t>
      </w:r>
      <w:r w:rsidR="004A42A7" w:rsidRPr="00E12683">
        <w:rPr>
          <w:rFonts w:ascii="Arial" w:hAnsi="Arial" w:cs="Arial"/>
          <w:b/>
          <w:sz w:val="14"/>
          <w:szCs w:val="14"/>
          <w:lang w:val="en-US"/>
        </w:rPr>
        <w:t>b,</w:t>
      </w:r>
      <w:r w:rsidR="004A42A7" w:rsidRPr="00E12683">
        <w:rPr>
          <w:rFonts w:ascii="Arial" w:hAnsi="Arial" w:cs="Arial"/>
          <w:sz w:val="14"/>
          <w:szCs w:val="14"/>
          <w:lang w:val="en-US"/>
        </w:rPr>
        <w:t xml:space="preserve"> Zoom </w:t>
      </w:r>
      <w:r w:rsidR="004A42A7" w:rsidRPr="00E12683">
        <w:rPr>
          <w:rFonts w:ascii="Arial" w:hAnsi="Arial" w:cs="Arial"/>
          <w:sz w:val="14"/>
          <w:szCs w:val="14"/>
          <w:lang w:val="en-US"/>
        </w:rPr>
        <w:t>in the contact of the Black Fault Rock with the host rock which shows discontinuity in the intensity ratio</w:t>
      </w:r>
      <w:r w:rsidR="004A42A7">
        <w:rPr>
          <w:rFonts w:ascii="Arial" w:hAnsi="Arial" w:cs="Arial"/>
          <w:sz w:val="14"/>
          <w:szCs w:val="14"/>
          <w:lang w:val="en-US"/>
        </w:rPr>
        <w:t xml:space="preserve"> </w:t>
      </w:r>
      <w:r w:rsidR="004A42A7" w:rsidRPr="00E12683">
        <w:rPr>
          <w:rFonts w:ascii="Arial" w:hAnsi="Arial" w:cs="Arial"/>
          <w:b/>
          <w:sz w:val="14"/>
          <w:szCs w:val="14"/>
          <w:lang w:val="en-US"/>
        </w:rPr>
        <w:t>c,</w:t>
      </w:r>
      <w:r w:rsidR="004A42A7" w:rsidRPr="00E12683">
        <w:rPr>
          <w:rFonts w:ascii="Arial" w:hAnsi="Arial" w:cs="Arial"/>
          <w:sz w:val="14"/>
          <w:szCs w:val="14"/>
          <w:lang w:val="en-US"/>
        </w:rPr>
        <w:t xml:space="preserve"> Cumulative cross-section showing the evolution of the intensity ratio perpendicular to the Black Fault Rock </w:t>
      </w:r>
    </w:p>
    <w:p w14:paraId="50DCD3F8" w14:textId="77777777" w:rsidR="004A42A7" w:rsidRDefault="004A42A7" w:rsidP="004A42A7">
      <w:pPr>
        <w:rPr>
          <w:noProof/>
          <w:lang w:val="en-US" w:eastAsia="fr-FR"/>
        </w:rPr>
        <w:sectPr w:rsidR="004A42A7" w:rsidSect="00B82EA9">
          <w:type w:val="continuous"/>
          <w:pgSz w:w="11906" w:h="16838"/>
          <w:pgMar w:top="1417" w:right="1417" w:bottom="1417" w:left="1417" w:header="708" w:footer="708" w:gutter="0"/>
          <w:cols w:num="2" w:space="708"/>
          <w:docGrid w:linePitch="360"/>
        </w:sectPr>
      </w:pPr>
    </w:p>
    <w:p w14:paraId="42BCA8E9" w14:textId="77777777" w:rsidR="004A42A7" w:rsidRDefault="004A42A7" w:rsidP="004A42A7">
      <w:pPr>
        <w:rPr>
          <w:lang w:val="en-US"/>
        </w:rPr>
      </w:pPr>
      <w:r>
        <w:rPr>
          <w:noProof/>
          <w:lang w:val="en-US" w:eastAsia="fr-FR"/>
        </w:rPr>
        <w:br w:type="page"/>
      </w:r>
    </w:p>
    <w:p w14:paraId="5AA8C7FD" w14:textId="77777777" w:rsidR="004A42A7" w:rsidRDefault="004A42A7" w:rsidP="004A42A7">
      <w:pPr>
        <w:ind w:hanging="851"/>
        <w:jc w:val="right"/>
        <w:rPr>
          <w:lang w:val="en-US"/>
        </w:rPr>
      </w:pPr>
    </w:p>
    <w:p w14:paraId="180D0A7B" w14:textId="77777777" w:rsidR="004A42A7" w:rsidRDefault="004A42A7" w:rsidP="004A42A7">
      <w:pPr>
        <w:ind w:hanging="851"/>
        <w:jc w:val="right"/>
        <w:rPr>
          <w:lang w:val="en-US"/>
        </w:rPr>
      </w:pPr>
    </w:p>
    <w:p w14:paraId="4757D4CB" w14:textId="77777777" w:rsidR="004A42A7" w:rsidRDefault="004A42A7" w:rsidP="004A42A7">
      <w:pPr>
        <w:ind w:hanging="851"/>
        <w:jc w:val="right"/>
        <w:rPr>
          <w:lang w:val="en-US"/>
        </w:rPr>
      </w:pPr>
    </w:p>
    <w:p w14:paraId="0F8B4DDC" w14:textId="77777777" w:rsidR="004A42A7" w:rsidRDefault="004A42A7" w:rsidP="004A42A7">
      <w:pPr>
        <w:ind w:hanging="851"/>
        <w:jc w:val="right"/>
        <w:rPr>
          <w:lang w:val="en-US"/>
        </w:rPr>
      </w:pPr>
    </w:p>
    <w:p w14:paraId="6E36A9CA" w14:textId="77777777" w:rsidR="004A42A7" w:rsidRDefault="004A42A7" w:rsidP="004A42A7">
      <w:pPr>
        <w:ind w:hanging="851"/>
        <w:jc w:val="right"/>
        <w:rPr>
          <w:lang w:val="en-US"/>
        </w:rPr>
      </w:pPr>
    </w:p>
    <w:p w14:paraId="421CA56A" w14:textId="10586FDE" w:rsidR="004A42A7" w:rsidRDefault="00595E12" w:rsidP="004A42A7">
      <w:pPr>
        <w:ind w:hanging="851"/>
        <w:jc w:val="right"/>
        <w:rPr>
          <w:lang w:val="en-US"/>
        </w:rPr>
      </w:pPr>
      <w:r w:rsidRPr="00E54E28">
        <w:rPr>
          <w:noProof/>
          <w:lang w:eastAsia="fr-FR"/>
        </w:rPr>
        <w:drawing>
          <wp:inline distT="0" distB="0" distL="0" distR="0" wp14:anchorId="2BC845A8" wp14:editId="053619E4">
            <wp:extent cx="5760720" cy="3292475"/>
            <wp:effectExtent l="0" t="0" r="0" b="3175"/>
            <wp:docPr id="65" name="Image 65" descr="C:\Users\bmorismuttoni\Desktop\Recherche\These-ISTO\_Figures\PST\KOdiak\KO14A\Figure_KO14A_v2_Plan de travail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morismuttoni\Desktop\Recherche\These-ISTO\_Figures\PST\KOdiak\KO14A\Figure_KO14A_v2_Plan de travail 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720" cy="3292475"/>
                    </a:xfrm>
                    <a:prstGeom prst="rect">
                      <a:avLst/>
                    </a:prstGeom>
                    <a:noFill/>
                    <a:ln>
                      <a:noFill/>
                    </a:ln>
                  </pic:spPr>
                </pic:pic>
              </a:graphicData>
            </a:graphic>
          </wp:inline>
        </w:drawing>
      </w:r>
    </w:p>
    <w:p w14:paraId="6002B73C" w14:textId="77777777" w:rsidR="004A42A7" w:rsidRDefault="004A42A7" w:rsidP="004A42A7">
      <w:pPr>
        <w:spacing w:line="276" w:lineRule="auto"/>
        <w:rPr>
          <w:rFonts w:ascii="Arial" w:hAnsi="Arial" w:cs="Arial"/>
          <w:sz w:val="14"/>
          <w:szCs w:val="14"/>
          <w:lang w:val="en-US"/>
        </w:rPr>
        <w:sectPr w:rsidR="004A42A7" w:rsidSect="00B82EA9">
          <w:type w:val="continuous"/>
          <w:pgSz w:w="11906" w:h="16838"/>
          <w:pgMar w:top="1417" w:right="1417" w:bottom="1417" w:left="1417" w:header="708" w:footer="708" w:gutter="0"/>
          <w:cols w:space="708"/>
          <w:docGrid w:linePitch="360"/>
        </w:sectPr>
      </w:pPr>
    </w:p>
    <w:p w14:paraId="633C6FEE" w14:textId="2E3522A3" w:rsidR="004A42A7" w:rsidRPr="00E12683" w:rsidRDefault="002E6DC9" w:rsidP="004A42A7">
      <w:pPr>
        <w:spacing w:line="276" w:lineRule="auto"/>
        <w:rPr>
          <w:rFonts w:ascii="Arial" w:hAnsi="Arial" w:cs="Arial"/>
          <w:sz w:val="14"/>
          <w:szCs w:val="14"/>
          <w:lang w:val="en-US"/>
        </w:rPr>
      </w:pPr>
      <w:r>
        <w:rPr>
          <w:rFonts w:ascii="Arial" w:hAnsi="Arial" w:cs="Arial"/>
          <w:b/>
          <w:sz w:val="14"/>
          <w:szCs w:val="14"/>
          <w:lang w:val="en-US"/>
        </w:rPr>
        <w:t>Supplementary</w:t>
      </w:r>
      <w:r w:rsidR="003A5BA0">
        <w:rPr>
          <w:rFonts w:ascii="Arial" w:hAnsi="Arial" w:cs="Arial"/>
          <w:b/>
          <w:sz w:val="14"/>
          <w:szCs w:val="14"/>
          <w:lang w:val="en-US"/>
        </w:rPr>
        <w:t xml:space="preserve"> Figure 2</w:t>
      </w:r>
      <w:r w:rsidR="004A42A7">
        <w:rPr>
          <w:rFonts w:ascii="Arial" w:hAnsi="Arial" w:cs="Arial"/>
          <w:b/>
          <w:sz w:val="14"/>
          <w:szCs w:val="14"/>
          <w:lang w:val="en-US"/>
        </w:rPr>
        <w:t xml:space="preserve"> </w:t>
      </w:r>
      <w:r w:rsidR="004A42A7" w:rsidRPr="007E184F">
        <w:rPr>
          <w:rFonts w:ascii="Arial" w:hAnsi="Arial" w:cs="Arial"/>
          <w:b/>
          <w:bCs/>
          <w:sz w:val="14"/>
          <w:szCs w:val="14"/>
          <w:lang w:val="en-GB"/>
        </w:rPr>
        <w:t xml:space="preserve">| </w:t>
      </w:r>
      <w:r w:rsidR="004A42A7" w:rsidRPr="00E12683">
        <w:rPr>
          <w:rFonts w:ascii="Arial" w:hAnsi="Arial" w:cs="Arial"/>
          <w:b/>
          <w:sz w:val="14"/>
          <w:szCs w:val="14"/>
          <w:lang w:val="en-US"/>
        </w:rPr>
        <w:t>Raman spectroscopy results obtained for the Kodiak Black Fault Rock described as a pseudotachylyte vein in Rowe et al., 2005 and Meneghini et al., 2010.</w:t>
      </w:r>
      <w:r w:rsidR="004A42A7" w:rsidRPr="00E12683">
        <w:rPr>
          <w:rFonts w:ascii="Arial" w:hAnsi="Arial" w:cs="Arial"/>
          <w:sz w:val="14"/>
          <w:szCs w:val="14"/>
          <w:lang w:val="en-US"/>
        </w:rPr>
        <w:t xml:space="preserve"> </w:t>
      </w:r>
      <w:r w:rsidR="004A42A7" w:rsidRPr="00E12683">
        <w:rPr>
          <w:rFonts w:ascii="Arial" w:hAnsi="Arial" w:cs="Arial"/>
          <w:b/>
          <w:sz w:val="14"/>
          <w:szCs w:val="14"/>
          <w:lang w:val="en-US"/>
        </w:rPr>
        <w:t>a,</w:t>
      </w:r>
      <w:r w:rsidR="004A42A7" w:rsidRPr="00E12683">
        <w:rPr>
          <w:rFonts w:ascii="Arial" w:hAnsi="Arial" w:cs="Arial"/>
          <w:sz w:val="14"/>
          <w:szCs w:val="14"/>
          <w:lang w:val="en-US"/>
        </w:rPr>
        <w:t xml:space="preserve"> </w:t>
      </w:r>
      <w:r w:rsidR="00B82EA9">
        <w:rPr>
          <w:rFonts w:ascii="Arial" w:hAnsi="Arial" w:cs="Arial"/>
          <w:sz w:val="14"/>
          <w:szCs w:val="14"/>
          <w:lang w:val="en-US"/>
        </w:rPr>
        <w:t>Distribution</w:t>
      </w:r>
      <w:r w:rsidR="00B82EA9" w:rsidRPr="00E12683">
        <w:rPr>
          <w:rFonts w:ascii="Arial" w:hAnsi="Arial" w:cs="Arial"/>
          <w:sz w:val="14"/>
          <w:szCs w:val="14"/>
          <w:lang w:val="en-US"/>
        </w:rPr>
        <w:t xml:space="preserve"> </w:t>
      </w:r>
      <w:r w:rsidR="004A42A7" w:rsidRPr="00E12683">
        <w:rPr>
          <w:rFonts w:ascii="Arial" w:hAnsi="Arial" w:cs="Arial"/>
          <w:sz w:val="14"/>
          <w:szCs w:val="14"/>
          <w:lang w:val="en-US"/>
        </w:rPr>
        <w:t xml:space="preserve">of the intensity ratio measured </w:t>
      </w:r>
      <w:r w:rsidR="00B82EA9">
        <w:rPr>
          <w:rFonts w:ascii="Arial" w:hAnsi="Arial" w:cs="Arial"/>
          <w:sz w:val="14"/>
          <w:szCs w:val="14"/>
          <w:lang w:val="en-US"/>
        </w:rPr>
        <w:t>across</w:t>
      </w:r>
      <w:r w:rsidR="00B82EA9" w:rsidRPr="00E12683">
        <w:rPr>
          <w:rFonts w:ascii="Arial" w:hAnsi="Arial" w:cs="Arial"/>
          <w:sz w:val="14"/>
          <w:szCs w:val="14"/>
          <w:lang w:val="en-US"/>
        </w:rPr>
        <w:t xml:space="preserve"> </w:t>
      </w:r>
      <w:r w:rsidR="004A42A7" w:rsidRPr="00E12683">
        <w:rPr>
          <w:rFonts w:ascii="Arial" w:hAnsi="Arial" w:cs="Arial"/>
          <w:sz w:val="14"/>
          <w:szCs w:val="14"/>
          <w:lang w:val="en-US"/>
        </w:rPr>
        <w:t xml:space="preserve">the different </w:t>
      </w:r>
      <w:r w:rsidR="00B82EA9">
        <w:rPr>
          <w:rFonts w:ascii="Arial" w:hAnsi="Arial" w:cs="Arial"/>
          <w:sz w:val="14"/>
          <w:szCs w:val="14"/>
          <w:lang w:val="en-US"/>
        </w:rPr>
        <w:t>micro</w:t>
      </w:r>
      <w:r w:rsidR="004A42A7" w:rsidRPr="00E12683">
        <w:rPr>
          <w:rFonts w:ascii="Arial" w:hAnsi="Arial" w:cs="Arial"/>
          <w:sz w:val="14"/>
          <w:szCs w:val="14"/>
          <w:lang w:val="en-US"/>
        </w:rPr>
        <w:t>structures and CL image that allows differentiating the multiple layers composing the Black Fault Rock</w:t>
      </w:r>
      <w:r w:rsidR="004A42A7">
        <w:rPr>
          <w:rFonts w:ascii="Arial" w:hAnsi="Arial" w:cs="Arial"/>
          <w:sz w:val="14"/>
          <w:szCs w:val="14"/>
          <w:lang w:val="en-US"/>
        </w:rPr>
        <w:t xml:space="preserve"> </w:t>
      </w:r>
      <w:r w:rsidR="004A42A7" w:rsidRPr="00E12683">
        <w:rPr>
          <w:rFonts w:ascii="Arial" w:hAnsi="Arial" w:cs="Arial"/>
          <w:b/>
          <w:sz w:val="14"/>
          <w:szCs w:val="14"/>
          <w:lang w:val="en-US"/>
        </w:rPr>
        <w:t>b,</w:t>
      </w:r>
      <w:r w:rsidR="004A42A7" w:rsidRPr="00E12683">
        <w:rPr>
          <w:rFonts w:ascii="Arial" w:hAnsi="Arial" w:cs="Arial"/>
          <w:sz w:val="14"/>
          <w:szCs w:val="14"/>
          <w:lang w:val="en-US"/>
        </w:rPr>
        <w:t xml:space="preserve"> Cross-section showing the </w:t>
      </w:r>
      <w:r w:rsidR="004A42A7" w:rsidRPr="00E12683">
        <w:rPr>
          <w:rFonts w:ascii="Arial" w:hAnsi="Arial" w:cs="Arial"/>
          <w:sz w:val="14"/>
          <w:szCs w:val="14"/>
          <w:lang w:val="en-US"/>
        </w:rPr>
        <w:t>evolution of the intensity ratio and area ratio through the sample. The largest discontinuities in intensity</w:t>
      </w:r>
      <w:r w:rsidR="00B82EA9">
        <w:rPr>
          <w:rFonts w:ascii="Arial" w:hAnsi="Arial" w:cs="Arial"/>
          <w:sz w:val="14"/>
          <w:szCs w:val="14"/>
          <w:lang w:val="en-US"/>
        </w:rPr>
        <w:t xml:space="preserve"> ratio</w:t>
      </w:r>
      <w:r w:rsidR="004A42A7" w:rsidRPr="00E12683">
        <w:rPr>
          <w:rFonts w:ascii="Arial" w:hAnsi="Arial" w:cs="Arial"/>
          <w:sz w:val="14"/>
          <w:szCs w:val="14"/>
          <w:lang w:val="en-US"/>
        </w:rPr>
        <w:t xml:space="preserve"> coincide with the boundaries between the Black Fault Rock and host rock. Solid lines represent the mean intensity ratio and the dotted lines standard deviation of each unit. </w:t>
      </w:r>
    </w:p>
    <w:p w14:paraId="209EF653" w14:textId="77777777" w:rsidR="004A42A7" w:rsidRDefault="004A42A7" w:rsidP="004A42A7">
      <w:pPr>
        <w:spacing w:line="259" w:lineRule="auto"/>
        <w:jc w:val="left"/>
        <w:rPr>
          <w:lang w:val="en-US"/>
        </w:rPr>
        <w:sectPr w:rsidR="004A42A7" w:rsidSect="00B82EA9">
          <w:type w:val="continuous"/>
          <w:pgSz w:w="11906" w:h="16838"/>
          <w:pgMar w:top="1417" w:right="1417" w:bottom="1417" w:left="1417" w:header="708" w:footer="708" w:gutter="0"/>
          <w:cols w:num="2" w:space="708"/>
          <w:docGrid w:linePitch="360"/>
        </w:sectPr>
      </w:pPr>
    </w:p>
    <w:p w14:paraId="0D5C811B" w14:textId="77777777" w:rsidR="004A42A7" w:rsidRDefault="004A42A7" w:rsidP="004A42A7">
      <w:pPr>
        <w:spacing w:line="259" w:lineRule="auto"/>
        <w:jc w:val="left"/>
        <w:rPr>
          <w:lang w:val="en-US"/>
        </w:rPr>
        <w:sectPr w:rsidR="004A42A7" w:rsidSect="00B82EA9">
          <w:type w:val="continuous"/>
          <w:pgSz w:w="11906" w:h="16838"/>
          <w:pgMar w:top="1417" w:right="1417" w:bottom="1417" w:left="1417" w:header="708" w:footer="708" w:gutter="0"/>
          <w:cols w:space="708"/>
          <w:docGrid w:linePitch="360"/>
        </w:sectPr>
      </w:pPr>
    </w:p>
    <w:p w14:paraId="775C4C0C" w14:textId="53DC4C36" w:rsidR="004A42A7" w:rsidRPr="00642F24" w:rsidRDefault="00D46348" w:rsidP="00642F24">
      <w:pPr>
        <w:spacing w:line="259" w:lineRule="auto"/>
        <w:jc w:val="left"/>
        <w:rPr>
          <w:lang w:val="en-US"/>
        </w:rPr>
        <w:sectPr w:rsidR="004A42A7" w:rsidRPr="00642F24" w:rsidSect="00B82EA9">
          <w:pgSz w:w="16838" w:h="11906" w:orient="landscape"/>
          <w:pgMar w:top="1418" w:right="1418" w:bottom="1418" w:left="1418" w:header="709" w:footer="709" w:gutter="0"/>
          <w:cols w:space="708"/>
          <w:docGrid w:linePitch="360"/>
        </w:sectPr>
      </w:pPr>
      <w:r w:rsidRPr="00D46348">
        <w:rPr>
          <w:noProof/>
          <w:lang w:eastAsia="fr-FR"/>
        </w:rPr>
        <w:lastRenderedPageBreak/>
        <w:drawing>
          <wp:inline distT="0" distB="0" distL="0" distR="0" wp14:anchorId="194FAE14" wp14:editId="1F669ACC">
            <wp:extent cx="8891270" cy="4905248"/>
            <wp:effectExtent l="0" t="0" r="5080" b="0"/>
            <wp:docPr id="2" name="Image 2" descr="C:\Users\bmorismuttoni\Desktop\Recherche\_Articles\PST\Figures\Supp1\Supplementary6_PST_v2_Plan de travail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morismuttoni\Desktop\Recherche\_Articles\PST\Figures\Supp1\Supplementary6_PST_v2_Plan de travail 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891270" cy="4905248"/>
                    </a:xfrm>
                    <a:prstGeom prst="rect">
                      <a:avLst/>
                    </a:prstGeom>
                    <a:noFill/>
                    <a:ln>
                      <a:noFill/>
                    </a:ln>
                  </pic:spPr>
                </pic:pic>
              </a:graphicData>
            </a:graphic>
          </wp:inline>
        </w:drawing>
      </w:r>
      <w:bookmarkStart w:id="0" w:name="_GoBack"/>
      <w:bookmarkEnd w:id="0"/>
    </w:p>
    <w:p w14:paraId="2ADE5A54" w14:textId="5F183772" w:rsidR="004A42A7" w:rsidRPr="00455DC6" w:rsidRDefault="002E6DC9" w:rsidP="004A42A7">
      <w:pPr>
        <w:spacing w:line="276" w:lineRule="auto"/>
        <w:jc w:val="left"/>
        <w:rPr>
          <w:rFonts w:ascii="Arial" w:hAnsi="Arial" w:cs="Arial"/>
          <w:b/>
          <w:noProof/>
          <w:sz w:val="14"/>
          <w:szCs w:val="14"/>
          <w:lang w:val="en-US" w:eastAsia="fr-FR"/>
        </w:rPr>
      </w:pPr>
      <w:r>
        <w:rPr>
          <w:rFonts w:ascii="Arial" w:hAnsi="Arial" w:cs="Arial"/>
          <w:b/>
          <w:sz w:val="14"/>
          <w:szCs w:val="14"/>
          <w:lang w:val="en-US"/>
        </w:rPr>
        <w:t>Supplementary</w:t>
      </w:r>
      <w:r w:rsidR="003A5BA0">
        <w:rPr>
          <w:rFonts w:ascii="Arial" w:hAnsi="Arial" w:cs="Arial"/>
          <w:b/>
          <w:noProof/>
          <w:sz w:val="14"/>
          <w:szCs w:val="14"/>
          <w:lang w:val="en-US" w:eastAsia="fr-FR"/>
        </w:rPr>
        <w:t xml:space="preserve"> Figure 3</w:t>
      </w:r>
      <w:r w:rsidR="004A42A7">
        <w:rPr>
          <w:rFonts w:ascii="Arial" w:hAnsi="Arial" w:cs="Arial"/>
          <w:b/>
          <w:noProof/>
          <w:sz w:val="14"/>
          <w:szCs w:val="14"/>
          <w:lang w:val="en-US" w:eastAsia="fr-FR"/>
        </w:rPr>
        <w:t xml:space="preserve"> </w:t>
      </w:r>
      <w:r w:rsidR="004A42A7" w:rsidRPr="007E184F">
        <w:rPr>
          <w:rFonts w:ascii="Arial" w:hAnsi="Arial" w:cs="Arial"/>
          <w:b/>
          <w:bCs/>
          <w:sz w:val="14"/>
          <w:szCs w:val="14"/>
          <w:lang w:val="en-GB"/>
        </w:rPr>
        <w:t>|</w:t>
      </w:r>
      <w:r w:rsidR="004A42A7" w:rsidRPr="00E12683">
        <w:rPr>
          <w:rFonts w:ascii="Arial" w:hAnsi="Arial" w:cs="Arial"/>
          <w:b/>
          <w:noProof/>
          <w:sz w:val="14"/>
          <w:szCs w:val="14"/>
          <w:lang w:val="en-US" w:eastAsia="fr-FR"/>
        </w:rPr>
        <w:t xml:space="preserve"> </w:t>
      </w:r>
      <w:r w:rsidR="004A42A7">
        <w:rPr>
          <w:rFonts w:ascii="Arial" w:hAnsi="Arial" w:cs="Arial"/>
          <w:b/>
          <w:noProof/>
          <w:sz w:val="14"/>
          <w:szCs w:val="14"/>
          <w:lang w:val="en-US" w:eastAsia="fr-FR"/>
        </w:rPr>
        <w:t xml:space="preserve">Thermal and Kinetics modellings for different </w:t>
      </w:r>
      <w:r w:rsidR="009F5732">
        <w:rPr>
          <w:rFonts w:ascii="Arial" w:hAnsi="Arial" w:cs="Arial"/>
          <w:b/>
          <w:noProof/>
          <w:sz w:val="14"/>
          <w:szCs w:val="14"/>
          <w:lang w:val="en-US" w:eastAsia="fr-FR"/>
        </w:rPr>
        <w:t>phases and scenari</w:t>
      </w:r>
      <w:r w:rsidR="003E55CA">
        <w:rPr>
          <w:rFonts w:ascii="Arial" w:hAnsi="Arial" w:cs="Arial"/>
          <w:b/>
          <w:noProof/>
          <w:sz w:val="14"/>
          <w:szCs w:val="14"/>
          <w:lang w:val="en-US" w:eastAsia="fr-FR"/>
        </w:rPr>
        <w:t>os</w:t>
      </w:r>
      <w:r w:rsidR="009F5732">
        <w:rPr>
          <w:rFonts w:ascii="Arial" w:hAnsi="Arial" w:cs="Arial"/>
          <w:b/>
          <w:noProof/>
          <w:sz w:val="14"/>
          <w:szCs w:val="14"/>
          <w:lang w:val="en-US" w:eastAsia="fr-FR"/>
        </w:rPr>
        <w:t xml:space="preserve"> during frictional melting</w:t>
      </w:r>
      <w:r w:rsidR="00B82EA9">
        <w:rPr>
          <w:rFonts w:ascii="Arial" w:hAnsi="Arial" w:cs="Arial"/>
          <w:b/>
          <w:noProof/>
          <w:sz w:val="14"/>
          <w:szCs w:val="14"/>
          <w:lang w:val="en-US" w:eastAsia="fr-FR"/>
        </w:rPr>
        <w:t xml:space="preserve"> </w:t>
      </w:r>
      <w:r w:rsidR="004A42A7">
        <w:rPr>
          <w:rFonts w:ascii="Arial" w:hAnsi="Arial" w:cs="Arial"/>
          <w:b/>
          <w:noProof/>
          <w:sz w:val="14"/>
          <w:szCs w:val="14"/>
          <w:lang w:val="en-US" w:eastAsia="fr-FR"/>
        </w:rPr>
        <w:t xml:space="preserve">. a, c, e, </w:t>
      </w:r>
      <w:r w:rsidR="004A42A7" w:rsidRPr="00E12683">
        <w:rPr>
          <w:rFonts w:ascii="Arial" w:hAnsi="Arial" w:cs="Arial"/>
          <w:noProof/>
          <w:sz w:val="14"/>
          <w:szCs w:val="14"/>
          <w:lang w:val="en-US" w:eastAsia="fr-FR"/>
        </w:rPr>
        <w:t>Temperature and corresponding Raman Spectroscopy of Carbonaceous Material.</w:t>
      </w:r>
      <w:r w:rsidR="004A42A7" w:rsidRPr="00E12683">
        <w:rPr>
          <w:rFonts w:ascii="Arial" w:hAnsi="Arial" w:cs="Arial"/>
          <w:b/>
          <w:noProof/>
          <w:sz w:val="14"/>
          <w:szCs w:val="14"/>
          <w:lang w:val="en-US" w:eastAsia="fr-FR"/>
        </w:rPr>
        <w:t xml:space="preserve"> b, d, f</w:t>
      </w:r>
      <w:r w:rsidR="004A42A7">
        <w:rPr>
          <w:rFonts w:ascii="Arial" w:hAnsi="Arial" w:cs="Arial"/>
          <w:noProof/>
          <w:sz w:val="14"/>
          <w:szCs w:val="14"/>
          <w:lang w:val="en-US" w:eastAsia="fr-FR"/>
        </w:rPr>
        <w:t>,</w:t>
      </w:r>
      <w:r w:rsidR="004A42A7" w:rsidRPr="00E12683">
        <w:rPr>
          <w:rFonts w:ascii="Arial" w:hAnsi="Arial" w:cs="Arial"/>
          <w:noProof/>
          <w:sz w:val="14"/>
          <w:szCs w:val="14"/>
          <w:lang w:val="en-US" w:eastAsia="fr-FR"/>
        </w:rPr>
        <w:t xml:space="preserve"> Intensity r</w:t>
      </w:r>
      <w:r w:rsidR="004A42A7">
        <w:rPr>
          <w:rFonts w:ascii="Arial" w:hAnsi="Arial" w:cs="Arial"/>
          <w:noProof/>
          <w:sz w:val="14"/>
          <w:szCs w:val="14"/>
          <w:lang w:val="en-US" w:eastAsia="fr-FR"/>
        </w:rPr>
        <w:t xml:space="preserve">atio </w:t>
      </w:r>
      <w:r w:rsidR="004A42A7" w:rsidRPr="00E12683">
        <w:rPr>
          <w:rFonts w:ascii="Arial" w:hAnsi="Arial" w:cs="Arial"/>
          <w:noProof/>
          <w:sz w:val="14"/>
          <w:szCs w:val="14"/>
          <w:lang w:val="en-US" w:eastAsia="fr-FR"/>
        </w:rPr>
        <w:t xml:space="preserve">profiles across the molten layer and the host rock, for various times. </w:t>
      </w:r>
      <w:r w:rsidR="004A42A7" w:rsidRPr="00E12683">
        <w:rPr>
          <w:rFonts w:ascii="Arial" w:hAnsi="Arial" w:cs="Arial"/>
          <w:b/>
          <w:noProof/>
          <w:sz w:val="14"/>
          <w:szCs w:val="14"/>
          <w:lang w:val="en-US" w:eastAsia="fr-FR"/>
        </w:rPr>
        <w:t>a, b,</w:t>
      </w:r>
      <w:r w:rsidR="004A42A7" w:rsidRPr="00E12683">
        <w:rPr>
          <w:rFonts w:ascii="Arial" w:hAnsi="Arial" w:cs="Arial"/>
          <w:noProof/>
          <w:sz w:val="14"/>
          <w:szCs w:val="14"/>
          <w:lang w:val="en-US" w:eastAsia="fr-FR"/>
        </w:rPr>
        <w:t xml:space="preserve"> Initial stage, with frictional melting until melting at 14</w:t>
      </w:r>
      <w:r w:rsidR="004A42A7">
        <w:rPr>
          <w:rFonts w:ascii="Arial" w:hAnsi="Arial" w:cs="Arial"/>
          <w:noProof/>
          <w:sz w:val="14"/>
          <w:szCs w:val="14"/>
          <w:lang w:val="en-US" w:eastAsia="fr-FR"/>
        </w:rPr>
        <w:t xml:space="preserve">00°C </w:t>
      </w:r>
      <w:r w:rsidR="004A42A7" w:rsidRPr="00E12683">
        <w:rPr>
          <w:rFonts w:ascii="Arial" w:hAnsi="Arial" w:cs="Arial"/>
          <w:b/>
          <w:noProof/>
          <w:sz w:val="14"/>
          <w:szCs w:val="14"/>
          <w:lang w:val="en-US" w:eastAsia="fr-FR"/>
        </w:rPr>
        <w:t>c, d,</w:t>
      </w:r>
      <w:r w:rsidR="004A42A7" w:rsidRPr="00E12683">
        <w:rPr>
          <w:rFonts w:ascii="Arial" w:hAnsi="Arial" w:cs="Arial"/>
          <w:noProof/>
          <w:sz w:val="14"/>
          <w:szCs w:val="14"/>
          <w:lang w:val="en-US" w:eastAsia="fr-FR"/>
        </w:rPr>
        <w:t xml:space="preserve"> Following stage, with diffusional cooling of a 1400°C molten layer, without heat production</w:t>
      </w:r>
      <w:r w:rsidR="004A42A7">
        <w:rPr>
          <w:rFonts w:ascii="Arial" w:hAnsi="Arial" w:cs="Arial"/>
          <w:noProof/>
          <w:sz w:val="14"/>
          <w:szCs w:val="14"/>
          <w:lang w:val="en-US" w:eastAsia="fr-FR"/>
        </w:rPr>
        <w:t xml:space="preserve"> </w:t>
      </w:r>
      <w:r w:rsidR="004A42A7" w:rsidRPr="00E12683">
        <w:rPr>
          <w:rFonts w:ascii="Arial" w:hAnsi="Arial" w:cs="Arial"/>
          <w:b/>
          <w:noProof/>
          <w:sz w:val="14"/>
          <w:szCs w:val="14"/>
          <w:lang w:val="en-US" w:eastAsia="fr-FR"/>
        </w:rPr>
        <w:t>e, f,</w:t>
      </w:r>
      <w:r w:rsidR="004A42A7" w:rsidRPr="00E12683">
        <w:rPr>
          <w:rFonts w:ascii="Arial" w:hAnsi="Arial" w:cs="Arial"/>
          <w:noProof/>
          <w:sz w:val="14"/>
          <w:szCs w:val="14"/>
          <w:lang w:val="en-US" w:eastAsia="fr-FR"/>
        </w:rPr>
        <w:t xml:space="preserve"> </w:t>
      </w:r>
      <w:r w:rsidR="004A42A7">
        <w:rPr>
          <w:rFonts w:ascii="Arial" w:hAnsi="Arial" w:cs="Arial"/>
          <w:noProof/>
          <w:sz w:val="14"/>
          <w:szCs w:val="14"/>
          <w:lang w:val="en-US" w:eastAsia="fr-FR"/>
        </w:rPr>
        <w:t xml:space="preserve">same as c and d </w:t>
      </w:r>
      <w:r w:rsidR="004A42A7" w:rsidRPr="00E12683">
        <w:rPr>
          <w:rFonts w:ascii="Arial" w:hAnsi="Arial" w:cs="Arial"/>
          <w:noProof/>
          <w:sz w:val="14"/>
          <w:szCs w:val="14"/>
          <w:lang w:val="en-US" w:eastAsia="fr-FR"/>
        </w:rPr>
        <w:t xml:space="preserve">with heat production viscous shear. </w:t>
      </w:r>
      <w:r w:rsidR="004A42A7">
        <w:rPr>
          <w:rFonts w:ascii="Arial" w:hAnsi="Arial" w:cs="Arial"/>
          <w:noProof/>
          <w:sz w:val="14"/>
          <w:szCs w:val="14"/>
          <w:lang w:val="en-US" w:eastAsia="fr-FR"/>
        </w:rPr>
        <w:t xml:space="preserve">In </w:t>
      </w:r>
      <w:r w:rsidR="004A42A7" w:rsidRPr="00024A76">
        <w:rPr>
          <w:rFonts w:ascii="Arial" w:hAnsi="Arial" w:cs="Arial"/>
          <w:b/>
          <w:noProof/>
          <w:sz w:val="14"/>
          <w:szCs w:val="14"/>
          <w:lang w:val="en-US" w:eastAsia="fr-FR"/>
        </w:rPr>
        <w:t>b, d, f,</w:t>
      </w:r>
      <w:r w:rsidR="004A42A7" w:rsidRPr="00E12683">
        <w:rPr>
          <w:rFonts w:ascii="Arial" w:hAnsi="Arial" w:cs="Arial"/>
          <w:noProof/>
          <w:sz w:val="14"/>
          <w:szCs w:val="14"/>
          <w:lang w:val="en-US" w:eastAsia="fr-FR"/>
        </w:rPr>
        <w:t xml:space="preserve"> for any time t and position x, the intensity ratio is calculated based on our kinetics model of organic matter maturation and the thermal history T(t).</w:t>
      </w:r>
    </w:p>
    <w:p w14:paraId="2F3C06A2" w14:textId="77777777" w:rsidR="004A42A7" w:rsidRDefault="004A42A7" w:rsidP="004A42A7">
      <w:pPr>
        <w:spacing w:line="276" w:lineRule="auto"/>
        <w:jc w:val="left"/>
        <w:rPr>
          <w:rFonts w:ascii="Arial" w:hAnsi="Arial" w:cs="Arial"/>
          <w:noProof/>
          <w:sz w:val="14"/>
          <w:szCs w:val="14"/>
          <w:lang w:val="en-US" w:eastAsia="fr-FR"/>
        </w:rPr>
        <w:sectPr w:rsidR="004A42A7" w:rsidSect="00B82EA9">
          <w:type w:val="continuous"/>
          <w:pgSz w:w="16838" w:h="11906" w:orient="landscape"/>
          <w:pgMar w:top="1418" w:right="1418" w:bottom="1418" w:left="1418" w:header="709" w:footer="709" w:gutter="0"/>
          <w:cols w:space="708"/>
          <w:docGrid w:linePitch="360"/>
        </w:sectPr>
      </w:pPr>
    </w:p>
    <w:p w14:paraId="2CD73E95" w14:textId="0A4869BD" w:rsidR="000941FA" w:rsidRDefault="004A42A7" w:rsidP="004A42A7">
      <w:pPr>
        <w:spacing w:line="276" w:lineRule="auto"/>
        <w:jc w:val="left"/>
        <w:rPr>
          <w:rFonts w:ascii="Arial" w:hAnsi="Arial" w:cs="Arial"/>
          <w:noProof/>
          <w:sz w:val="14"/>
          <w:szCs w:val="14"/>
          <w:lang w:val="en-US" w:eastAsia="fr-FR"/>
        </w:rPr>
      </w:pPr>
      <w:r w:rsidRPr="00E12683">
        <w:rPr>
          <w:rFonts w:ascii="Arial" w:hAnsi="Arial" w:cs="Arial"/>
          <w:noProof/>
          <w:sz w:val="14"/>
          <w:szCs w:val="14"/>
          <w:lang w:val="en-US" w:eastAsia="fr-FR"/>
        </w:rPr>
        <w:lastRenderedPageBreak/>
        <w:t xml:space="preserve">  </w:t>
      </w:r>
    </w:p>
    <w:p w14:paraId="2D9DB8CE" w14:textId="1061FD4A" w:rsidR="000941FA" w:rsidRDefault="00DA5CB9">
      <w:pPr>
        <w:spacing w:line="259" w:lineRule="auto"/>
        <w:jc w:val="left"/>
        <w:rPr>
          <w:rFonts w:ascii="Arial" w:hAnsi="Arial" w:cs="Arial"/>
          <w:noProof/>
          <w:sz w:val="14"/>
          <w:szCs w:val="14"/>
          <w:lang w:val="en-US" w:eastAsia="fr-FR"/>
        </w:rPr>
      </w:pPr>
      <w:r w:rsidRPr="00DA5CB9">
        <w:rPr>
          <w:rFonts w:ascii="Arial" w:hAnsi="Arial" w:cs="Arial"/>
          <w:noProof/>
          <w:sz w:val="14"/>
          <w:szCs w:val="14"/>
          <w:lang w:eastAsia="fr-FR"/>
        </w:rPr>
        <w:drawing>
          <wp:inline distT="0" distB="0" distL="0" distR="0" wp14:anchorId="68ADC5B1" wp14:editId="1F6D7F47">
            <wp:extent cx="5760720" cy="5715265"/>
            <wp:effectExtent l="0" t="0" r="0" b="0"/>
            <wp:docPr id="11" name="Image 11" descr="C:\Users\bmorismuttoni\Desktop\Recherche\_Articles\PST\Figures\Supp1\Supplementary_5_Plan de travail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morismuttoni\Desktop\Recherche\_Articles\PST\Figures\Supp1\Supplementary_5_Plan de travail 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5715265"/>
                    </a:xfrm>
                    <a:prstGeom prst="rect">
                      <a:avLst/>
                    </a:prstGeom>
                    <a:noFill/>
                    <a:ln>
                      <a:noFill/>
                    </a:ln>
                  </pic:spPr>
                </pic:pic>
              </a:graphicData>
            </a:graphic>
          </wp:inline>
        </w:drawing>
      </w:r>
      <w:r w:rsidR="000941FA" w:rsidRPr="000941FA">
        <w:rPr>
          <w:rFonts w:ascii="Arial" w:hAnsi="Arial" w:cs="Arial"/>
          <w:noProof/>
          <w:sz w:val="14"/>
          <w:szCs w:val="14"/>
          <w:lang w:val="en-US" w:eastAsia="fr-FR"/>
        </w:rPr>
        <w:t xml:space="preserve"> </w:t>
      </w:r>
    </w:p>
    <w:p w14:paraId="16C790D4" w14:textId="362DD962" w:rsidR="000941FA" w:rsidRPr="00455DC6" w:rsidRDefault="000941FA" w:rsidP="000941FA">
      <w:pPr>
        <w:spacing w:line="276" w:lineRule="auto"/>
        <w:jc w:val="left"/>
        <w:rPr>
          <w:rFonts w:ascii="Arial" w:hAnsi="Arial" w:cs="Arial"/>
          <w:b/>
          <w:noProof/>
          <w:sz w:val="14"/>
          <w:szCs w:val="14"/>
          <w:lang w:val="en-US" w:eastAsia="fr-FR"/>
        </w:rPr>
      </w:pPr>
      <w:r>
        <w:rPr>
          <w:rFonts w:ascii="Arial" w:hAnsi="Arial" w:cs="Arial"/>
          <w:b/>
          <w:sz w:val="14"/>
          <w:szCs w:val="14"/>
          <w:lang w:val="en-US"/>
        </w:rPr>
        <w:t>Supplementary</w:t>
      </w:r>
      <w:r w:rsidR="003A5BA0">
        <w:rPr>
          <w:rFonts w:ascii="Arial" w:hAnsi="Arial" w:cs="Arial"/>
          <w:b/>
          <w:noProof/>
          <w:sz w:val="14"/>
          <w:szCs w:val="14"/>
          <w:lang w:val="en-US" w:eastAsia="fr-FR"/>
        </w:rPr>
        <w:t xml:space="preserve"> Figure 4</w:t>
      </w:r>
      <w:r>
        <w:rPr>
          <w:rFonts w:ascii="Arial" w:hAnsi="Arial" w:cs="Arial"/>
          <w:b/>
          <w:noProof/>
          <w:sz w:val="14"/>
          <w:szCs w:val="14"/>
          <w:lang w:val="en-US" w:eastAsia="fr-FR"/>
        </w:rPr>
        <w:t xml:space="preserve"> </w:t>
      </w:r>
      <w:r w:rsidR="00595E12" w:rsidRPr="007E184F">
        <w:rPr>
          <w:rFonts w:ascii="Arial" w:hAnsi="Arial" w:cs="Arial"/>
          <w:b/>
          <w:bCs/>
          <w:sz w:val="14"/>
          <w:szCs w:val="14"/>
          <w:lang w:val="en-GB"/>
        </w:rPr>
        <w:t>|</w:t>
      </w:r>
      <w:r w:rsidR="00595E12">
        <w:rPr>
          <w:rFonts w:ascii="Arial" w:hAnsi="Arial" w:cs="Arial"/>
          <w:b/>
          <w:bCs/>
          <w:sz w:val="14"/>
          <w:szCs w:val="14"/>
          <w:lang w:val="en-GB"/>
        </w:rPr>
        <w:t xml:space="preserve"> </w:t>
      </w:r>
      <w:r w:rsidR="00A47C78">
        <w:rPr>
          <w:rFonts w:ascii="Arial" w:hAnsi="Arial" w:cs="Arial"/>
          <w:b/>
          <w:bCs/>
          <w:sz w:val="14"/>
          <w:szCs w:val="14"/>
          <w:lang w:val="en-GB"/>
        </w:rPr>
        <w:t>Microstructures of BFR and host rocks</w:t>
      </w:r>
      <w:r w:rsidRPr="00E12683">
        <w:rPr>
          <w:rFonts w:ascii="Arial" w:hAnsi="Arial" w:cs="Arial"/>
          <w:noProof/>
          <w:sz w:val="14"/>
          <w:szCs w:val="14"/>
          <w:lang w:val="en-US" w:eastAsia="fr-FR"/>
        </w:rPr>
        <w:t xml:space="preserve"> </w:t>
      </w:r>
      <w:r w:rsidRPr="00E12683">
        <w:rPr>
          <w:rFonts w:ascii="Arial" w:hAnsi="Arial" w:cs="Arial"/>
          <w:b/>
          <w:noProof/>
          <w:sz w:val="14"/>
          <w:szCs w:val="14"/>
          <w:lang w:val="en-US" w:eastAsia="fr-FR"/>
        </w:rPr>
        <w:t xml:space="preserve">a, </w:t>
      </w:r>
      <w:r w:rsidR="00DB3A40" w:rsidRPr="00DE77C6">
        <w:rPr>
          <w:rFonts w:ascii="Arial" w:hAnsi="Arial" w:cs="Arial"/>
          <w:noProof/>
          <w:sz w:val="14"/>
          <w:szCs w:val="14"/>
          <w:lang w:val="en-US" w:eastAsia="fr-FR"/>
        </w:rPr>
        <w:t>G</w:t>
      </w:r>
      <w:r w:rsidR="00DB3A40">
        <w:rPr>
          <w:rFonts w:ascii="Arial" w:hAnsi="Arial" w:cs="Arial"/>
          <w:noProof/>
          <w:sz w:val="14"/>
          <w:szCs w:val="14"/>
          <w:lang w:val="en-US" w:eastAsia="fr-FR"/>
        </w:rPr>
        <w:t>ulf</w:t>
      </w:r>
      <w:r w:rsidR="00DB3A40" w:rsidRPr="00DE77C6">
        <w:rPr>
          <w:rFonts w:ascii="Arial" w:hAnsi="Arial" w:cs="Arial"/>
          <w:noProof/>
          <w:sz w:val="14"/>
          <w:szCs w:val="14"/>
          <w:lang w:val="en-US" w:eastAsia="fr-FR"/>
        </w:rPr>
        <w:t xml:space="preserve"> </w:t>
      </w:r>
      <w:r w:rsidR="00DE77C6" w:rsidRPr="00DE77C6">
        <w:rPr>
          <w:rFonts w:ascii="Arial" w:hAnsi="Arial" w:cs="Arial"/>
          <w:noProof/>
          <w:sz w:val="14"/>
          <w:szCs w:val="14"/>
          <w:lang w:val="en-US" w:eastAsia="fr-FR"/>
        </w:rPr>
        <w:t>of corrosion</w:t>
      </w:r>
      <w:r w:rsidR="00DE77C6">
        <w:rPr>
          <w:rFonts w:ascii="Arial" w:hAnsi="Arial" w:cs="Arial"/>
          <w:noProof/>
          <w:sz w:val="14"/>
          <w:szCs w:val="14"/>
          <w:lang w:val="en-US" w:eastAsia="fr-FR"/>
        </w:rPr>
        <w:t xml:space="preserve"> on an albite</w:t>
      </w:r>
      <w:r w:rsidR="00DB3A40">
        <w:rPr>
          <w:rFonts w:ascii="Arial" w:hAnsi="Arial" w:cs="Arial"/>
          <w:noProof/>
          <w:sz w:val="14"/>
          <w:szCs w:val="14"/>
          <w:lang w:val="en-US" w:eastAsia="fr-FR"/>
        </w:rPr>
        <w:t xml:space="preserve"> grain</w:t>
      </w:r>
      <w:r w:rsidR="00DE77C6" w:rsidRPr="00DE77C6">
        <w:rPr>
          <w:rFonts w:ascii="Arial" w:hAnsi="Arial" w:cs="Arial"/>
          <w:noProof/>
          <w:sz w:val="14"/>
          <w:szCs w:val="14"/>
          <w:lang w:val="en-US" w:eastAsia="fr-FR"/>
        </w:rPr>
        <w:t xml:space="preserve"> observed in the</w:t>
      </w:r>
      <w:r w:rsidR="00DB3A40">
        <w:rPr>
          <w:rFonts w:ascii="Arial" w:hAnsi="Arial" w:cs="Arial"/>
          <w:noProof/>
          <w:sz w:val="14"/>
          <w:szCs w:val="14"/>
          <w:lang w:val="en-US" w:eastAsia="fr-FR"/>
        </w:rPr>
        <w:t xml:space="preserve"> </w:t>
      </w:r>
      <w:r w:rsidR="00DE77C6" w:rsidRPr="00DE77C6">
        <w:rPr>
          <w:rFonts w:ascii="Arial" w:hAnsi="Arial" w:cs="Arial"/>
          <w:noProof/>
          <w:sz w:val="14"/>
          <w:szCs w:val="14"/>
          <w:lang w:val="en-US" w:eastAsia="fr-FR"/>
        </w:rPr>
        <w:t>cataclasite</w:t>
      </w:r>
      <w:r w:rsidR="00A47C78">
        <w:rPr>
          <w:rFonts w:ascii="Arial" w:hAnsi="Arial" w:cs="Arial"/>
          <w:noProof/>
          <w:sz w:val="14"/>
          <w:szCs w:val="14"/>
          <w:lang w:val="en-US" w:eastAsia="fr-FR"/>
        </w:rPr>
        <w:t xml:space="preserve"> near the BFR, in the Pasagshak area</w:t>
      </w:r>
      <w:r w:rsidR="00DE77C6" w:rsidRPr="00DE77C6">
        <w:rPr>
          <w:rFonts w:ascii="Arial" w:hAnsi="Arial" w:cs="Arial"/>
          <w:noProof/>
          <w:sz w:val="14"/>
          <w:szCs w:val="14"/>
          <w:lang w:val="en-US" w:eastAsia="fr-FR"/>
        </w:rPr>
        <w:t>.</w:t>
      </w:r>
      <w:r>
        <w:rPr>
          <w:rFonts w:ascii="Arial" w:hAnsi="Arial" w:cs="Arial"/>
          <w:noProof/>
          <w:sz w:val="14"/>
          <w:szCs w:val="14"/>
          <w:lang w:val="en-US" w:eastAsia="fr-FR"/>
        </w:rPr>
        <w:t xml:space="preserve"> </w:t>
      </w:r>
      <w:r w:rsidR="00DE77C6">
        <w:rPr>
          <w:rFonts w:ascii="Arial" w:hAnsi="Arial" w:cs="Arial"/>
          <w:b/>
          <w:noProof/>
          <w:sz w:val="14"/>
          <w:szCs w:val="14"/>
          <w:lang w:val="en-US" w:eastAsia="fr-FR"/>
        </w:rPr>
        <w:t>b</w:t>
      </w:r>
      <w:r w:rsidRPr="00E12683">
        <w:rPr>
          <w:rFonts w:ascii="Arial" w:hAnsi="Arial" w:cs="Arial"/>
          <w:b/>
          <w:noProof/>
          <w:sz w:val="14"/>
          <w:szCs w:val="14"/>
          <w:lang w:val="en-US" w:eastAsia="fr-FR"/>
        </w:rPr>
        <w:t>,</w:t>
      </w:r>
      <w:r w:rsidR="00DE77C6">
        <w:rPr>
          <w:rFonts w:ascii="Arial" w:hAnsi="Arial" w:cs="Arial"/>
          <w:b/>
          <w:noProof/>
          <w:sz w:val="14"/>
          <w:szCs w:val="14"/>
          <w:lang w:val="en-US" w:eastAsia="fr-FR"/>
        </w:rPr>
        <w:t xml:space="preserve"> </w:t>
      </w:r>
      <w:r w:rsidR="00DE77C6">
        <w:rPr>
          <w:rFonts w:ascii="Arial" w:hAnsi="Arial" w:cs="Arial"/>
          <w:noProof/>
          <w:sz w:val="14"/>
          <w:szCs w:val="14"/>
          <w:lang w:val="en-US" w:eastAsia="fr-FR"/>
        </w:rPr>
        <w:t xml:space="preserve">Eroded and corroded texture of </w:t>
      </w:r>
      <w:r w:rsidR="00DB3A40">
        <w:rPr>
          <w:rFonts w:ascii="Arial" w:hAnsi="Arial" w:cs="Arial"/>
          <w:noProof/>
          <w:sz w:val="14"/>
          <w:szCs w:val="14"/>
          <w:lang w:val="en-US" w:eastAsia="fr-FR"/>
        </w:rPr>
        <w:t xml:space="preserve">an </w:t>
      </w:r>
      <w:r w:rsidR="00DE77C6">
        <w:rPr>
          <w:rFonts w:ascii="Arial" w:hAnsi="Arial" w:cs="Arial"/>
          <w:noProof/>
          <w:sz w:val="14"/>
          <w:szCs w:val="14"/>
          <w:lang w:val="en-US" w:eastAsia="fr-FR"/>
        </w:rPr>
        <w:t>albite</w:t>
      </w:r>
      <w:r w:rsidR="00DB3A40">
        <w:rPr>
          <w:rFonts w:ascii="Arial" w:hAnsi="Arial" w:cs="Arial"/>
          <w:noProof/>
          <w:sz w:val="14"/>
          <w:szCs w:val="14"/>
          <w:lang w:val="en-US" w:eastAsia="fr-FR"/>
        </w:rPr>
        <w:t xml:space="preserve"> grain</w:t>
      </w:r>
      <w:r w:rsidR="00DE77C6">
        <w:rPr>
          <w:rFonts w:ascii="Arial" w:hAnsi="Arial" w:cs="Arial"/>
          <w:noProof/>
          <w:sz w:val="14"/>
          <w:szCs w:val="14"/>
          <w:lang w:val="en-US" w:eastAsia="fr-FR"/>
        </w:rPr>
        <w:t xml:space="preserve"> wrap</w:t>
      </w:r>
      <w:r w:rsidR="00DB3A40">
        <w:rPr>
          <w:rFonts w:ascii="Arial" w:hAnsi="Arial" w:cs="Arial"/>
          <w:noProof/>
          <w:sz w:val="14"/>
          <w:szCs w:val="14"/>
          <w:lang w:val="en-US" w:eastAsia="fr-FR"/>
        </w:rPr>
        <w:t>ped</w:t>
      </w:r>
      <w:r w:rsidR="004321FA">
        <w:rPr>
          <w:rFonts w:ascii="Arial" w:hAnsi="Arial" w:cs="Arial"/>
          <w:noProof/>
          <w:sz w:val="14"/>
          <w:szCs w:val="14"/>
          <w:lang w:val="en-US" w:eastAsia="fr-FR"/>
        </w:rPr>
        <w:t xml:space="preserve"> in a shaly matrix</w:t>
      </w:r>
      <w:r w:rsidR="00A47C78">
        <w:rPr>
          <w:rFonts w:ascii="Arial" w:hAnsi="Arial" w:cs="Arial"/>
          <w:noProof/>
          <w:sz w:val="14"/>
          <w:szCs w:val="14"/>
          <w:lang w:val="en-US" w:eastAsia="fr-FR"/>
        </w:rPr>
        <w:t xml:space="preserve">, in </w:t>
      </w:r>
      <w:r w:rsidR="00595E12">
        <w:rPr>
          <w:rFonts w:ascii="Arial" w:hAnsi="Arial" w:cs="Arial"/>
          <w:noProof/>
          <w:sz w:val="14"/>
          <w:szCs w:val="14"/>
          <w:lang w:val="en-US" w:eastAsia="fr-FR"/>
        </w:rPr>
        <w:t>Ghost Rock Formation</w:t>
      </w:r>
      <w:r w:rsidR="004321FA">
        <w:rPr>
          <w:rFonts w:ascii="Arial" w:hAnsi="Arial" w:cs="Arial"/>
          <w:noProof/>
          <w:sz w:val="14"/>
          <w:szCs w:val="14"/>
          <w:lang w:val="en-US" w:eastAsia="fr-FR"/>
        </w:rPr>
        <w:t xml:space="preserve">. </w:t>
      </w:r>
      <w:r w:rsidR="00DA5CB9" w:rsidRPr="00DA5CB9">
        <w:rPr>
          <w:rFonts w:ascii="Arial" w:hAnsi="Arial" w:cs="Arial"/>
          <w:b/>
          <w:noProof/>
          <w:sz w:val="14"/>
          <w:szCs w:val="14"/>
          <w:lang w:val="en-US" w:eastAsia="fr-FR"/>
        </w:rPr>
        <w:t>c,</w:t>
      </w:r>
      <w:r w:rsidR="00DA5CB9">
        <w:rPr>
          <w:rFonts w:ascii="Arial" w:hAnsi="Arial" w:cs="Arial"/>
          <w:noProof/>
          <w:sz w:val="14"/>
          <w:szCs w:val="14"/>
          <w:lang w:val="en-US" w:eastAsia="fr-FR"/>
        </w:rPr>
        <w:t xml:space="preserve"> Corroded shape of quartz grain in the </w:t>
      </w:r>
      <w:r w:rsidR="00A47C78">
        <w:rPr>
          <w:rFonts w:ascii="Arial" w:hAnsi="Arial" w:cs="Arial"/>
          <w:noProof/>
          <w:sz w:val="14"/>
          <w:szCs w:val="14"/>
          <w:lang w:val="en-US" w:eastAsia="fr-FR"/>
        </w:rPr>
        <w:t xml:space="preserve">Hyuga Tectonic mélange, </w:t>
      </w:r>
      <w:r w:rsidR="00DA5CB9">
        <w:rPr>
          <w:rFonts w:ascii="Arial" w:hAnsi="Arial" w:cs="Arial"/>
          <w:noProof/>
          <w:sz w:val="14"/>
          <w:szCs w:val="14"/>
          <w:lang w:val="en-US" w:eastAsia="fr-FR"/>
        </w:rPr>
        <w:t>host-rock</w:t>
      </w:r>
      <w:r w:rsidR="00A47C78">
        <w:rPr>
          <w:rFonts w:ascii="Arial" w:hAnsi="Arial" w:cs="Arial"/>
          <w:noProof/>
          <w:sz w:val="14"/>
          <w:szCs w:val="14"/>
          <w:lang w:val="en-US" w:eastAsia="fr-FR"/>
        </w:rPr>
        <w:t xml:space="preserve"> of the Nobeoka BFR</w:t>
      </w:r>
      <w:r w:rsidR="00DA5CB9">
        <w:rPr>
          <w:rFonts w:ascii="Arial" w:hAnsi="Arial" w:cs="Arial"/>
          <w:noProof/>
          <w:sz w:val="14"/>
          <w:szCs w:val="14"/>
          <w:lang w:val="en-US" w:eastAsia="fr-FR"/>
        </w:rPr>
        <w:t xml:space="preserve">. </w:t>
      </w:r>
      <w:r w:rsidR="00DA5CB9" w:rsidRPr="00DA5CB9">
        <w:rPr>
          <w:rFonts w:ascii="Arial" w:hAnsi="Arial" w:cs="Arial"/>
          <w:b/>
          <w:noProof/>
          <w:sz w:val="14"/>
          <w:szCs w:val="14"/>
          <w:lang w:val="en-US" w:eastAsia="fr-FR"/>
        </w:rPr>
        <w:t>d,</w:t>
      </w:r>
      <w:r w:rsidR="00DA5CB9">
        <w:rPr>
          <w:rFonts w:ascii="Arial" w:hAnsi="Arial" w:cs="Arial"/>
          <w:noProof/>
          <w:sz w:val="14"/>
          <w:szCs w:val="14"/>
          <w:lang w:val="en-US" w:eastAsia="fr-FR"/>
        </w:rPr>
        <w:t xml:space="preserve"> Framboidal</w:t>
      </w:r>
      <w:r w:rsidR="00A47C78">
        <w:rPr>
          <w:rFonts w:ascii="Arial" w:hAnsi="Arial" w:cs="Arial"/>
          <w:noProof/>
          <w:sz w:val="14"/>
          <w:szCs w:val="14"/>
          <w:lang w:val="en-US" w:eastAsia="fr-FR"/>
        </w:rPr>
        <w:t>-</w:t>
      </w:r>
      <w:r w:rsidR="00DA5CB9">
        <w:rPr>
          <w:rFonts w:ascii="Arial" w:hAnsi="Arial" w:cs="Arial"/>
          <w:noProof/>
          <w:sz w:val="14"/>
          <w:szCs w:val="14"/>
          <w:lang w:val="en-US" w:eastAsia="fr-FR"/>
        </w:rPr>
        <w:t>shape</w:t>
      </w:r>
      <w:r w:rsidR="00A47C78">
        <w:rPr>
          <w:rFonts w:ascii="Arial" w:hAnsi="Arial" w:cs="Arial"/>
          <w:noProof/>
          <w:sz w:val="14"/>
          <w:szCs w:val="14"/>
          <w:lang w:val="en-US" w:eastAsia="fr-FR"/>
        </w:rPr>
        <w:t>d</w:t>
      </w:r>
      <w:r w:rsidR="00DA5CB9">
        <w:rPr>
          <w:rFonts w:ascii="Arial" w:hAnsi="Arial" w:cs="Arial"/>
          <w:noProof/>
          <w:sz w:val="14"/>
          <w:szCs w:val="14"/>
          <w:lang w:val="en-US" w:eastAsia="fr-FR"/>
        </w:rPr>
        <w:t xml:space="preserve"> grain of iron sulfide in the Nobeoka BFR layer. </w:t>
      </w:r>
      <w:r w:rsidR="00DA5CB9" w:rsidRPr="00DA5CB9">
        <w:rPr>
          <w:rFonts w:ascii="Arial" w:hAnsi="Arial" w:cs="Arial"/>
          <w:b/>
          <w:noProof/>
          <w:sz w:val="14"/>
          <w:szCs w:val="14"/>
          <w:lang w:val="en-US" w:eastAsia="fr-FR"/>
        </w:rPr>
        <w:t>a, b,</w:t>
      </w:r>
      <w:r w:rsidR="00DA5CB9">
        <w:rPr>
          <w:rFonts w:ascii="Arial" w:hAnsi="Arial" w:cs="Arial"/>
          <w:noProof/>
          <w:sz w:val="14"/>
          <w:szCs w:val="14"/>
          <w:lang w:val="en-US" w:eastAsia="fr-FR"/>
        </w:rPr>
        <w:t xml:space="preserve"> Kodiak Accretionary Complex </w:t>
      </w:r>
      <w:r w:rsidR="00DA5CB9" w:rsidRPr="00DA5CB9">
        <w:rPr>
          <w:rFonts w:ascii="Arial" w:hAnsi="Arial" w:cs="Arial"/>
          <w:b/>
          <w:noProof/>
          <w:sz w:val="14"/>
          <w:szCs w:val="14"/>
          <w:lang w:val="en-US" w:eastAsia="fr-FR"/>
        </w:rPr>
        <w:t>c, d,</w:t>
      </w:r>
      <w:r w:rsidR="00DA5CB9">
        <w:rPr>
          <w:rFonts w:ascii="Arial" w:hAnsi="Arial" w:cs="Arial"/>
          <w:noProof/>
          <w:sz w:val="14"/>
          <w:szCs w:val="14"/>
          <w:lang w:val="en-US" w:eastAsia="fr-FR"/>
        </w:rPr>
        <w:t xml:space="preserve"> Shimanto Belt</w:t>
      </w:r>
    </w:p>
    <w:p w14:paraId="5469E470" w14:textId="0D741971" w:rsidR="00F6536F" w:rsidRDefault="00F6536F">
      <w:pPr>
        <w:spacing w:line="259" w:lineRule="auto"/>
        <w:jc w:val="left"/>
        <w:rPr>
          <w:rFonts w:ascii="Arial" w:hAnsi="Arial" w:cs="Arial"/>
          <w:noProof/>
          <w:sz w:val="14"/>
          <w:szCs w:val="14"/>
          <w:lang w:val="en-US" w:eastAsia="fr-FR"/>
        </w:rPr>
      </w:pPr>
      <w:r>
        <w:rPr>
          <w:rFonts w:ascii="Arial" w:hAnsi="Arial" w:cs="Arial"/>
          <w:noProof/>
          <w:sz w:val="14"/>
          <w:szCs w:val="14"/>
          <w:lang w:val="en-US" w:eastAsia="fr-FR"/>
        </w:rPr>
        <w:br w:type="page"/>
      </w:r>
      <w:r w:rsidRPr="00F6536F">
        <w:rPr>
          <w:rFonts w:ascii="Arial" w:hAnsi="Arial" w:cs="Arial"/>
          <w:noProof/>
          <w:sz w:val="14"/>
          <w:szCs w:val="14"/>
          <w:lang w:eastAsia="fr-FR"/>
        </w:rPr>
        <w:lastRenderedPageBreak/>
        <w:drawing>
          <wp:inline distT="0" distB="0" distL="0" distR="0" wp14:anchorId="58815657" wp14:editId="5C427C7A">
            <wp:extent cx="5760720" cy="3715642"/>
            <wp:effectExtent l="0" t="0" r="0" b="0"/>
            <wp:docPr id="8" name="Image 8" descr="C:\Users\bmorismuttoni\Desktop\Recherche\_Articles\PST\Figures\Supp1\T-t_10secondesHN_v2_definition_T_melt-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morismuttoni\Desktop\Recherche\_Articles\PST\Figures\Supp1\T-t_10secondesHN_v2_definition_T_melt-0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720" cy="3715642"/>
                    </a:xfrm>
                    <a:prstGeom prst="rect">
                      <a:avLst/>
                    </a:prstGeom>
                    <a:noFill/>
                    <a:ln>
                      <a:noFill/>
                    </a:ln>
                  </pic:spPr>
                </pic:pic>
              </a:graphicData>
            </a:graphic>
          </wp:inline>
        </w:drawing>
      </w:r>
    </w:p>
    <w:p w14:paraId="6BB60219" w14:textId="17F966FC" w:rsidR="00F6536F" w:rsidRPr="00F6536F" w:rsidRDefault="00F6536F" w:rsidP="00F6536F">
      <w:pPr>
        <w:spacing w:line="276" w:lineRule="auto"/>
        <w:jc w:val="left"/>
        <w:rPr>
          <w:rFonts w:ascii="Arial" w:hAnsi="Arial" w:cs="Arial"/>
          <w:noProof/>
          <w:sz w:val="14"/>
          <w:szCs w:val="14"/>
          <w:lang w:val="en-US" w:eastAsia="fr-FR"/>
        </w:rPr>
      </w:pPr>
      <w:r w:rsidRPr="00775894">
        <w:rPr>
          <w:rFonts w:ascii="Arial" w:hAnsi="Arial" w:cs="Arial"/>
          <w:b/>
          <w:sz w:val="14"/>
          <w:szCs w:val="14"/>
          <w:lang w:val="en-US"/>
        </w:rPr>
        <w:t>Supplementary</w:t>
      </w:r>
      <w:r w:rsidRPr="00775894">
        <w:rPr>
          <w:rFonts w:ascii="Arial" w:hAnsi="Arial" w:cs="Arial"/>
          <w:b/>
          <w:noProof/>
          <w:sz w:val="14"/>
          <w:szCs w:val="14"/>
          <w:lang w:val="en-US" w:eastAsia="fr-FR"/>
        </w:rPr>
        <w:t xml:space="preserve"> Figure </w:t>
      </w:r>
      <w:r w:rsidR="003A5BA0">
        <w:rPr>
          <w:rFonts w:ascii="Arial" w:hAnsi="Arial" w:cs="Arial"/>
          <w:b/>
          <w:noProof/>
          <w:sz w:val="14"/>
          <w:szCs w:val="14"/>
          <w:lang w:val="en-US" w:eastAsia="fr-FR"/>
        </w:rPr>
        <w:t>5</w:t>
      </w:r>
      <w:r w:rsidRPr="00775894">
        <w:rPr>
          <w:rFonts w:ascii="Arial" w:hAnsi="Arial" w:cs="Arial"/>
          <w:b/>
          <w:noProof/>
          <w:sz w:val="14"/>
          <w:szCs w:val="14"/>
          <w:lang w:val="en-US" w:eastAsia="fr-FR"/>
        </w:rPr>
        <w:t xml:space="preserve"> </w:t>
      </w:r>
      <w:r w:rsidRPr="00775894">
        <w:rPr>
          <w:rFonts w:ascii="Arial" w:hAnsi="Arial" w:cs="Arial"/>
          <w:b/>
          <w:bCs/>
          <w:sz w:val="14"/>
          <w:szCs w:val="14"/>
          <w:lang w:val="en-US"/>
        </w:rPr>
        <w:t>|</w:t>
      </w:r>
      <w:r w:rsidRPr="00775894">
        <w:rPr>
          <w:rFonts w:ascii="Arial" w:hAnsi="Arial" w:cs="Arial"/>
          <w:b/>
          <w:noProof/>
          <w:sz w:val="14"/>
          <w:szCs w:val="14"/>
          <w:lang w:val="en-US" w:eastAsia="fr-FR"/>
        </w:rPr>
        <w:t xml:space="preserve"> T-t-IR diagram</w:t>
      </w:r>
      <w:r w:rsidR="00775894" w:rsidRPr="00775894">
        <w:rPr>
          <w:rFonts w:ascii="Arial" w:hAnsi="Arial" w:cs="Arial"/>
          <w:b/>
          <w:noProof/>
          <w:sz w:val="14"/>
          <w:szCs w:val="14"/>
          <w:lang w:val="en-US" w:eastAsia="fr-FR"/>
        </w:rPr>
        <w:t xml:space="preserve"> from the kinetics experiments on </w:t>
      </w:r>
      <w:r w:rsidR="00775894">
        <w:rPr>
          <w:rFonts w:ascii="Arial" w:hAnsi="Arial" w:cs="Arial"/>
          <w:b/>
          <w:noProof/>
          <w:sz w:val="14"/>
          <w:szCs w:val="14"/>
          <w:lang w:val="en-US" w:eastAsia="fr-FR"/>
        </w:rPr>
        <w:t>HN78</w:t>
      </w:r>
      <w:r w:rsidRPr="00775894">
        <w:rPr>
          <w:rFonts w:ascii="Arial" w:hAnsi="Arial" w:cs="Arial"/>
          <w:b/>
          <w:noProof/>
          <w:sz w:val="14"/>
          <w:szCs w:val="14"/>
          <w:lang w:val="en-US" w:eastAsia="fr-FR"/>
        </w:rPr>
        <w:t xml:space="preserve">. </w:t>
      </w:r>
      <w:r w:rsidRPr="00F6536F">
        <w:rPr>
          <w:rFonts w:ascii="Arial" w:hAnsi="Arial" w:cs="Arial"/>
          <w:noProof/>
          <w:sz w:val="14"/>
          <w:szCs w:val="14"/>
          <w:lang w:val="en-US" w:eastAsia="fr-FR"/>
        </w:rPr>
        <w:t>Modelling of the IR evolution as a function of time and temperature</w:t>
      </w:r>
      <w:r>
        <w:rPr>
          <w:rFonts w:ascii="Arial" w:hAnsi="Arial" w:cs="Arial"/>
          <w:noProof/>
          <w:sz w:val="14"/>
          <w:szCs w:val="14"/>
          <w:lang w:val="en-US" w:eastAsia="fr-FR"/>
        </w:rPr>
        <w:t xml:space="preserve"> showing the maximum temperature required to detect the frictional heating for a slip duration of 1 second.  </w:t>
      </w:r>
    </w:p>
    <w:p w14:paraId="3FB570B0" w14:textId="77777777" w:rsidR="000941FA" w:rsidRPr="00F6536F" w:rsidRDefault="000941FA">
      <w:pPr>
        <w:spacing w:line="259" w:lineRule="auto"/>
        <w:jc w:val="left"/>
        <w:rPr>
          <w:rFonts w:ascii="Arial" w:hAnsi="Arial" w:cs="Arial"/>
          <w:noProof/>
          <w:sz w:val="14"/>
          <w:szCs w:val="14"/>
          <w:lang w:val="en-US" w:eastAsia="fr-FR"/>
        </w:rPr>
      </w:pPr>
    </w:p>
    <w:p w14:paraId="71E21B90" w14:textId="77777777" w:rsidR="004A42A7" w:rsidRPr="00F6536F" w:rsidRDefault="004A42A7" w:rsidP="004A42A7">
      <w:pPr>
        <w:spacing w:line="276" w:lineRule="auto"/>
        <w:jc w:val="left"/>
        <w:rPr>
          <w:rFonts w:ascii="Arial" w:hAnsi="Arial" w:cs="Arial"/>
          <w:b/>
          <w:noProof/>
          <w:sz w:val="14"/>
          <w:szCs w:val="14"/>
          <w:lang w:val="en-US" w:eastAsia="fr-FR"/>
        </w:rPr>
      </w:pPr>
    </w:p>
    <w:p w14:paraId="5888A9C7" w14:textId="77777777" w:rsidR="004A42A7" w:rsidRPr="00F6536F" w:rsidRDefault="004A42A7" w:rsidP="004A42A7">
      <w:pPr>
        <w:spacing w:line="276" w:lineRule="auto"/>
        <w:rPr>
          <w:rFonts w:ascii="Arial" w:hAnsi="Arial" w:cs="Arial"/>
          <w:b/>
          <w:noProof/>
          <w:sz w:val="14"/>
          <w:szCs w:val="14"/>
          <w:lang w:val="en-US" w:eastAsia="fr-FR"/>
        </w:rPr>
      </w:pPr>
    </w:p>
    <w:p w14:paraId="0DE6145B" w14:textId="77777777" w:rsidR="004A42A7" w:rsidRPr="00F6536F" w:rsidRDefault="004A42A7" w:rsidP="004A42A7">
      <w:pPr>
        <w:spacing w:line="276" w:lineRule="auto"/>
        <w:rPr>
          <w:rFonts w:ascii="Arial" w:hAnsi="Arial" w:cs="Arial"/>
          <w:b/>
          <w:noProof/>
          <w:sz w:val="14"/>
          <w:szCs w:val="14"/>
          <w:lang w:val="en-US" w:eastAsia="fr-FR"/>
        </w:rPr>
      </w:pPr>
    </w:p>
    <w:p w14:paraId="4EA7B176" w14:textId="77777777" w:rsidR="004A42A7" w:rsidRPr="00F6536F" w:rsidRDefault="004A42A7" w:rsidP="004A42A7">
      <w:pPr>
        <w:spacing w:line="276" w:lineRule="auto"/>
        <w:rPr>
          <w:rFonts w:ascii="Arial" w:hAnsi="Arial" w:cs="Arial"/>
          <w:b/>
          <w:noProof/>
          <w:sz w:val="14"/>
          <w:szCs w:val="14"/>
          <w:lang w:val="en-US" w:eastAsia="fr-FR"/>
        </w:rPr>
      </w:pPr>
    </w:p>
    <w:p w14:paraId="124FE3DF" w14:textId="77777777" w:rsidR="004A42A7" w:rsidRPr="00F6536F" w:rsidRDefault="004A42A7" w:rsidP="004A42A7">
      <w:pPr>
        <w:spacing w:line="276" w:lineRule="auto"/>
        <w:rPr>
          <w:rFonts w:ascii="Arial" w:hAnsi="Arial" w:cs="Arial"/>
          <w:b/>
          <w:noProof/>
          <w:sz w:val="14"/>
          <w:szCs w:val="14"/>
          <w:lang w:val="en-US" w:eastAsia="fr-FR"/>
        </w:rPr>
      </w:pPr>
    </w:p>
    <w:p w14:paraId="1DE599FC" w14:textId="77777777" w:rsidR="004A42A7" w:rsidRPr="00F6536F" w:rsidRDefault="004A42A7" w:rsidP="004A42A7">
      <w:pPr>
        <w:spacing w:line="276" w:lineRule="auto"/>
        <w:rPr>
          <w:rFonts w:ascii="Arial" w:hAnsi="Arial" w:cs="Arial"/>
          <w:b/>
          <w:noProof/>
          <w:sz w:val="14"/>
          <w:szCs w:val="14"/>
          <w:lang w:val="en-US" w:eastAsia="fr-FR"/>
        </w:rPr>
      </w:pPr>
    </w:p>
    <w:p w14:paraId="0C512653" w14:textId="77777777" w:rsidR="004A42A7" w:rsidRPr="00F6536F" w:rsidRDefault="004A42A7" w:rsidP="004A42A7">
      <w:pPr>
        <w:spacing w:line="276" w:lineRule="auto"/>
        <w:rPr>
          <w:rFonts w:ascii="Arial" w:hAnsi="Arial" w:cs="Arial"/>
          <w:b/>
          <w:noProof/>
          <w:sz w:val="14"/>
          <w:szCs w:val="14"/>
          <w:lang w:val="en-US" w:eastAsia="fr-FR"/>
        </w:rPr>
      </w:pPr>
    </w:p>
    <w:p w14:paraId="20380676" w14:textId="77777777" w:rsidR="004A42A7" w:rsidRPr="00F6536F" w:rsidRDefault="004A42A7" w:rsidP="004A42A7">
      <w:pPr>
        <w:spacing w:line="276" w:lineRule="auto"/>
        <w:rPr>
          <w:rFonts w:ascii="Arial" w:hAnsi="Arial" w:cs="Arial"/>
          <w:b/>
          <w:noProof/>
          <w:sz w:val="14"/>
          <w:szCs w:val="14"/>
          <w:lang w:val="en-US" w:eastAsia="fr-FR"/>
        </w:rPr>
      </w:pPr>
    </w:p>
    <w:p w14:paraId="205C9B36" w14:textId="77777777" w:rsidR="004A42A7" w:rsidRPr="00F6536F" w:rsidRDefault="004A42A7" w:rsidP="004A42A7">
      <w:pPr>
        <w:spacing w:line="276" w:lineRule="auto"/>
        <w:rPr>
          <w:rFonts w:ascii="Arial" w:hAnsi="Arial" w:cs="Arial"/>
          <w:b/>
          <w:noProof/>
          <w:sz w:val="14"/>
          <w:szCs w:val="14"/>
          <w:lang w:val="en-US" w:eastAsia="fr-FR"/>
        </w:rPr>
      </w:pPr>
    </w:p>
    <w:p w14:paraId="1BBB1EE4" w14:textId="715F20B6" w:rsidR="004A42A7" w:rsidRPr="00F6536F" w:rsidRDefault="004A42A7" w:rsidP="004A42A7">
      <w:pPr>
        <w:spacing w:line="276" w:lineRule="auto"/>
        <w:rPr>
          <w:rFonts w:ascii="Arial" w:hAnsi="Arial" w:cs="Arial"/>
          <w:b/>
          <w:noProof/>
          <w:sz w:val="14"/>
          <w:szCs w:val="14"/>
          <w:lang w:val="en-US" w:eastAsia="fr-FR"/>
        </w:rPr>
      </w:pPr>
    </w:p>
    <w:p w14:paraId="6976E3FF" w14:textId="11158D79" w:rsidR="00F6536F" w:rsidRPr="00F6536F" w:rsidRDefault="00F6536F" w:rsidP="004A42A7">
      <w:pPr>
        <w:spacing w:line="276" w:lineRule="auto"/>
        <w:rPr>
          <w:rFonts w:ascii="Arial" w:hAnsi="Arial" w:cs="Arial"/>
          <w:b/>
          <w:noProof/>
          <w:sz w:val="14"/>
          <w:szCs w:val="14"/>
          <w:lang w:val="en-US" w:eastAsia="fr-FR"/>
        </w:rPr>
      </w:pPr>
    </w:p>
    <w:p w14:paraId="02E11AA6" w14:textId="10C814EB" w:rsidR="00F6536F" w:rsidRPr="00F6536F" w:rsidRDefault="00F6536F" w:rsidP="004A42A7">
      <w:pPr>
        <w:spacing w:line="276" w:lineRule="auto"/>
        <w:rPr>
          <w:rFonts w:ascii="Arial" w:hAnsi="Arial" w:cs="Arial"/>
          <w:b/>
          <w:noProof/>
          <w:sz w:val="14"/>
          <w:szCs w:val="14"/>
          <w:lang w:val="en-US" w:eastAsia="fr-FR"/>
        </w:rPr>
      </w:pPr>
    </w:p>
    <w:p w14:paraId="66D74134" w14:textId="6AED63D2" w:rsidR="00F6536F" w:rsidRPr="00F6536F" w:rsidRDefault="00F6536F" w:rsidP="004A42A7">
      <w:pPr>
        <w:spacing w:line="276" w:lineRule="auto"/>
        <w:rPr>
          <w:rFonts w:ascii="Arial" w:hAnsi="Arial" w:cs="Arial"/>
          <w:b/>
          <w:noProof/>
          <w:sz w:val="14"/>
          <w:szCs w:val="14"/>
          <w:lang w:val="en-US" w:eastAsia="fr-FR"/>
        </w:rPr>
      </w:pPr>
    </w:p>
    <w:p w14:paraId="301B59C3" w14:textId="244F6C07" w:rsidR="00F6536F" w:rsidRPr="00F6536F" w:rsidRDefault="00F6536F" w:rsidP="004A42A7">
      <w:pPr>
        <w:spacing w:line="276" w:lineRule="auto"/>
        <w:rPr>
          <w:rFonts w:ascii="Arial" w:hAnsi="Arial" w:cs="Arial"/>
          <w:b/>
          <w:noProof/>
          <w:sz w:val="14"/>
          <w:szCs w:val="14"/>
          <w:lang w:val="en-US" w:eastAsia="fr-FR"/>
        </w:rPr>
      </w:pPr>
    </w:p>
    <w:p w14:paraId="15F00863" w14:textId="347E6827" w:rsidR="00F6536F" w:rsidRPr="00F6536F" w:rsidRDefault="00F6536F" w:rsidP="004A42A7">
      <w:pPr>
        <w:spacing w:line="276" w:lineRule="auto"/>
        <w:rPr>
          <w:rFonts w:ascii="Arial" w:hAnsi="Arial" w:cs="Arial"/>
          <w:b/>
          <w:noProof/>
          <w:sz w:val="14"/>
          <w:szCs w:val="14"/>
          <w:lang w:val="en-US" w:eastAsia="fr-FR"/>
        </w:rPr>
      </w:pPr>
    </w:p>
    <w:p w14:paraId="706E5DC2" w14:textId="550FC127" w:rsidR="00F6536F" w:rsidRPr="00F6536F" w:rsidRDefault="00F6536F" w:rsidP="004A42A7">
      <w:pPr>
        <w:spacing w:line="276" w:lineRule="auto"/>
        <w:rPr>
          <w:rFonts w:ascii="Arial" w:hAnsi="Arial" w:cs="Arial"/>
          <w:b/>
          <w:noProof/>
          <w:sz w:val="14"/>
          <w:szCs w:val="14"/>
          <w:lang w:val="en-US" w:eastAsia="fr-FR"/>
        </w:rPr>
      </w:pPr>
    </w:p>
    <w:p w14:paraId="5871E1BD" w14:textId="23EDF112" w:rsidR="00F6536F" w:rsidRPr="00F6536F" w:rsidRDefault="00F6536F" w:rsidP="004A42A7">
      <w:pPr>
        <w:spacing w:line="276" w:lineRule="auto"/>
        <w:rPr>
          <w:rFonts w:ascii="Arial" w:hAnsi="Arial" w:cs="Arial"/>
          <w:b/>
          <w:noProof/>
          <w:sz w:val="14"/>
          <w:szCs w:val="14"/>
          <w:lang w:val="en-US" w:eastAsia="fr-FR"/>
        </w:rPr>
      </w:pPr>
    </w:p>
    <w:p w14:paraId="7A45F81B" w14:textId="694C2954" w:rsidR="00F6536F" w:rsidRPr="00F6536F" w:rsidRDefault="00F6536F" w:rsidP="004A42A7">
      <w:pPr>
        <w:spacing w:line="276" w:lineRule="auto"/>
        <w:rPr>
          <w:rFonts w:ascii="Arial" w:hAnsi="Arial" w:cs="Arial"/>
          <w:b/>
          <w:noProof/>
          <w:sz w:val="14"/>
          <w:szCs w:val="14"/>
          <w:lang w:val="en-US" w:eastAsia="fr-FR"/>
        </w:rPr>
      </w:pPr>
    </w:p>
    <w:p w14:paraId="29DA6FBB" w14:textId="77777777" w:rsidR="00F6536F" w:rsidRPr="00F6536F" w:rsidRDefault="00F6536F" w:rsidP="004A42A7">
      <w:pPr>
        <w:spacing w:line="276" w:lineRule="auto"/>
        <w:rPr>
          <w:rFonts w:ascii="Arial" w:hAnsi="Arial" w:cs="Arial"/>
          <w:b/>
          <w:noProof/>
          <w:sz w:val="14"/>
          <w:szCs w:val="14"/>
          <w:lang w:val="en-US" w:eastAsia="fr-FR"/>
        </w:rPr>
      </w:pPr>
    </w:p>
    <w:p w14:paraId="749CD41C" w14:textId="77777777" w:rsidR="004A42A7" w:rsidRPr="00F6536F" w:rsidRDefault="004A42A7" w:rsidP="004A42A7">
      <w:pPr>
        <w:spacing w:line="276" w:lineRule="auto"/>
        <w:rPr>
          <w:rFonts w:ascii="Arial" w:hAnsi="Arial" w:cs="Arial"/>
          <w:b/>
          <w:noProof/>
          <w:sz w:val="14"/>
          <w:szCs w:val="14"/>
          <w:lang w:val="en-US" w:eastAsia="fr-FR"/>
        </w:rPr>
      </w:pPr>
    </w:p>
    <w:p w14:paraId="02138B20" w14:textId="0C8E1983" w:rsidR="004A42A7" w:rsidRPr="00F6536F" w:rsidRDefault="004A42A7" w:rsidP="004A42A7">
      <w:pPr>
        <w:spacing w:line="276" w:lineRule="auto"/>
        <w:rPr>
          <w:rFonts w:ascii="Arial" w:hAnsi="Arial" w:cs="Arial"/>
          <w:b/>
          <w:noProof/>
          <w:sz w:val="14"/>
          <w:szCs w:val="14"/>
          <w:lang w:val="en-US" w:eastAsia="fr-FR"/>
        </w:rPr>
      </w:pPr>
    </w:p>
    <w:p w14:paraId="42CCFBC7" w14:textId="77777777" w:rsidR="004A42A7" w:rsidRPr="00F6536F" w:rsidRDefault="004A42A7" w:rsidP="004A42A7">
      <w:pPr>
        <w:spacing w:line="276" w:lineRule="auto"/>
        <w:rPr>
          <w:rFonts w:ascii="Arial" w:hAnsi="Arial" w:cs="Arial"/>
          <w:b/>
          <w:noProof/>
          <w:sz w:val="14"/>
          <w:szCs w:val="14"/>
          <w:lang w:val="en-US" w:eastAsia="fr-FR"/>
        </w:rPr>
      </w:pPr>
    </w:p>
    <w:p w14:paraId="4CE3E121" w14:textId="1FFF9886" w:rsidR="004A42A7" w:rsidRPr="00595E12" w:rsidRDefault="002E6DC9" w:rsidP="004A42A7">
      <w:pPr>
        <w:spacing w:line="276" w:lineRule="auto"/>
        <w:rPr>
          <w:rFonts w:ascii="Arial" w:hAnsi="Arial" w:cs="Arial"/>
          <w:noProof/>
          <w:sz w:val="14"/>
          <w:szCs w:val="14"/>
          <w:lang w:val="en-US" w:eastAsia="fr-FR"/>
        </w:rPr>
      </w:pPr>
      <w:r>
        <w:rPr>
          <w:rFonts w:ascii="Arial" w:hAnsi="Arial" w:cs="Arial"/>
          <w:b/>
          <w:noProof/>
          <w:sz w:val="14"/>
          <w:szCs w:val="14"/>
          <w:lang w:val="en-US" w:eastAsia="fr-FR"/>
        </w:rPr>
        <w:t>Supplementary</w:t>
      </w:r>
      <w:r w:rsidR="004A42A7" w:rsidRPr="00614A91">
        <w:rPr>
          <w:rFonts w:ascii="Arial" w:hAnsi="Arial" w:cs="Arial"/>
          <w:b/>
          <w:noProof/>
          <w:sz w:val="14"/>
          <w:szCs w:val="14"/>
          <w:lang w:val="en-US" w:eastAsia="fr-FR"/>
        </w:rPr>
        <w:t xml:space="preserve"> Table 1 </w:t>
      </w:r>
      <w:r w:rsidR="004A42A7" w:rsidRPr="007E184F">
        <w:rPr>
          <w:rFonts w:ascii="Arial" w:hAnsi="Arial" w:cs="Arial"/>
          <w:b/>
          <w:bCs/>
          <w:sz w:val="14"/>
          <w:szCs w:val="14"/>
          <w:lang w:val="en-GB"/>
        </w:rPr>
        <w:t>|</w:t>
      </w:r>
      <w:r w:rsidR="004A42A7" w:rsidRPr="00614A91">
        <w:rPr>
          <w:rFonts w:ascii="Arial" w:hAnsi="Arial" w:cs="Arial"/>
          <w:b/>
          <w:noProof/>
          <w:sz w:val="14"/>
          <w:szCs w:val="14"/>
          <w:lang w:val="en-US" w:eastAsia="fr-FR"/>
        </w:rPr>
        <w:t xml:space="preserve"> Raman Spectroscopy parameters from maturation experiments on the sample HN78 from Hyuga coherent unit in Shimanto (Japan). </w:t>
      </w:r>
      <w:r w:rsidR="00595E12">
        <w:rPr>
          <w:rFonts w:ascii="Arial" w:hAnsi="Arial" w:cs="Arial"/>
          <w:noProof/>
          <w:sz w:val="14"/>
          <w:szCs w:val="14"/>
          <w:lang w:val="en-US" w:eastAsia="fr-FR"/>
        </w:rPr>
        <w:t>Estimated temp. = Apparent RSCM temperature obtained using Lahfid et al. (2010) and Beyssac et al. (2002) calibrations</w:t>
      </w:r>
    </w:p>
    <w:p w14:paraId="5D4085AE" w14:textId="77777777" w:rsidR="004A42A7" w:rsidRDefault="004A42A7" w:rsidP="004A42A7">
      <w:pPr>
        <w:rPr>
          <w:noProof/>
          <w:lang w:val="en-US" w:eastAsia="fr-FR"/>
        </w:rPr>
      </w:pPr>
      <w:r w:rsidRPr="0066599D">
        <w:rPr>
          <w:noProof/>
          <w:lang w:eastAsia="fr-FR"/>
        </w:rPr>
        <w:drawing>
          <wp:inline distT="0" distB="0" distL="0" distR="0" wp14:anchorId="13D745B4" wp14:editId="4499B912">
            <wp:extent cx="5760720" cy="2225675"/>
            <wp:effectExtent l="0" t="0" r="0" b="3175"/>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2225675"/>
                    </a:xfrm>
                    <a:prstGeom prst="rect">
                      <a:avLst/>
                    </a:prstGeom>
                    <a:noFill/>
                    <a:ln>
                      <a:noFill/>
                    </a:ln>
                  </pic:spPr>
                </pic:pic>
              </a:graphicData>
            </a:graphic>
          </wp:inline>
        </w:drawing>
      </w:r>
    </w:p>
    <w:p w14:paraId="0F55441F" w14:textId="77777777" w:rsidR="004A42A7" w:rsidRDefault="004A42A7" w:rsidP="004A42A7">
      <w:pPr>
        <w:spacing w:line="259" w:lineRule="auto"/>
        <w:jc w:val="left"/>
        <w:rPr>
          <w:noProof/>
          <w:lang w:val="en-US" w:eastAsia="fr-FR"/>
        </w:rPr>
      </w:pPr>
      <w:r>
        <w:rPr>
          <w:noProof/>
          <w:lang w:val="en-US" w:eastAsia="fr-FR"/>
        </w:rPr>
        <w:br w:type="page"/>
      </w:r>
    </w:p>
    <w:p w14:paraId="55231FEB" w14:textId="77777777" w:rsidR="004A42A7" w:rsidRDefault="004A42A7" w:rsidP="004A42A7">
      <w:pPr>
        <w:rPr>
          <w:rFonts w:ascii="Arial" w:hAnsi="Arial" w:cs="Arial"/>
          <w:b/>
          <w:noProof/>
          <w:sz w:val="14"/>
          <w:szCs w:val="14"/>
          <w:lang w:val="en-US" w:eastAsia="fr-FR"/>
        </w:rPr>
      </w:pPr>
    </w:p>
    <w:p w14:paraId="3F8C5F3A" w14:textId="77777777" w:rsidR="004A42A7" w:rsidRDefault="004A42A7" w:rsidP="004A42A7">
      <w:pPr>
        <w:rPr>
          <w:rFonts w:ascii="Arial" w:hAnsi="Arial" w:cs="Arial"/>
          <w:b/>
          <w:noProof/>
          <w:sz w:val="14"/>
          <w:szCs w:val="14"/>
          <w:lang w:val="en-US" w:eastAsia="fr-FR"/>
        </w:rPr>
      </w:pPr>
    </w:p>
    <w:p w14:paraId="072DFA48" w14:textId="77777777" w:rsidR="004A42A7" w:rsidRDefault="004A42A7" w:rsidP="004A42A7">
      <w:pPr>
        <w:rPr>
          <w:rFonts w:ascii="Arial" w:hAnsi="Arial" w:cs="Arial"/>
          <w:b/>
          <w:noProof/>
          <w:sz w:val="14"/>
          <w:szCs w:val="14"/>
          <w:lang w:val="en-US" w:eastAsia="fr-FR"/>
        </w:rPr>
      </w:pPr>
    </w:p>
    <w:p w14:paraId="09E75734" w14:textId="77777777" w:rsidR="004A42A7" w:rsidRDefault="004A42A7" w:rsidP="004A42A7">
      <w:pPr>
        <w:rPr>
          <w:rFonts w:ascii="Arial" w:hAnsi="Arial" w:cs="Arial"/>
          <w:b/>
          <w:noProof/>
          <w:sz w:val="14"/>
          <w:szCs w:val="14"/>
          <w:lang w:val="en-US" w:eastAsia="fr-FR"/>
        </w:rPr>
      </w:pPr>
    </w:p>
    <w:p w14:paraId="0B091E77" w14:textId="77777777" w:rsidR="004A42A7" w:rsidRDefault="004A42A7" w:rsidP="004A42A7">
      <w:pPr>
        <w:rPr>
          <w:rFonts w:ascii="Arial" w:hAnsi="Arial" w:cs="Arial"/>
          <w:b/>
          <w:noProof/>
          <w:sz w:val="14"/>
          <w:szCs w:val="14"/>
          <w:lang w:val="en-US" w:eastAsia="fr-FR"/>
        </w:rPr>
      </w:pPr>
    </w:p>
    <w:p w14:paraId="77E27406" w14:textId="77777777" w:rsidR="004A42A7" w:rsidRDefault="004A42A7" w:rsidP="004A42A7">
      <w:pPr>
        <w:rPr>
          <w:rFonts w:ascii="Arial" w:hAnsi="Arial" w:cs="Arial"/>
          <w:b/>
          <w:noProof/>
          <w:sz w:val="14"/>
          <w:szCs w:val="14"/>
          <w:lang w:val="en-US" w:eastAsia="fr-FR"/>
        </w:rPr>
      </w:pPr>
    </w:p>
    <w:p w14:paraId="59EB784C" w14:textId="5EC0C1C5" w:rsidR="004A42A7" w:rsidRDefault="004A42A7" w:rsidP="004A42A7">
      <w:pPr>
        <w:rPr>
          <w:rFonts w:ascii="Arial" w:hAnsi="Arial" w:cs="Arial"/>
          <w:b/>
          <w:noProof/>
          <w:sz w:val="14"/>
          <w:szCs w:val="14"/>
          <w:lang w:val="en-US" w:eastAsia="fr-FR"/>
        </w:rPr>
      </w:pPr>
    </w:p>
    <w:p w14:paraId="3972EB67" w14:textId="77777777" w:rsidR="004A42A7" w:rsidRDefault="004A42A7" w:rsidP="004A42A7">
      <w:pPr>
        <w:rPr>
          <w:rFonts w:ascii="Arial" w:hAnsi="Arial" w:cs="Arial"/>
          <w:b/>
          <w:noProof/>
          <w:sz w:val="14"/>
          <w:szCs w:val="14"/>
          <w:lang w:val="en-US" w:eastAsia="fr-FR"/>
        </w:rPr>
      </w:pPr>
    </w:p>
    <w:p w14:paraId="08BDA88F" w14:textId="77777777" w:rsidR="004A42A7" w:rsidRDefault="004A42A7" w:rsidP="004A42A7">
      <w:pPr>
        <w:rPr>
          <w:rFonts w:ascii="Arial" w:hAnsi="Arial" w:cs="Arial"/>
          <w:b/>
          <w:noProof/>
          <w:sz w:val="14"/>
          <w:szCs w:val="14"/>
          <w:lang w:val="en-US" w:eastAsia="fr-FR"/>
        </w:rPr>
      </w:pPr>
    </w:p>
    <w:p w14:paraId="6EF83D21" w14:textId="4EA8EA68" w:rsidR="004A42A7" w:rsidRPr="00614A91" w:rsidRDefault="002E6DC9" w:rsidP="004A42A7">
      <w:pPr>
        <w:rPr>
          <w:rFonts w:ascii="Arial" w:hAnsi="Arial" w:cs="Arial"/>
          <w:b/>
          <w:noProof/>
          <w:sz w:val="14"/>
          <w:szCs w:val="14"/>
          <w:lang w:val="en-US" w:eastAsia="fr-FR"/>
        </w:rPr>
      </w:pPr>
      <w:r>
        <w:rPr>
          <w:rFonts w:ascii="Arial" w:hAnsi="Arial" w:cs="Arial"/>
          <w:b/>
          <w:noProof/>
          <w:sz w:val="14"/>
          <w:szCs w:val="14"/>
          <w:lang w:val="en-US" w:eastAsia="fr-FR"/>
        </w:rPr>
        <w:t>Supplementary</w:t>
      </w:r>
      <w:r w:rsidR="004A42A7" w:rsidRPr="00614A91">
        <w:rPr>
          <w:rFonts w:ascii="Arial" w:hAnsi="Arial" w:cs="Arial"/>
          <w:b/>
          <w:noProof/>
          <w:sz w:val="14"/>
          <w:szCs w:val="14"/>
          <w:lang w:val="en-US" w:eastAsia="fr-FR"/>
        </w:rPr>
        <w:t xml:space="preserve"> Table 2 </w:t>
      </w:r>
      <w:r w:rsidR="004A42A7" w:rsidRPr="007E184F">
        <w:rPr>
          <w:rFonts w:ascii="Arial" w:hAnsi="Arial" w:cs="Arial"/>
          <w:b/>
          <w:bCs/>
          <w:sz w:val="14"/>
          <w:szCs w:val="14"/>
          <w:lang w:val="en-GB"/>
        </w:rPr>
        <w:t>|</w:t>
      </w:r>
      <w:r w:rsidR="004A42A7" w:rsidRPr="00614A91">
        <w:rPr>
          <w:rFonts w:ascii="Arial" w:hAnsi="Arial" w:cs="Arial"/>
          <w:b/>
          <w:noProof/>
          <w:sz w:val="14"/>
          <w:szCs w:val="14"/>
          <w:lang w:val="en-US" w:eastAsia="fr-FR"/>
        </w:rPr>
        <w:t xml:space="preserve"> Statistics on the intensity ratio obtained from the three Black Fault Rocks (BFR) analyzed in this study compared with their respective host-rock, used as a local reference (HR) and underformed references outside of the </w:t>
      </w:r>
      <w:r w:rsidR="00D545C4">
        <w:rPr>
          <w:rFonts w:ascii="Arial" w:hAnsi="Arial" w:cs="Arial"/>
          <w:b/>
          <w:noProof/>
          <w:sz w:val="14"/>
          <w:szCs w:val="14"/>
          <w:lang w:val="en-US" w:eastAsia="fr-FR"/>
        </w:rPr>
        <w:t>deformation</w:t>
      </w:r>
      <w:r w:rsidR="00D545C4" w:rsidRPr="00614A91">
        <w:rPr>
          <w:rFonts w:ascii="Arial" w:hAnsi="Arial" w:cs="Arial"/>
          <w:b/>
          <w:noProof/>
          <w:sz w:val="14"/>
          <w:szCs w:val="14"/>
          <w:lang w:val="en-US" w:eastAsia="fr-FR"/>
        </w:rPr>
        <w:t xml:space="preserve"> </w:t>
      </w:r>
      <w:r w:rsidR="004A42A7" w:rsidRPr="00614A91">
        <w:rPr>
          <w:rFonts w:ascii="Arial" w:hAnsi="Arial" w:cs="Arial"/>
          <w:b/>
          <w:noProof/>
          <w:sz w:val="14"/>
          <w:szCs w:val="14"/>
          <w:lang w:val="en-US" w:eastAsia="fr-FR"/>
        </w:rPr>
        <w:t xml:space="preserve">zone. </w:t>
      </w:r>
    </w:p>
    <w:p w14:paraId="2A38C1C7" w14:textId="6FE677F9" w:rsidR="004A42A7" w:rsidRDefault="004A42A7" w:rsidP="004A42A7">
      <w:pPr>
        <w:spacing w:line="259" w:lineRule="auto"/>
        <w:jc w:val="left"/>
        <w:rPr>
          <w:noProof/>
          <w:lang w:val="en-US" w:eastAsia="fr-FR"/>
        </w:rPr>
      </w:pPr>
    </w:p>
    <w:p w14:paraId="77957421" w14:textId="241790BF" w:rsidR="007A7274" w:rsidRDefault="007A7274" w:rsidP="004A42A7">
      <w:pPr>
        <w:spacing w:line="259" w:lineRule="auto"/>
        <w:jc w:val="left"/>
        <w:rPr>
          <w:noProof/>
          <w:lang w:val="en-US" w:eastAsia="fr-FR"/>
        </w:rPr>
        <w:sectPr w:rsidR="007A7274" w:rsidSect="00B82EA9">
          <w:pgSz w:w="11906" w:h="16838"/>
          <w:pgMar w:top="1417" w:right="1417" w:bottom="1417" w:left="1417" w:header="708" w:footer="708" w:gutter="0"/>
          <w:cols w:space="708"/>
          <w:docGrid w:linePitch="360"/>
        </w:sectPr>
      </w:pPr>
      <w:r w:rsidRPr="007A7274">
        <w:rPr>
          <w:noProof/>
          <w:lang w:eastAsia="fr-FR"/>
        </w:rPr>
        <w:drawing>
          <wp:inline distT="0" distB="0" distL="0" distR="0" wp14:anchorId="23FE7892" wp14:editId="0DFC7DBC">
            <wp:extent cx="5760720" cy="2012088"/>
            <wp:effectExtent l="0" t="0" r="0" b="762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2012088"/>
                    </a:xfrm>
                    <a:prstGeom prst="rect">
                      <a:avLst/>
                    </a:prstGeom>
                    <a:noFill/>
                    <a:ln>
                      <a:noFill/>
                    </a:ln>
                  </pic:spPr>
                </pic:pic>
              </a:graphicData>
            </a:graphic>
          </wp:inline>
        </w:drawing>
      </w:r>
    </w:p>
    <w:p w14:paraId="2D8B8FB7" w14:textId="3959CF7E" w:rsidR="008D5898" w:rsidRPr="00614A91" w:rsidRDefault="002E6DC9" w:rsidP="004A42A7">
      <w:pPr>
        <w:rPr>
          <w:rFonts w:ascii="Arial" w:hAnsi="Arial" w:cs="Arial"/>
          <w:b/>
          <w:sz w:val="14"/>
          <w:szCs w:val="14"/>
          <w:lang w:val="en-US"/>
        </w:rPr>
      </w:pPr>
      <w:r>
        <w:rPr>
          <w:rFonts w:ascii="Arial" w:hAnsi="Arial" w:cs="Arial"/>
          <w:b/>
          <w:sz w:val="14"/>
          <w:szCs w:val="14"/>
          <w:lang w:val="en-US"/>
        </w:rPr>
        <w:lastRenderedPageBreak/>
        <w:t>Supplementary</w:t>
      </w:r>
      <w:r w:rsidR="004A42A7" w:rsidRPr="00614A91">
        <w:rPr>
          <w:rFonts w:ascii="Arial" w:hAnsi="Arial" w:cs="Arial"/>
          <w:b/>
          <w:sz w:val="14"/>
          <w:szCs w:val="14"/>
          <w:lang w:val="en-US"/>
        </w:rPr>
        <w:t xml:space="preserve"> Table 3 </w:t>
      </w:r>
      <w:r w:rsidR="004A42A7" w:rsidRPr="007E184F">
        <w:rPr>
          <w:rFonts w:ascii="Arial" w:hAnsi="Arial" w:cs="Arial"/>
          <w:b/>
          <w:bCs/>
          <w:sz w:val="14"/>
          <w:szCs w:val="14"/>
          <w:lang w:val="en-GB"/>
        </w:rPr>
        <w:t>|</w:t>
      </w:r>
      <w:r w:rsidR="004A42A7" w:rsidRPr="00614A91">
        <w:rPr>
          <w:rFonts w:ascii="Arial" w:hAnsi="Arial" w:cs="Arial"/>
          <w:b/>
          <w:sz w:val="14"/>
          <w:szCs w:val="14"/>
          <w:lang w:val="en-US"/>
        </w:rPr>
        <w:t xml:space="preserve"> Location, </w:t>
      </w:r>
      <w:r w:rsidR="00622AFB">
        <w:rPr>
          <w:rFonts w:ascii="Arial" w:hAnsi="Arial" w:cs="Arial"/>
          <w:b/>
          <w:sz w:val="14"/>
          <w:szCs w:val="14"/>
          <w:lang w:val="en-US"/>
        </w:rPr>
        <w:t>structural</w:t>
      </w:r>
      <w:r w:rsidR="00622AFB" w:rsidRPr="00614A91">
        <w:rPr>
          <w:rFonts w:ascii="Arial" w:hAnsi="Arial" w:cs="Arial"/>
          <w:b/>
          <w:sz w:val="14"/>
          <w:szCs w:val="14"/>
          <w:lang w:val="en-US"/>
        </w:rPr>
        <w:t xml:space="preserve"> </w:t>
      </w:r>
      <w:r w:rsidR="004A42A7" w:rsidRPr="00614A91">
        <w:rPr>
          <w:rFonts w:ascii="Arial" w:hAnsi="Arial" w:cs="Arial"/>
          <w:b/>
          <w:sz w:val="14"/>
          <w:szCs w:val="14"/>
          <w:lang w:val="en-US"/>
        </w:rPr>
        <w:t>and micro-</w:t>
      </w:r>
      <w:r w:rsidR="00622AFB">
        <w:rPr>
          <w:rFonts w:ascii="Arial" w:hAnsi="Arial" w:cs="Arial"/>
          <w:b/>
          <w:sz w:val="14"/>
          <w:szCs w:val="14"/>
          <w:lang w:val="en-US"/>
        </w:rPr>
        <w:t>structural</w:t>
      </w:r>
      <w:r w:rsidR="00622AFB" w:rsidRPr="00614A91">
        <w:rPr>
          <w:rFonts w:ascii="Arial" w:hAnsi="Arial" w:cs="Arial"/>
          <w:b/>
          <w:sz w:val="14"/>
          <w:szCs w:val="14"/>
          <w:lang w:val="en-US"/>
        </w:rPr>
        <w:t xml:space="preserve"> </w:t>
      </w:r>
      <w:r w:rsidR="004A42A7" w:rsidRPr="00614A91">
        <w:rPr>
          <w:rFonts w:ascii="Arial" w:hAnsi="Arial" w:cs="Arial"/>
          <w:b/>
          <w:sz w:val="14"/>
          <w:szCs w:val="14"/>
          <w:lang w:val="en-US"/>
        </w:rPr>
        <w:t>observations of the three Black Fault Rocks analyzed in this study.</w:t>
      </w:r>
    </w:p>
    <w:tbl>
      <w:tblPr>
        <w:tblW w:w="14624" w:type="dxa"/>
        <w:tblCellMar>
          <w:left w:w="70" w:type="dxa"/>
          <w:right w:w="70" w:type="dxa"/>
        </w:tblCellMar>
        <w:tblLook w:val="04A0" w:firstRow="1" w:lastRow="0" w:firstColumn="1" w:lastColumn="0" w:noHBand="0" w:noVBand="1"/>
      </w:tblPr>
      <w:tblGrid>
        <w:gridCol w:w="1075"/>
        <w:gridCol w:w="1077"/>
        <w:gridCol w:w="1272"/>
        <w:gridCol w:w="1295"/>
        <w:gridCol w:w="1130"/>
        <w:gridCol w:w="1072"/>
        <w:gridCol w:w="1302"/>
        <w:gridCol w:w="2222"/>
        <w:gridCol w:w="1290"/>
        <w:gridCol w:w="1071"/>
        <w:gridCol w:w="1818"/>
      </w:tblGrid>
      <w:tr w:rsidR="008D5898" w:rsidRPr="008D5898" w14:paraId="08C61D50" w14:textId="77777777" w:rsidTr="008D5898">
        <w:trPr>
          <w:trHeight w:val="269"/>
        </w:trPr>
        <w:tc>
          <w:tcPr>
            <w:tcW w:w="1079" w:type="dxa"/>
            <w:tcBorders>
              <w:top w:val="single" w:sz="4" w:space="0" w:color="auto"/>
              <w:left w:val="nil"/>
              <w:bottom w:val="nil"/>
              <w:right w:val="nil"/>
            </w:tcBorders>
            <w:shd w:val="clear" w:color="000000" w:fill="FFFFFF"/>
            <w:vAlign w:val="center"/>
            <w:hideMark/>
          </w:tcPr>
          <w:p w14:paraId="52604D3B" w14:textId="77777777" w:rsidR="008D5898" w:rsidRPr="008D5898" w:rsidRDefault="008D5898" w:rsidP="008D5898">
            <w:pPr>
              <w:spacing w:after="0" w:line="240" w:lineRule="auto"/>
              <w:jc w:val="center"/>
              <w:rPr>
                <w:rFonts w:ascii="Calibri" w:eastAsia="Times New Roman" w:hAnsi="Calibri" w:cs="Calibri"/>
                <w:color w:val="000000"/>
                <w:sz w:val="22"/>
                <w:lang w:val="en-US" w:eastAsia="fr-FR"/>
              </w:rPr>
            </w:pPr>
            <w:r w:rsidRPr="008D5898">
              <w:rPr>
                <w:rFonts w:ascii="Calibri" w:eastAsia="Times New Roman" w:hAnsi="Calibri" w:cs="Calibri"/>
                <w:color w:val="000000"/>
                <w:sz w:val="22"/>
                <w:lang w:val="en-US" w:eastAsia="fr-FR"/>
              </w:rPr>
              <w:t> </w:t>
            </w:r>
          </w:p>
        </w:tc>
        <w:tc>
          <w:tcPr>
            <w:tcW w:w="1079" w:type="dxa"/>
            <w:tcBorders>
              <w:top w:val="single" w:sz="4" w:space="0" w:color="auto"/>
              <w:left w:val="nil"/>
              <w:bottom w:val="nil"/>
              <w:right w:val="nil"/>
            </w:tcBorders>
            <w:shd w:val="clear" w:color="000000" w:fill="FFFFFF"/>
            <w:vAlign w:val="center"/>
            <w:hideMark/>
          </w:tcPr>
          <w:p w14:paraId="537FB8BC" w14:textId="77777777" w:rsidR="008D5898" w:rsidRPr="008D5898" w:rsidRDefault="008D5898" w:rsidP="008D5898">
            <w:pPr>
              <w:spacing w:after="0" w:line="240" w:lineRule="auto"/>
              <w:jc w:val="center"/>
              <w:rPr>
                <w:rFonts w:ascii="Calibri" w:eastAsia="Times New Roman" w:hAnsi="Calibri" w:cs="Calibri"/>
                <w:color w:val="000000"/>
                <w:sz w:val="22"/>
                <w:lang w:val="en-US" w:eastAsia="fr-FR"/>
              </w:rPr>
            </w:pPr>
            <w:r w:rsidRPr="008D5898">
              <w:rPr>
                <w:rFonts w:ascii="Calibri" w:eastAsia="Times New Roman" w:hAnsi="Calibri" w:cs="Calibri"/>
                <w:color w:val="000000"/>
                <w:sz w:val="22"/>
                <w:lang w:val="en-US" w:eastAsia="fr-FR"/>
              </w:rPr>
              <w:t> </w:t>
            </w:r>
          </w:p>
        </w:tc>
        <w:tc>
          <w:tcPr>
            <w:tcW w:w="1277" w:type="dxa"/>
            <w:tcBorders>
              <w:top w:val="single" w:sz="4" w:space="0" w:color="auto"/>
              <w:left w:val="nil"/>
              <w:bottom w:val="nil"/>
              <w:right w:val="nil"/>
            </w:tcBorders>
            <w:shd w:val="clear" w:color="000000" w:fill="FFFFFF"/>
            <w:vAlign w:val="center"/>
            <w:hideMark/>
          </w:tcPr>
          <w:p w14:paraId="65DED824" w14:textId="77777777" w:rsidR="008D5898" w:rsidRPr="008D5898" w:rsidRDefault="008D5898" w:rsidP="008D5898">
            <w:pPr>
              <w:spacing w:after="0" w:line="240" w:lineRule="auto"/>
              <w:jc w:val="center"/>
              <w:rPr>
                <w:rFonts w:ascii="Calibri" w:eastAsia="Times New Roman" w:hAnsi="Calibri" w:cs="Calibri"/>
                <w:color w:val="000000"/>
                <w:sz w:val="22"/>
                <w:lang w:val="en-US" w:eastAsia="fr-FR"/>
              </w:rPr>
            </w:pPr>
            <w:r w:rsidRPr="008D5898">
              <w:rPr>
                <w:rFonts w:ascii="Calibri" w:eastAsia="Times New Roman" w:hAnsi="Calibri" w:cs="Calibri"/>
                <w:color w:val="000000"/>
                <w:sz w:val="22"/>
                <w:lang w:val="en-US" w:eastAsia="fr-FR"/>
              </w:rPr>
              <w:t> </w:t>
            </w:r>
          </w:p>
        </w:tc>
        <w:tc>
          <w:tcPr>
            <w:tcW w:w="1295" w:type="dxa"/>
            <w:tcBorders>
              <w:top w:val="single" w:sz="4" w:space="0" w:color="auto"/>
              <w:left w:val="nil"/>
              <w:bottom w:val="nil"/>
              <w:right w:val="nil"/>
            </w:tcBorders>
            <w:shd w:val="clear" w:color="000000" w:fill="FFFFFF"/>
            <w:vAlign w:val="center"/>
            <w:hideMark/>
          </w:tcPr>
          <w:p w14:paraId="3116C0BC" w14:textId="77777777" w:rsidR="008D5898" w:rsidRPr="008D5898" w:rsidRDefault="008D5898" w:rsidP="008D5898">
            <w:pPr>
              <w:spacing w:after="0" w:line="240" w:lineRule="auto"/>
              <w:jc w:val="center"/>
              <w:rPr>
                <w:rFonts w:ascii="Calibri" w:eastAsia="Times New Roman" w:hAnsi="Calibri" w:cs="Calibri"/>
                <w:color w:val="000000"/>
                <w:sz w:val="22"/>
                <w:lang w:val="en-US" w:eastAsia="fr-FR"/>
              </w:rPr>
            </w:pPr>
            <w:r w:rsidRPr="008D5898">
              <w:rPr>
                <w:rFonts w:ascii="Calibri" w:eastAsia="Times New Roman" w:hAnsi="Calibri" w:cs="Calibri"/>
                <w:color w:val="000000"/>
                <w:sz w:val="22"/>
                <w:lang w:val="en-US" w:eastAsia="fr-FR"/>
              </w:rPr>
              <w:t> </w:t>
            </w:r>
          </w:p>
        </w:tc>
        <w:tc>
          <w:tcPr>
            <w:tcW w:w="1079" w:type="dxa"/>
            <w:tcBorders>
              <w:top w:val="single" w:sz="4" w:space="0" w:color="auto"/>
              <w:left w:val="nil"/>
              <w:bottom w:val="nil"/>
              <w:right w:val="nil"/>
            </w:tcBorders>
            <w:shd w:val="clear" w:color="000000" w:fill="FFFFFF"/>
            <w:vAlign w:val="center"/>
            <w:hideMark/>
          </w:tcPr>
          <w:p w14:paraId="50ECB61A" w14:textId="77777777" w:rsidR="008D5898" w:rsidRPr="008D5898" w:rsidRDefault="008D5898" w:rsidP="008D5898">
            <w:pPr>
              <w:spacing w:after="0" w:line="240" w:lineRule="auto"/>
              <w:jc w:val="center"/>
              <w:rPr>
                <w:rFonts w:ascii="Calibri" w:eastAsia="Times New Roman" w:hAnsi="Calibri" w:cs="Calibri"/>
                <w:color w:val="000000"/>
                <w:sz w:val="22"/>
                <w:lang w:val="en-US" w:eastAsia="fr-FR"/>
              </w:rPr>
            </w:pPr>
            <w:r w:rsidRPr="008D5898">
              <w:rPr>
                <w:rFonts w:ascii="Calibri" w:eastAsia="Times New Roman" w:hAnsi="Calibri" w:cs="Calibri"/>
                <w:color w:val="000000"/>
                <w:sz w:val="22"/>
                <w:lang w:val="en-US" w:eastAsia="fr-FR"/>
              </w:rPr>
              <w:t> </w:t>
            </w:r>
          </w:p>
        </w:tc>
        <w:tc>
          <w:tcPr>
            <w:tcW w:w="5900" w:type="dxa"/>
            <w:gridSpan w:val="4"/>
            <w:tcBorders>
              <w:top w:val="single" w:sz="4" w:space="0" w:color="auto"/>
              <w:left w:val="nil"/>
              <w:bottom w:val="nil"/>
              <w:right w:val="nil"/>
            </w:tcBorders>
            <w:shd w:val="clear" w:color="000000" w:fill="FFFFFF"/>
            <w:vAlign w:val="bottom"/>
            <w:hideMark/>
          </w:tcPr>
          <w:p w14:paraId="2412DA10" w14:textId="77777777" w:rsidR="008D5898" w:rsidRPr="008D5898" w:rsidRDefault="008D5898" w:rsidP="008D5898">
            <w:pPr>
              <w:spacing w:after="0" w:line="240" w:lineRule="auto"/>
              <w:jc w:val="left"/>
              <w:rPr>
                <w:rFonts w:eastAsia="Times New Roman" w:cs="Times New Roman"/>
                <w:b/>
                <w:bCs/>
                <w:i/>
                <w:iCs/>
                <w:color w:val="000000"/>
                <w:sz w:val="20"/>
                <w:szCs w:val="20"/>
                <w:lang w:eastAsia="fr-FR"/>
              </w:rPr>
            </w:pPr>
            <w:r w:rsidRPr="008D5898">
              <w:rPr>
                <w:rFonts w:eastAsia="Times New Roman" w:cs="Times New Roman"/>
                <w:b/>
                <w:bCs/>
                <w:i/>
                <w:iCs/>
                <w:color w:val="000000"/>
                <w:sz w:val="20"/>
                <w:szCs w:val="20"/>
                <w:lang w:eastAsia="fr-FR"/>
              </w:rPr>
              <w:t>Textures</w:t>
            </w:r>
          </w:p>
        </w:tc>
        <w:tc>
          <w:tcPr>
            <w:tcW w:w="1079" w:type="dxa"/>
            <w:tcBorders>
              <w:top w:val="single" w:sz="4" w:space="0" w:color="auto"/>
              <w:left w:val="nil"/>
              <w:bottom w:val="nil"/>
              <w:right w:val="nil"/>
            </w:tcBorders>
            <w:shd w:val="clear" w:color="000000" w:fill="FFFFFF"/>
            <w:vAlign w:val="bottom"/>
            <w:hideMark/>
          </w:tcPr>
          <w:p w14:paraId="024470C2" w14:textId="77777777" w:rsidR="008D5898" w:rsidRPr="008D5898" w:rsidRDefault="008D5898" w:rsidP="008D5898">
            <w:pPr>
              <w:spacing w:after="0" w:line="240" w:lineRule="auto"/>
              <w:jc w:val="left"/>
              <w:rPr>
                <w:rFonts w:eastAsia="Times New Roman" w:cs="Times New Roman"/>
                <w:b/>
                <w:bCs/>
                <w:i/>
                <w:iCs/>
                <w:color w:val="000000"/>
                <w:sz w:val="20"/>
                <w:szCs w:val="20"/>
                <w:lang w:eastAsia="fr-FR"/>
              </w:rPr>
            </w:pPr>
            <w:r w:rsidRPr="008D5898">
              <w:rPr>
                <w:rFonts w:eastAsia="Times New Roman" w:cs="Times New Roman"/>
                <w:b/>
                <w:bCs/>
                <w:i/>
                <w:iCs/>
                <w:color w:val="000000"/>
                <w:sz w:val="20"/>
                <w:szCs w:val="20"/>
                <w:lang w:eastAsia="fr-FR"/>
              </w:rPr>
              <w:t> </w:t>
            </w:r>
          </w:p>
        </w:tc>
        <w:tc>
          <w:tcPr>
            <w:tcW w:w="1834" w:type="dxa"/>
            <w:tcBorders>
              <w:top w:val="single" w:sz="4" w:space="0" w:color="auto"/>
              <w:left w:val="nil"/>
              <w:bottom w:val="nil"/>
              <w:right w:val="nil"/>
            </w:tcBorders>
            <w:shd w:val="clear" w:color="000000" w:fill="FFFFFF"/>
            <w:vAlign w:val="bottom"/>
            <w:hideMark/>
          </w:tcPr>
          <w:p w14:paraId="16A666E5" w14:textId="77777777" w:rsidR="008D5898" w:rsidRPr="008D5898" w:rsidRDefault="008D5898" w:rsidP="008D5898">
            <w:pPr>
              <w:spacing w:after="0" w:line="240" w:lineRule="auto"/>
              <w:jc w:val="left"/>
              <w:rPr>
                <w:rFonts w:eastAsia="Times New Roman" w:cs="Times New Roman"/>
                <w:b/>
                <w:bCs/>
                <w:i/>
                <w:iCs/>
                <w:color w:val="000000"/>
                <w:sz w:val="20"/>
                <w:szCs w:val="20"/>
                <w:lang w:eastAsia="fr-FR"/>
              </w:rPr>
            </w:pPr>
            <w:r w:rsidRPr="008D5898">
              <w:rPr>
                <w:rFonts w:eastAsia="Times New Roman" w:cs="Times New Roman"/>
                <w:b/>
                <w:bCs/>
                <w:i/>
                <w:iCs/>
                <w:color w:val="000000"/>
                <w:sz w:val="20"/>
                <w:szCs w:val="20"/>
                <w:lang w:eastAsia="fr-FR"/>
              </w:rPr>
              <w:t> </w:t>
            </w:r>
          </w:p>
        </w:tc>
      </w:tr>
      <w:tr w:rsidR="008D5898" w:rsidRPr="008D5898" w14:paraId="677EFB7C" w14:textId="77777777" w:rsidTr="008D5898">
        <w:trPr>
          <w:trHeight w:val="782"/>
        </w:trPr>
        <w:tc>
          <w:tcPr>
            <w:tcW w:w="1079" w:type="dxa"/>
            <w:tcBorders>
              <w:top w:val="nil"/>
              <w:left w:val="nil"/>
              <w:bottom w:val="single" w:sz="8" w:space="0" w:color="auto"/>
              <w:right w:val="nil"/>
            </w:tcBorders>
            <w:shd w:val="clear" w:color="000000" w:fill="FFFFFF"/>
            <w:vAlign w:val="center"/>
            <w:hideMark/>
          </w:tcPr>
          <w:p w14:paraId="335F406F" w14:textId="77777777" w:rsidR="008D5898" w:rsidRPr="008D5898" w:rsidRDefault="008D5898" w:rsidP="008D5898">
            <w:pPr>
              <w:spacing w:after="0" w:line="240" w:lineRule="auto"/>
              <w:jc w:val="center"/>
              <w:rPr>
                <w:rFonts w:eastAsia="Times New Roman" w:cs="Times New Roman"/>
                <w:b/>
                <w:bCs/>
                <w:color w:val="000000"/>
                <w:sz w:val="22"/>
                <w:lang w:eastAsia="fr-FR"/>
              </w:rPr>
            </w:pPr>
            <w:r w:rsidRPr="008D5898">
              <w:rPr>
                <w:rFonts w:eastAsia="Times New Roman" w:cs="Times New Roman"/>
                <w:b/>
                <w:bCs/>
                <w:color w:val="000000"/>
                <w:sz w:val="22"/>
                <w:lang w:eastAsia="fr-FR"/>
              </w:rPr>
              <w:t xml:space="preserve">Sample </w:t>
            </w:r>
          </w:p>
        </w:tc>
        <w:tc>
          <w:tcPr>
            <w:tcW w:w="1079" w:type="dxa"/>
            <w:tcBorders>
              <w:top w:val="nil"/>
              <w:left w:val="nil"/>
              <w:bottom w:val="single" w:sz="8" w:space="0" w:color="auto"/>
              <w:right w:val="nil"/>
            </w:tcBorders>
            <w:shd w:val="clear" w:color="000000" w:fill="FFFFFF"/>
            <w:vAlign w:val="center"/>
            <w:hideMark/>
          </w:tcPr>
          <w:p w14:paraId="6837A8E8" w14:textId="77777777" w:rsidR="008D5898" w:rsidRPr="008D5898" w:rsidRDefault="008D5898" w:rsidP="008D5898">
            <w:pPr>
              <w:spacing w:after="0" w:line="240" w:lineRule="auto"/>
              <w:jc w:val="center"/>
              <w:rPr>
                <w:rFonts w:eastAsia="Times New Roman" w:cs="Times New Roman"/>
                <w:b/>
                <w:bCs/>
                <w:color w:val="000000"/>
                <w:sz w:val="22"/>
                <w:lang w:eastAsia="fr-FR"/>
              </w:rPr>
            </w:pPr>
            <w:r w:rsidRPr="008D5898">
              <w:rPr>
                <w:rFonts w:eastAsia="Times New Roman" w:cs="Times New Roman"/>
                <w:b/>
                <w:bCs/>
                <w:color w:val="000000"/>
                <w:sz w:val="22"/>
                <w:lang w:eastAsia="fr-FR"/>
              </w:rPr>
              <w:t>Location</w:t>
            </w:r>
          </w:p>
        </w:tc>
        <w:tc>
          <w:tcPr>
            <w:tcW w:w="1277" w:type="dxa"/>
            <w:tcBorders>
              <w:top w:val="nil"/>
              <w:left w:val="nil"/>
              <w:bottom w:val="single" w:sz="8" w:space="0" w:color="auto"/>
              <w:right w:val="nil"/>
            </w:tcBorders>
            <w:shd w:val="clear" w:color="000000" w:fill="FFFFFF"/>
            <w:vAlign w:val="center"/>
            <w:hideMark/>
          </w:tcPr>
          <w:p w14:paraId="3A57AA2B" w14:textId="77777777" w:rsidR="008D5898" w:rsidRPr="008D5898" w:rsidRDefault="008D5898" w:rsidP="008D5898">
            <w:pPr>
              <w:spacing w:after="0" w:line="240" w:lineRule="auto"/>
              <w:jc w:val="center"/>
              <w:rPr>
                <w:rFonts w:eastAsia="Times New Roman" w:cs="Times New Roman"/>
                <w:b/>
                <w:bCs/>
                <w:color w:val="000000"/>
                <w:sz w:val="22"/>
                <w:lang w:eastAsia="fr-FR"/>
              </w:rPr>
            </w:pPr>
            <w:r w:rsidRPr="008D5898">
              <w:rPr>
                <w:rFonts w:eastAsia="Times New Roman" w:cs="Times New Roman"/>
                <w:b/>
                <w:bCs/>
                <w:color w:val="000000"/>
                <w:sz w:val="22"/>
                <w:lang w:eastAsia="fr-FR"/>
              </w:rPr>
              <w:t xml:space="preserve">Latitude </w:t>
            </w:r>
          </w:p>
        </w:tc>
        <w:tc>
          <w:tcPr>
            <w:tcW w:w="1295" w:type="dxa"/>
            <w:tcBorders>
              <w:top w:val="nil"/>
              <w:left w:val="nil"/>
              <w:bottom w:val="single" w:sz="8" w:space="0" w:color="auto"/>
              <w:right w:val="nil"/>
            </w:tcBorders>
            <w:shd w:val="clear" w:color="000000" w:fill="FFFFFF"/>
            <w:vAlign w:val="center"/>
            <w:hideMark/>
          </w:tcPr>
          <w:p w14:paraId="5027FDF3" w14:textId="77777777" w:rsidR="008D5898" w:rsidRPr="008D5898" w:rsidRDefault="008D5898" w:rsidP="008D5898">
            <w:pPr>
              <w:spacing w:after="0" w:line="240" w:lineRule="auto"/>
              <w:jc w:val="center"/>
              <w:rPr>
                <w:rFonts w:eastAsia="Times New Roman" w:cs="Times New Roman"/>
                <w:b/>
                <w:bCs/>
                <w:color w:val="000000"/>
                <w:sz w:val="22"/>
                <w:lang w:eastAsia="fr-FR"/>
              </w:rPr>
            </w:pPr>
            <w:r w:rsidRPr="008D5898">
              <w:rPr>
                <w:rFonts w:eastAsia="Times New Roman" w:cs="Times New Roman"/>
                <w:b/>
                <w:bCs/>
                <w:color w:val="000000"/>
                <w:sz w:val="22"/>
                <w:lang w:eastAsia="fr-FR"/>
              </w:rPr>
              <w:t xml:space="preserve">Longitude </w:t>
            </w:r>
          </w:p>
        </w:tc>
        <w:tc>
          <w:tcPr>
            <w:tcW w:w="1079" w:type="dxa"/>
            <w:tcBorders>
              <w:top w:val="nil"/>
              <w:left w:val="nil"/>
              <w:bottom w:val="single" w:sz="8" w:space="0" w:color="auto"/>
              <w:right w:val="nil"/>
            </w:tcBorders>
            <w:shd w:val="clear" w:color="000000" w:fill="FFFFFF"/>
            <w:vAlign w:val="center"/>
            <w:hideMark/>
          </w:tcPr>
          <w:p w14:paraId="29463450" w14:textId="77777777" w:rsidR="008D5898" w:rsidRPr="008D5898" w:rsidRDefault="008D5898" w:rsidP="008D5898">
            <w:pPr>
              <w:spacing w:after="0" w:line="240" w:lineRule="auto"/>
              <w:jc w:val="center"/>
              <w:rPr>
                <w:rFonts w:eastAsia="Times New Roman" w:cs="Times New Roman"/>
                <w:b/>
                <w:bCs/>
                <w:color w:val="000000"/>
                <w:sz w:val="22"/>
                <w:lang w:eastAsia="fr-FR"/>
              </w:rPr>
            </w:pPr>
            <w:r w:rsidRPr="008D5898">
              <w:rPr>
                <w:rFonts w:eastAsia="Times New Roman" w:cs="Times New Roman"/>
                <w:b/>
                <w:bCs/>
                <w:color w:val="000000"/>
                <w:sz w:val="22"/>
                <w:lang w:eastAsia="fr-FR"/>
              </w:rPr>
              <w:t xml:space="preserve">Geological unit </w:t>
            </w:r>
          </w:p>
        </w:tc>
        <w:tc>
          <w:tcPr>
            <w:tcW w:w="1079" w:type="dxa"/>
            <w:tcBorders>
              <w:top w:val="nil"/>
              <w:left w:val="nil"/>
              <w:bottom w:val="single" w:sz="8" w:space="0" w:color="auto"/>
              <w:right w:val="nil"/>
            </w:tcBorders>
            <w:shd w:val="clear" w:color="000000" w:fill="FFFFFF"/>
            <w:vAlign w:val="center"/>
            <w:hideMark/>
          </w:tcPr>
          <w:p w14:paraId="05519D29" w14:textId="77777777" w:rsidR="008D5898" w:rsidRPr="008D5898" w:rsidRDefault="008D5898" w:rsidP="008D5898">
            <w:pPr>
              <w:spacing w:after="0" w:line="240" w:lineRule="auto"/>
              <w:jc w:val="center"/>
              <w:rPr>
                <w:rFonts w:eastAsia="Times New Roman" w:cs="Times New Roman"/>
                <w:b/>
                <w:bCs/>
                <w:color w:val="000000"/>
                <w:sz w:val="22"/>
                <w:lang w:eastAsia="fr-FR"/>
              </w:rPr>
            </w:pPr>
            <w:r w:rsidRPr="008D5898">
              <w:rPr>
                <w:rFonts w:eastAsia="Times New Roman" w:cs="Times New Roman"/>
                <w:b/>
                <w:bCs/>
                <w:color w:val="000000"/>
                <w:sz w:val="22"/>
                <w:lang w:eastAsia="fr-FR"/>
              </w:rPr>
              <w:t xml:space="preserve">Fault core width </w:t>
            </w:r>
          </w:p>
        </w:tc>
        <w:tc>
          <w:tcPr>
            <w:tcW w:w="1277" w:type="dxa"/>
            <w:tcBorders>
              <w:top w:val="nil"/>
              <w:left w:val="nil"/>
              <w:bottom w:val="single" w:sz="8" w:space="0" w:color="auto"/>
              <w:right w:val="nil"/>
            </w:tcBorders>
            <w:shd w:val="clear" w:color="000000" w:fill="FFFFFF"/>
            <w:vAlign w:val="center"/>
            <w:hideMark/>
          </w:tcPr>
          <w:p w14:paraId="2706D4EF" w14:textId="77777777" w:rsidR="008D5898" w:rsidRPr="008D5898" w:rsidRDefault="008D5898" w:rsidP="008D5898">
            <w:pPr>
              <w:spacing w:after="0" w:line="240" w:lineRule="auto"/>
              <w:jc w:val="center"/>
              <w:rPr>
                <w:rFonts w:eastAsia="Times New Roman" w:cs="Times New Roman"/>
                <w:b/>
                <w:bCs/>
                <w:color w:val="000000"/>
                <w:sz w:val="22"/>
                <w:lang w:eastAsia="fr-FR"/>
              </w:rPr>
            </w:pPr>
            <w:r w:rsidRPr="008D5898">
              <w:rPr>
                <w:rFonts w:eastAsia="Times New Roman" w:cs="Times New Roman"/>
                <w:b/>
                <w:bCs/>
                <w:color w:val="000000"/>
                <w:sz w:val="22"/>
                <w:lang w:eastAsia="fr-FR"/>
              </w:rPr>
              <w:t>Single/Multi tectonic event</w:t>
            </w:r>
          </w:p>
        </w:tc>
        <w:tc>
          <w:tcPr>
            <w:tcW w:w="2248" w:type="dxa"/>
            <w:tcBorders>
              <w:top w:val="nil"/>
              <w:left w:val="nil"/>
              <w:bottom w:val="single" w:sz="8" w:space="0" w:color="auto"/>
              <w:right w:val="nil"/>
            </w:tcBorders>
            <w:shd w:val="clear" w:color="000000" w:fill="FFFFFF"/>
            <w:vAlign w:val="center"/>
            <w:hideMark/>
          </w:tcPr>
          <w:p w14:paraId="4C23A0A7" w14:textId="77777777" w:rsidR="008D5898" w:rsidRPr="008D5898" w:rsidRDefault="008D5898" w:rsidP="008D5898">
            <w:pPr>
              <w:spacing w:after="0" w:line="240" w:lineRule="auto"/>
              <w:jc w:val="center"/>
              <w:rPr>
                <w:rFonts w:eastAsia="Times New Roman" w:cs="Times New Roman"/>
                <w:b/>
                <w:bCs/>
                <w:color w:val="000000"/>
                <w:sz w:val="22"/>
                <w:lang w:eastAsia="fr-FR"/>
              </w:rPr>
            </w:pPr>
            <w:r w:rsidRPr="008D5898">
              <w:rPr>
                <w:rFonts w:eastAsia="Times New Roman" w:cs="Times New Roman"/>
                <w:b/>
                <w:bCs/>
                <w:color w:val="000000"/>
                <w:sz w:val="22"/>
                <w:lang w:eastAsia="fr-FR"/>
              </w:rPr>
              <w:t>Fluidization structure</w:t>
            </w:r>
          </w:p>
        </w:tc>
        <w:tc>
          <w:tcPr>
            <w:tcW w:w="1295" w:type="dxa"/>
            <w:tcBorders>
              <w:top w:val="nil"/>
              <w:left w:val="nil"/>
              <w:bottom w:val="single" w:sz="8" w:space="0" w:color="auto"/>
              <w:right w:val="nil"/>
            </w:tcBorders>
            <w:shd w:val="clear" w:color="000000" w:fill="FFFFFF"/>
            <w:vAlign w:val="center"/>
            <w:hideMark/>
          </w:tcPr>
          <w:p w14:paraId="0DD6F99E" w14:textId="67308157" w:rsidR="008D5898" w:rsidRPr="008D5898" w:rsidRDefault="00D545C4" w:rsidP="008D5898">
            <w:pPr>
              <w:spacing w:after="0" w:line="240" w:lineRule="auto"/>
              <w:jc w:val="center"/>
              <w:rPr>
                <w:rFonts w:eastAsia="Times New Roman" w:cs="Times New Roman"/>
                <w:b/>
                <w:bCs/>
                <w:color w:val="000000"/>
                <w:sz w:val="22"/>
                <w:lang w:eastAsia="fr-FR"/>
              </w:rPr>
            </w:pPr>
            <w:r>
              <w:rPr>
                <w:rFonts w:eastAsia="Times New Roman" w:cs="Times New Roman"/>
                <w:b/>
                <w:bCs/>
                <w:color w:val="000000"/>
                <w:sz w:val="22"/>
                <w:lang w:eastAsia="fr-FR"/>
              </w:rPr>
              <w:t xml:space="preserve">Ultrafine-grained </w:t>
            </w:r>
            <w:r w:rsidRPr="008D5898">
              <w:rPr>
                <w:rFonts w:eastAsia="Times New Roman" w:cs="Times New Roman"/>
                <w:b/>
                <w:bCs/>
                <w:color w:val="000000"/>
                <w:sz w:val="22"/>
                <w:lang w:eastAsia="fr-FR"/>
              </w:rPr>
              <w:t xml:space="preserve"> </w:t>
            </w:r>
            <w:r w:rsidR="008D5898" w:rsidRPr="008D5898">
              <w:rPr>
                <w:rFonts w:eastAsia="Times New Roman" w:cs="Times New Roman"/>
                <w:b/>
                <w:bCs/>
                <w:color w:val="000000"/>
                <w:sz w:val="22"/>
                <w:lang w:eastAsia="fr-FR"/>
              </w:rPr>
              <w:t xml:space="preserve">matrix </w:t>
            </w:r>
          </w:p>
        </w:tc>
        <w:tc>
          <w:tcPr>
            <w:tcW w:w="1079" w:type="dxa"/>
            <w:tcBorders>
              <w:top w:val="nil"/>
              <w:left w:val="nil"/>
              <w:bottom w:val="nil"/>
              <w:right w:val="nil"/>
            </w:tcBorders>
            <w:shd w:val="clear" w:color="000000" w:fill="FFFFFF"/>
            <w:vAlign w:val="center"/>
            <w:hideMark/>
          </w:tcPr>
          <w:p w14:paraId="0B32D8CD" w14:textId="77777777" w:rsidR="008D5898" w:rsidRPr="008D5898" w:rsidRDefault="008D5898" w:rsidP="008D5898">
            <w:pPr>
              <w:spacing w:after="0" w:line="240" w:lineRule="auto"/>
              <w:jc w:val="center"/>
              <w:rPr>
                <w:rFonts w:eastAsia="Times New Roman" w:cs="Times New Roman"/>
                <w:b/>
                <w:bCs/>
                <w:color w:val="000000"/>
                <w:sz w:val="22"/>
                <w:lang w:eastAsia="fr-FR"/>
              </w:rPr>
            </w:pPr>
            <w:r w:rsidRPr="008D5898">
              <w:rPr>
                <w:rFonts w:eastAsia="Times New Roman" w:cs="Times New Roman"/>
                <w:b/>
                <w:bCs/>
                <w:color w:val="000000"/>
                <w:sz w:val="22"/>
                <w:lang w:eastAsia="fr-FR"/>
              </w:rPr>
              <w:t> </w:t>
            </w:r>
          </w:p>
        </w:tc>
        <w:tc>
          <w:tcPr>
            <w:tcW w:w="1834" w:type="dxa"/>
            <w:tcBorders>
              <w:top w:val="nil"/>
              <w:left w:val="nil"/>
              <w:bottom w:val="nil"/>
              <w:right w:val="nil"/>
            </w:tcBorders>
            <w:shd w:val="clear" w:color="000000" w:fill="FFFFFF"/>
            <w:vAlign w:val="center"/>
            <w:hideMark/>
          </w:tcPr>
          <w:p w14:paraId="38B3DF01" w14:textId="77777777" w:rsidR="008D5898" w:rsidRPr="008D5898" w:rsidRDefault="008D5898" w:rsidP="008D5898">
            <w:pPr>
              <w:spacing w:after="0" w:line="240" w:lineRule="auto"/>
              <w:jc w:val="center"/>
              <w:rPr>
                <w:rFonts w:eastAsia="Times New Roman" w:cs="Times New Roman"/>
                <w:b/>
                <w:bCs/>
                <w:color w:val="000000"/>
                <w:sz w:val="22"/>
                <w:lang w:eastAsia="fr-FR"/>
              </w:rPr>
            </w:pPr>
            <w:r w:rsidRPr="008D5898">
              <w:rPr>
                <w:rFonts w:eastAsia="Times New Roman" w:cs="Times New Roman"/>
                <w:b/>
                <w:bCs/>
                <w:color w:val="000000"/>
                <w:sz w:val="22"/>
                <w:lang w:eastAsia="fr-FR"/>
              </w:rPr>
              <w:t> </w:t>
            </w:r>
          </w:p>
        </w:tc>
      </w:tr>
      <w:tr w:rsidR="008D5898" w:rsidRPr="008D5898" w14:paraId="32BEC301" w14:textId="77777777" w:rsidTr="008D5898">
        <w:trPr>
          <w:trHeight w:val="566"/>
        </w:trPr>
        <w:tc>
          <w:tcPr>
            <w:tcW w:w="1079" w:type="dxa"/>
            <w:tcBorders>
              <w:top w:val="nil"/>
              <w:left w:val="nil"/>
              <w:bottom w:val="nil"/>
              <w:right w:val="nil"/>
            </w:tcBorders>
            <w:shd w:val="clear" w:color="000000" w:fill="FFFFFF"/>
            <w:vAlign w:val="center"/>
            <w:hideMark/>
          </w:tcPr>
          <w:p w14:paraId="0D82A0E3" w14:textId="77777777" w:rsidR="008D5898" w:rsidRPr="008D5898" w:rsidRDefault="008D5898" w:rsidP="008D5898">
            <w:pPr>
              <w:spacing w:after="0" w:line="240" w:lineRule="auto"/>
              <w:jc w:val="center"/>
              <w:rPr>
                <w:rFonts w:eastAsia="Times New Roman" w:cs="Times New Roman"/>
                <w:b/>
                <w:bCs/>
                <w:color w:val="000000"/>
                <w:sz w:val="22"/>
                <w:lang w:eastAsia="fr-FR"/>
              </w:rPr>
            </w:pPr>
            <w:r w:rsidRPr="008D5898">
              <w:rPr>
                <w:rFonts w:eastAsia="Times New Roman" w:cs="Times New Roman"/>
                <w:b/>
                <w:bCs/>
                <w:color w:val="000000"/>
                <w:sz w:val="22"/>
                <w:lang w:eastAsia="fr-FR"/>
              </w:rPr>
              <w:t>Okitsu</w:t>
            </w:r>
          </w:p>
        </w:tc>
        <w:tc>
          <w:tcPr>
            <w:tcW w:w="1079" w:type="dxa"/>
            <w:tcBorders>
              <w:top w:val="nil"/>
              <w:left w:val="nil"/>
              <w:bottom w:val="nil"/>
              <w:right w:val="nil"/>
            </w:tcBorders>
            <w:shd w:val="clear" w:color="000000" w:fill="FFFFFF"/>
            <w:vAlign w:val="center"/>
            <w:hideMark/>
          </w:tcPr>
          <w:p w14:paraId="6762D9F6"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Japan</w:t>
            </w:r>
          </w:p>
        </w:tc>
        <w:tc>
          <w:tcPr>
            <w:tcW w:w="1277" w:type="dxa"/>
            <w:tcBorders>
              <w:top w:val="nil"/>
              <w:left w:val="nil"/>
              <w:bottom w:val="nil"/>
              <w:right w:val="nil"/>
            </w:tcBorders>
            <w:shd w:val="clear" w:color="000000" w:fill="FFFFFF"/>
            <w:vAlign w:val="center"/>
            <w:hideMark/>
          </w:tcPr>
          <w:p w14:paraId="5650A6BB"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 xml:space="preserve"> 33.219433</w:t>
            </w:r>
          </w:p>
        </w:tc>
        <w:tc>
          <w:tcPr>
            <w:tcW w:w="1295" w:type="dxa"/>
            <w:tcBorders>
              <w:top w:val="nil"/>
              <w:left w:val="nil"/>
              <w:bottom w:val="nil"/>
              <w:right w:val="nil"/>
            </w:tcBorders>
            <w:shd w:val="clear" w:color="000000" w:fill="FFFFFF"/>
            <w:vAlign w:val="center"/>
            <w:hideMark/>
          </w:tcPr>
          <w:p w14:paraId="6F193124"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133.244452</w:t>
            </w:r>
          </w:p>
        </w:tc>
        <w:tc>
          <w:tcPr>
            <w:tcW w:w="1079" w:type="dxa"/>
            <w:tcBorders>
              <w:top w:val="nil"/>
              <w:left w:val="nil"/>
              <w:bottom w:val="nil"/>
              <w:right w:val="nil"/>
            </w:tcBorders>
            <w:shd w:val="clear" w:color="000000" w:fill="FFFFFF"/>
            <w:vAlign w:val="center"/>
            <w:hideMark/>
          </w:tcPr>
          <w:p w14:paraId="347F30C8"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 xml:space="preserve">Okitsu mélange </w:t>
            </w:r>
          </w:p>
        </w:tc>
        <w:tc>
          <w:tcPr>
            <w:tcW w:w="1079" w:type="dxa"/>
            <w:tcBorders>
              <w:top w:val="nil"/>
              <w:left w:val="nil"/>
              <w:bottom w:val="nil"/>
              <w:right w:val="nil"/>
            </w:tcBorders>
            <w:shd w:val="clear" w:color="000000" w:fill="FFFFFF"/>
            <w:vAlign w:val="center"/>
            <w:hideMark/>
          </w:tcPr>
          <w:p w14:paraId="0E7F487E"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1 mm</w:t>
            </w:r>
          </w:p>
        </w:tc>
        <w:tc>
          <w:tcPr>
            <w:tcW w:w="1277" w:type="dxa"/>
            <w:tcBorders>
              <w:top w:val="nil"/>
              <w:left w:val="nil"/>
              <w:bottom w:val="nil"/>
              <w:right w:val="nil"/>
            </w:tcBorders>
            <w:shd w:val="clear" w:color="000000" w:fill="FFFFFF"/>
            <w:vAlign w:val="center"/>
            <w:hideMark/>
          </w:tcPr>
          <w:p w14:paraId="440CC976"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Single</w:t>
            </w:r>
          </w:p>
        </w:tc>
        <w:tc>
          <w:tcPr>
            <w:tcW w:w="2248" w:type="dxa"/>
            <w:tcBorders>
              <w:top w:val="nil"/>
              <w:left w:val="nil"/>
              <w:bottom w:val="nil"/>
              <w:right w:val="nil"/>
            </w:tcBorders>
            <w:shd w:val="clear" w:color="000000" w:fill="FFFFFF"/>
            <w:vAlign w:val="center"/>
            <w:hideMark/>
          </w:tcPr>
          <w:p w14:paraId="39999CD8"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Yes</w:t>
            </w:r>
          </w:p>
        </w:tc>
        <w:tc>
          <w:tcPr>
            <w:tcW w:w="1295" w:type="dxa"/>
            <w:tcBorders>
              <w:top w:val="nil"/>
              <w:left w:val="nil"/>
              <w:bottom w:val="nil"/>
              <w:right w:val="nil"/>
            </w:tcBorders>
            <w:shd w:val="clear" w:color="000000" w:fill="FFFFFF"/>
            <w:vAlign w:val="center"/>
            <w:hideMark/>
          </w:tcPr>
          <w:p w14:paraId="5522D04D"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Yes</w:t>
            </w:r>
          </w:p>
        </w:tc>
        <w:tc>
          <w:tcPr>
            <w:tcW w:w="1079" w:type="dxa"/>
            <w:tcBorders>
              <w:top w:val="nil"/>
              <w:left w:val="nil"/>
              <w:bottom w:val="nil"/>
              <w:right w:val="nil"/>
            </w:tcBorders>
            <w:shd w:val="clear" w:color="000000" w:fill="FFFFFF"/>
            <w:vAlign w:val="center"/>
            <w:hideMark/>
          </w:tcPr>
          <w:p w14:paraId="339DFEE7"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 </w:t>
            </w:r>
          </w:p>
        </w:tc>
        <w:tc>
          <w:tcPr>
            <w:tcW w:w="1834" w:type="dxa"/>
            <w:tcBorders>
              <w:top w:val="nil"/>
              <w:left w:val="nil"/>
              <w:bottom w:val="nil"/>
              <w:right w:val="nil"/>
            </w:tcBorders>
            <w:shd w:val="clear" w:color="000000" w:fill="FFFFFF"/>
            <w:vAlign w:val="center"/>
            <w:hideMark/>
          </w:tcPr>
          <w:p w14:paraId="4F48B118"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 </w:t>
            </w:r>
          </w:p>
        </w:tc>
      </w:tr>
      <w:tr w:rsidR="008D5898" w:rsidRPr="008D5898" w14:paraId="32B33CEF" w14:textId="77777777" w:rsidTr="008D5898">
        <w:trPr>
          <w:trHeight w:val="539"/>
        </w:trPr>
        <w:tc>
          <w:tcPr>
            <w:tcW w:w="1079" w:type="dxa"/>
            <w:tcBorders>
              <w:top w:val="nil"/>
              <w:left w:val="nil"/>
              <w:bottom w:val="nil"/>
              <w:right w:val="nil"/>
            </w:tcBorders>
            <w:shd w:val="clear" w:color="000000" w:fill="FFFFFF"/>
            <w:vAlign w:val="center"/>
            <w:hideMark/>
          </w:tcPr>
          <w:p w14:paraId="5B4BDCAC" w14:textId="77777777" w:rsidR="008D5898" w:rsidRPr="008D5898" w:rsidRDefault="008D5898" w:rsidP="008D5898">
            <w:pPr>
              <w:spacing w:after="0" w:line="240" w:lineRule="auto"/>
              <w:jc w:val="center"/>
              <w:rPr>
                <w:rFonts w:eastAsia="Times New Roman" w:cs="Times New Roman"/>
                <w:b/>
                <w:bCs/>
                <w:color w:val="000000"/>
                <w:sz w:val="22"/>
                <w:lang w:eastAsia="fr-FR"/>
              </w:rPr>
            </w:pPr>
            <w:r w:rsidRPr="008D5898">
              <w:rPr>
                <w:rFonts w:eastAsia="Times New Roman" w:cs="Times New Roman"/>
                <w:b/>
                <w:bCs/>
                <w:color w:val="000000"/>
                <w:sz w:val="22"/>
                <w:lang w:eastAsia="fr-FR"/>
              </w:rPr>
              <w:t>Nobeoka</w:t>
            </w:r>
          </w:p>
        </w:tc>
        <w:tc>
          <w:tcPr>
            <w:tcW w:w="1079" w:type="dxa"/>
            <w:tcBorders>
              <w:top w:val="nil"/>
              <w:left w:val="nil"/>
              <w:bottom w:val="nil"/>
              <w:right w:val="nil"/>
            </w:tcBorders>
            <w:shd w:val="clear" w:color="000000" w:fill="FFFFFF"/>
            <w:vAlign w:val="center"/>
            <w:hideMark/>
          </w:tcPr>
          <w:p w14:paraId="085D8E20"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Japan</w:t>
            </w:r>
          </w:p>
        </w:tc>
        <w:tc>
          <w:tcPr>
            <w:tcW w:w="1277" w:type="dxa"/>
            <w:tcBorders>
              <w:top w:val="nil"/>
              <w:left w:val="nil"/>
              <w:bottom w:val="nil"/>
              <w:right w:val="nil"/>
            </w:tcBorders>
            <w:shd w:val="clear" w:color="000000" w:fill="FFFFFF"/>
            <w:vAlign w:val="center"/>
            <w:hideMark/>
          </w:tcPr>
          <w:p w14:paraId="08221AB9"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 xml:space="preserve"> 32.592666</w:t>
            </w:r>
          </w:p>
        </w:tc>
        <w:tc>
          <w:tcPr>
            <w:tcW w:w="1295" w:type="dxa"/>
            <w:tcBorders>
              <w:top w:val="nil"/>
              <w:left w:val="nil"/>
              <w:bottom w:val="nil"/>
              <w:right w:val="nil"/>
            </w:tcBorders>
            <w:shd w:val="clear" w:color="000000" w:fill="FFFFFF"/>
            <w:vAlign w:val="center"/>
            <w:hideMark/>
          </w:tcPr>
          <w:p w14:paraId="1F67EE6C"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131.735357</w:t>
            </w:r>
          </w:p>
        </w:tc>
        <w:tc>
          <w:tcPr>
            <w:tcW w:w="1079" w:type="dxa"/>
            <w:tcBorders>
              <w:top w:val="nil"/>
              <w:left w:val="nil"/>
              <w:bottom w:val="nil"/>
              <w:right w:val="nil"/>
            </w:tcBorders>
            <w:shd w:val="clear" w:color="000000" w:fill="FFFFFF"/>
            <w:vAlign w:val="center"/>
            <w:hideMark/>
          </w:tcPr>
          <w:p w14:paraId="71325616"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 xml:space="preserve">Hyuga mélange </w:t>
            </w:r>
          </w:p>
        </w:tc>
        <w:tc>
          <w:tcPr>
            <w:tcW w:w="1079" w:type="dxa"/>
            <w:tcBorders>
              <w:top w:val="nil"/>
              <w:left w:val="nil"/>
              <w:bottom w:val="nil"/>
              <w:right w:val="nil"/>
            </w:tcBorders>
            <w:shd w:val="clear" w:color="000000" w:fill="FFFFFF"/>
            <w:vAlign w:val="center"/>
            <w:hideMark/>
          </w:tcPr>
          <w:p w14:paraId="331D7451"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1.2 - 1.5 mm</w:t>
            </w:r>
          </w:p>
        </w:tc>
        <w:tc>
          <w:tcPr>
            <w:tcW w:w="1277" w:type="dxa"/>
            <w:tcBorders>
              <w:top w:val="nil"/>
              <w:left w:val="nil"/>
              <w:bottom w:val="nil"/>
              <w:right w:val="nil"/>
            </w:tcBorders>
            <w:shd w:val="clear" w:color="000000" w:fill="FFFFFF"/>
            <w:vAlign w:val="center"/>
            <w:hideMark/>
          </w:tcPr>
          <w:p w14:paraId="0C0417AD"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Single</w:t>
            </w:r>
          </w:p>
        </w:tc>
        <w:tc>
          <w:tcPr>
            <w:tcW w:w="2248" w:type="dxa"/>
            <w:tcBorders>
              <w:top w:val="nil"/>
              <w:left w:val="nil"/>
              <w:bottom w:val="nil"/>
              <w:right w:val="nil"/>
            </w:tcBorders>
            <w:shd w:val="clear" w:color="000000" w:fill="FFFFFF"/>
            <w:vAlign w:val="center"/>
            <w:hideMark/>
          </w:tcPr>
          <w:p w14:paraId="140D0FEF"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No</w:t>
            </w:r>
          </w:p>
        </w:tc>
        <w:tc>
          <w:tcPr>
            <w:tcW w:w="1295" w:type="dxa"/>
            <w:tcBorders>
              <w:top w:val="nil"/>
              <w:left w:val="nil"/>
              <w:bottom w:val="nil"/>
              <w:right w:val="nil"/>
            </w:tcBorders>
            <w:shd w:val="clear" w:color="000000" w:fill="FFFFFF"/>
            <w:vAlign w:val="center"/>
            <w:hideMark/>
          </w:tcPr>
          <w:p w14:paraId="5428ED42"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Yes</w:t>
            </w:r>
          </w:p>
        </w:tc>
        <w:tc>
          <w:tcPr>
            <w:tcW w:w="1079" w:type="dxa"/>
            <w:tcBorders>
              <w:top w:val="nil"/>
              <w:left w:val="nil"/>
              <w:bottom w:val="nil"/>
              <w:right w:val="nil"/>
            </w:tcBorders>
            <w:shd w:val="clear" w:color="000000" w:fill="FFFFFF"/>
            <w:vAlign w:val="center"/>
            <w:hideMark/>
          </w:tcPr>
          <w:p w14:paraId="4122E7F9"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 </w:t>
            </w:r>
          </w:p>
        </w:tc>
        <w:tc>
          <w:tcPr>
            <w:tcW w:w="1834" w:type="dxa"/>
            <w:tcBorders>
              <w:top w:val="nil"/>
              <w:left w:val="nil"/>
              <w:bottom w:val="nil"/>
              <w:right w:val="nil"/>
            </w:tcBorders>
            <w:shd w:val="clear" w:color="000000" w:fill="FFFFFF"/>
            <w:vAlign w:val="center"/>
            <w:hideMark/>
          </w:tcPr>
          <w:p w14:paraId="732A23FB"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 </w:t>
            </w:r>
          </w:p>
        </w:tc>
      </w:tr>
      <w:tr w:rsidR="008D5898" w:rsidRPr="008D5898" w14:paraId="0F1ACDC6" w14:textId="77777777" w:rsidTr="008D5898">
        <w:trPr>
          <w:trHeight w:val="607"/>
        </w:trPr>
        <w:tc>
          <w:tcPr>
            <w:tcW w:w="1079" w:type="dxa"/>
            <w:tcBorders>
              <w:top w:val="nil"/>
              <w:left w:val="nil"/>
              <w:bottom w:val="single" w:sz="4" w:space="0" w:color="auto"/>
              <w:right w:val="nil"/>
            </w:tcBorders>
            <w:shd w:val="clear" w:color="000000" w:fill="FFFFFF"/>
            <w:vAlign w:val="center"/>
            <w:hideMark/>
          </w:tcPr>
          <w:p w14:paraId="21357445" w14:textId="77777777" w:rsidR="008D5898" w:rsidRPr="008D5898" w:rsidRDefault="008D5898" w:rsidP="008D5898">
            <w:pPr>
              <w:spacing w:after="0" w:line="240" w:lineRule="auto"/>
              <w:jc w:val="center"/>
              <w:rPr>
                <w:rFonts w:eastAsia="Times New Roman" w:cs="Times New Roman"/>
                <w:b/>
                <w:bCs/>
                <w:color w:val="000000"/>
                <w:sz w:val="22"/>
                <w:lang w:eastAsia="fr-FR"/>
              </w:rPr>
            </w:pPr>
            <w:r w:rsidRPr="008D5898">
              <w:rPr>
                <w:rFonts w:eastAsia="Times New Roman" w:cs="Times New Roman"/>
                <w:b/>
                <w:bCs/>
                <w:color w:val="000000"/>
                <w:sz w:val="22"/>
                <w:lang w:eastAsia="fr-FR"/>
              </w:rPr>
              <w:t>Kodiak</w:t>
            </w:r>
          </w:p>
        </w:tc>
        <w:tc>
          <w:tcPr>
            <w:tcW w:w="1079" w:type="dxa"/>
            <w:tcBorders>
              <w:top w:val="nil"/>
              <w:left w:val="nil"/>
              <w:bottom w:val="single" w:sz="4" w:space="0" w:color="auto"/>
              <w:right w:val="nil"/>
            </w:tcBorders>
            <w:shd w:val="clear" w:color="000000" w:fill="FFFFFF"/>
            <w:vAlign w:val="center"/>
            <w:hideMark/>
          </w:tcPr>
          <w:p w14:paraId="1ABA2D92"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 xml:space="preserve">USA </w:t>
            </w:r>
          </w:p>
        </w:tc>
        <w:tc>
          <w:tcPr>
            <w:tcW w:w="1277" w:type="dxa"/>
            <w:tcBorders>
              <w:top w:val="nil"/>
              <w:left w:val="nil"/>
              <w:bottom w:val="single" w:sz="4" w:space="0" w:color="auto"/>
              <w:right w:val="nil"/>
            </w:tcBorders>
            <w:shd w:val="clear" w:color="000000" w:fill="FFFFFF"/>
            <w:vAlign w:val="center"/>
            <w:hideMark/>
          </w:tcPr>
          <w:p w14:paraId="7372FDD9"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57.422027</w:t>
            </w:r>
          </w:p>
        </w:tc>
        <w:tc>
          <w:tcPr>
            <w:tcW w:w="1295" w:type="dxa"/>
            <w:tcBorders>
              <w:top w:val="nil"/>
              <w:left w:val="nil"/>
              <w:bottom w:val="single" w:sz="4" w:space="0" w:color="auto"/>
              <w:right w:val="nil"/>
            </w:tcBorders>
            <w:shd w:val="clear" w:color="000000" w:fill="FFFFFF"/>
            <w:vAlign w:val="center"/>
            <w:hideMark/>
          </w:tcPr>
          <w:p w14:paraId="1D81566F"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-152.480361</w:t>
            </w:r>
          </w:p>
        </w:tc>
        <w:tc>
          <w:tcPr>
            <w:tcW w:w="1079" w:type="dxa"/>
            <w:tcBorders>
              <w:top w:val="nil"/>
              <w:left w:val="nil"/>
              <w:bottom w:val="single" w:sz="4" w:space="0" w:color="auto"/>
              <w:right w:val="nil"/>
            </w:tcBorders>
            <w:shd w:val="clear" w:color="000000" w:fill="FFFFFF"/>
            <w:vAlign w:val="center"/>
            <w:hideMark/>
          </w:tcPr>
          <w:p w14:paraId="05DDA9AF"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Ghost Rocks formation</w:t>
            </w:r>
          </w:p>
        </w:tc>
        <w:tc>
          <w:tcPr>
            <w:tcW w:w="1079" w:type="dxa"/>
            <w:tcBorders>
              <w:top w:val="nil"/>
              <w:left w:val="nil"/>
              <w:bottom w:val="single" w:sz="4" w:space="0" w:color="auto"/>
              <w:right w:val="nil"/>
            </w:tcBorders>
            <w:shd w:val="clear" w:color="000000" w:fill="FFFFFF"/>
            <w:vAlign w:val="center"/>
            <w:hideMark/>
          </w:tcPr>
          <w:p w14:paraId="23C34B62"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 xml:space="preserve">5 - 30cm </w:t>
            </w:r>
          </w:p>
        </w:tc>
        <w:tc>
          <w:tcPr>
            <w:tcW w:w="1277" w:type="dxa"/>
            <w:tcBorders>
              <w:top w:val="nil"/>
              <w:left w:val="nil"/>
              <w:bottom w:val="single" w:sz="4" w:space="0" w:color="auto"/>
              <w:right w:val="nil"/>
            </w:tcBorders>
            <w:shd w:val="clear" w:color="000000" w:fill="FFFFFF"/>
            <w:vAlign w:val="center"/>
            <w:hideMark/>
          </w:tcPr>
          <w:p w14:paraId="162FB9E8"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 xml:space="preserve">Multi </w:t>
            </w:r>
          </w:p>
        </w:tc>
        <w:tc>
          <w:tcPr>
            <w:tcW w:w="2248" w:type="dxa"/>
            <w:tcBorders>
              <w:top w:val="nil"/>
              <w:left w:val="nil"/>
              <w:bottom w:val="single" w:sz="4" w:space="0" w:color="auto"/>
              <w:right w:val="nil"/>
            </w:tcBorders>
            <w:shd w:val="clear" w:color="000000" w:fill="FFFFFF"/>
            <w:vAlign w:val="center"/>
            <w:hideMark/>
          </w:tcPr>
          <w:p w14:paraId="3FFBC1D0"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Yes</w:t>
            </w:r>
          </w:p>
        </w:tc>
        <w:tc>
          <w:tcPr>
            <w:tcW w:w="1295" w:type="dxa"/>
            <w:tcBorders>
              <w:top w:val="nil"/>
              <w:left w:val="nil"/>
              <w:bottom w:val="single" w:sz="4" w:space="0" w:color="auto"/>
              <w:right w:val="nil"/>
            </w:tcBorders>
            <w:shd w:val="clear" w:color="000000" w:fill="FFFFFF"/>
            <w:vAlign w:val="center"/>
            <w:hideMark/>
          </w:tcPr>
          <w:p w14:paraId="38471BCF"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Yes</w:t>
            </w:r>
          </w:p>
        </w:tc>
        <w:tc>
          <w:tcPr>
            <w:tcW w:w="1079" w:type="dxa"/>
            <w:tcBorders>
              <w:top w:val="nil"/>
              <w:left w:val="nil"/>
              <w:bottom w:val="nil"/>
              <w:right w:val="nil"/>
            </w:tcBorders>
            <w:shd w:val="clear" w:color="000000" w:fill="FFFFFF"/>
            <w:vAlign w:val="center"/>
            <w:hideMark/>
          </w:tcPr>
          <w:p w14:paraId="1B02A679"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 </w:t>
            </w:r>
          </w:p>
        </w:tc>
        <w:tc>
          <w:tcPr>
            <w:tcW w:w="1834" w:type="dxa"/>
            <w:tcBorders>
              <w:top w:val="nil"/>
              <w:left w:val="nil"/>
              <w:bottom w:val="nil"/>
              <w:right w:val="nil"/>
            </w:tcBorders>
            <w:shd w:val="clear" w:color="000000" w:fill="FFFFFF"/>
            <w:vAlign w:val="center"/>
            <w:hideMark/>
          </w:tcPr>
          <w:p w14:paraId="4FB9345E"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 </w:t>
            </w:r>
          </w:p>
        </w:tc>
      </w:tr>
      <w:tr w:rsidR="008D5898" w:rsidRPr="008D5898" w14:paraId="5E371BA3" w14:textId="77777777" w:rsidTr="008D5898">
        <w:trPr>
          <w:trHeight w:val="94"/>
        </w:trPr>
        <w:tc>
          <w:tcPr>
            <w:tcW w:w="1079" w:type="dxa"/>
            <w:tcBorders>
              <w:top w:val="nil"/>
              <w:left w:val="nil"/>
              <w:bottom w:val="nil"/>
              <w:right w:val="nil"/>
            </w:tcBorders>
            <w:shd w:val="clear" w:color="000000" w:fill="FFFFFF"/>
            <w:vAlign w:val="center"/>
            <w:hideMark/>
          </w:tcPr>
          <w:p w14:paraId="1254CD52" w14:textId="77777777" w:rsidR="008D5898" w:rsidRPr="008D5898" w:rsidRDefault="008D5898" w:rsidP="008D5898">
            <w:pPr>
              <w:spacing w:after="0" w:line="240" w:lineRule="auto"/>
              <w:jc w:val="center"/>
              <w:rPr>
                <w:rFonts w:ascii="Calibri" w:eastAsia="Times New Roman" w:hAnsi="Calibri" w:cs="Calibri"/>
                <w:color w:val="000000"/>
                <w:sz w:val="22"/>
                <w:lang w:eastAsia="fr-FR"/>
              </w:rPr>
            </w:pPr>
            <w:r w:rsidRPr="008D5898">
              <w:rPr>
                <w:rFonts w:ascii="Calibri" w:eastAsia="Times New Roman" w:hAnsi="Calibri" w:cs="Calibri"/>
                <w:color w:val="000000"/>
                <w:sz w:val="22"/>
                <w:lang w:eastAsia="fr-FR"/>
              </w:rPr>
              <w:t> </w:t>
            </w:r>
          </w:p>
        </w:tc>
        <w:tc>
          <w:tcPr>
            <w:tcW w:w="1079" w:type="dxa"/>
            <w:tcBorders>
              <w:top w:val="nil"/>
              <w:left w:val="nil"/>
              <w:bottom w:val="nil"/>
              <w:right w:val="nil"/>
            </w:tcBorders>
            <w:shd w:val="clear" w:color="000000" w:fill="FFFFFF"/>
            <w:vAlign w:val="center"/>
            <w:hideMark/>
          </w:tcPr>
          <w:p w14:paraId="5A557298" w14:textId="77777777" w:rsidR="008D5898" w:rsidRPr="008D5898" w:rsidRDefault="008D5898" w:rsidP="008D5898">
            <w:pPr>
              <w:spacing w:after="0" w:line="240" w:lineRule="auto"/>
              <w:jc w:val="center"/>
              <w:rPr>
                <w:rFonts w:ascii="Calibri" w:eastAsia="Times New Roman" w:hAnsi="Calibri" w:cs="Calibri"/>
                <w:color w:val="000000"/>
                <w:sz w:val="22"/>
                <w:lang w:eastAsia="fr-FR"/>
              </w:rPr>
            </w:pPr>
            <w:r w:rsidRPr="008D5898">
              <w:rPr>
                <w:rFonts w:ascii="Calibri" w:eastAsia="Times New Roman" w:hAnsi="Calibri" w:cs="Calibri"/>
                <w:color w:val="000000"/>
                <w:sz w:val="22"/>
                <w:lang w:eastAsia="fr-FR"/>
              </w:rPr>
              <w:t> </w:t>
            </w:r>
          </w:p>
        </w:tc>
        <w:tc>
          <w:tcPr>
            <w:tcW w:w="1277" w:type="dxa"/>
            <w:tcBorders>
              <w:top w:val="nil"/>
              <w:left w:val="nil"/>
              <w:bottom w:val="nil"/>
              <w:right w:val="nil"/>
            </w:tcBorders>
            <w:shd w:val="clear" w:color="000000" w:fill="FFFFFF"/>
            <w:vAlign w:val="center"/>
            <w:hideMark/>
          </w:tcPr>
          <w:p w14:paraId="1B1A06B7" w14:textId="77777777" w:rsidR="008D5898" w:rsidRPr="008D5898" w:rsidRDefault="008D5898" w:rsidP="008D5898">
            <w:pPr>
              <w:spacing w:after="0" w:line="240" w:lineRule="auto"/>
              <w:jc w:val="center"/>
              <w:rPr>
                <w:rFonts w:ascii="Calibri" w:eastAsia="Times New Roman" w:hAnsi="Calibri" w:cs="Calibri"/>
                <w:color w:val="000000"/>
                <w:sz w:val="22"/>
                <w:lang w:eastAsia="fr-FR"/>
              </w:rPr>
            </w:pPr>
            <w:r w:rsidRPr="008D5898">
              <w:rPr>
                <w:rFonts w:ascii="Calibri" w:eastAsia="Times New Roman" w:hAnsi="Calibri" w:cs="Calibri"/>
                <w:color w:val="000000"/>
                <w:sz w:val="22"/>
                <w:lang w:eastAsia="fr-FR"/>
              </w:rPr>
              <w:t> </w:t>
            </w:r>
          </w:p>
        </w:tc>
        <w:tc>
          <w:tcPr>
            <w:tcW w:w="1295" w:type="dxa"/>
            <w:tcBorders>
              <w:top w:val="nil"/>
              <w:left w:val="nil"/>
              <w:bottom w:val="nil"/>
              <w:right w:val="nil"/>
            </w:tcBorders>
            <w:shd w:val="clear" w:color="000000" w:fill="FFFFFF"/>
            <w:vAlign w:val="center"/>
            <w:hideMark/>
          </w:tcPr>
          <w:p w14:paraId="5080579F" w14:textId="77777777" w:rsidR="008D5898" w:rsidRPr="008D5898" w:rsidRDefault="008D5898" w:rsidP="008D5898">
            <w:pPr>
              <w:spacing w:after="0" w:line="240" w:lineRule="auto"/>
              <w:jc w:val="center"/>
              <w:rPr>
                <w:rFonts w:ascii="Calibri" w:eastAsia="Times New Roman" w:hAnsi="Calibri" w:cs="Calibri"/>
                <w:color w:val="000000"/>
                <w:sz w:val="22"/>
                <w:lang w:eastAsia="fr-FR"/>
              </w:rPr>
            </w:pPr>
            <w:r w:rsidRPr="008D5898">
              <w:rPr>
                <w:rFonts w:ascii="Calibri" w:eastAsia="Times New Roman" w:hAnsi="Calibri" w:cs="Calibri"/>
                <w:color w:val="000000"/>
                <w:sz w:val="22"/>
                <w:lang w:eastAsia="fr-FR"/>
              </w:rPr>
              <w:t> </w:t>
            </w:r>
          </w:p>
        </w:tc>
        <w:tc>
          <w:tcPr>
            <w:tcW w:w="1079" w:type="dxa"/>
            <w:tcBorders>
              <w:top w:val="nil"/>
              <w:left w:val="nil"/>
              <w:bottom w:val="nil"/>
              <w:right w:val="nil"/>
            </w:tcBorders>
            <w:shd w:val="clear" w:color="000000" w:fill="FFFFFF"/>
            <w:vAlign w:val="center"/>
            <w:hideMark/>
          </w:tcPr>
          <w:p w14:paraId="66AE50FE" w14:textId="77777777" w:rsidR="008D5898" w:rsidRPr="008D5898" w:rsidRDefault="008D5898" w:rsidP="008D5898">
            <w:pPr>
              <w:spacing w:after="0" w:line="240" w:lineRule="auto"/>
              <w:jc w:val="center"/>
              <w:rPr>
                <w:rFonts w:ascii="Calibri" w:eastAsia="Times New Roman" w:hAnsi="Calibri" w:cs="Calibri"/>
                <w:color w:val="000000"/>
                <w:sz w:val="22"/>
                <w:lang w:eastAsia="fr-FR"/>
              </w:rPr>
            </w:pPr>
            <w:r w:rsidRPr="008D5898">
              <w:rPr>
                <w:rFonts w:ascii="Calibri" w:eastAsia="Times New Roman" w:hAnsi="Calibri" w:cs="Calibri"/>
                <w:color w:val="000000"/>
                <w:sz w:val="22"/>
                <w:lang w:eastAsia="fr-FR"/>
              </w:rPr>
              <w:t> </w:t>
            </w:r>
          </w:p>
        </w:tc>
        <w:tc>
          <w:tcPr>
            <w:tcW w:w="1079" w:type="dxa"/>
            <w:tcBorders>
              <w:top w:val="nil"/>
              <w:left w:val="nil"/>
              <w:bottom w:val="nil"/>
              <w:right w:val="nil"/>
            </w:tcBorders>
            <w:shd w:val="clear" w:color="000000" w:fill="FFFFFF"/>
            <w:vAlign w:val="center"/>
            <w:hideMark/>
          </w:tcPr>
          <w:p w14:paraId="4865FF22" w14:textId="77777777" w:rsidR="008D5898" w:rsidRPr="008D5898" w:rsidRDefault="008D5898" w:rsidP="008D5898">
            <w:pPr>
              <w:spacing w:after="0" w:line="240" w:lineRule="auto"/>
              <w:jc w:val="center"/>
              <w:rPr>
                <w:rFonts w:ascii="Calibri" w:eastAsia="Times New Roman" w:hAnsi="Calibri" w:cs="Calibri"/>
                <w:color w:val="000000"/>
                <w:sz w:val="22"/>
                <w:lang w:eastAsia="fr-FR"/>
              </w:rPr>
            </w:pPr>
            <w:r w:rsidRPr="008D5898">
              <w:rPr>
                <w:rFonts w:ascii="Calibri" w:eastAsia="Times New Roman" w:hAnsi="Calibri" w:cs="Calibri"/>
                <w:color w:val="000000"/>
                <w:sz w:val="22"/>
                <w:lang w:eastAsia="fr-FR"/>
              </w:rPr>
              <w:t> </w:t>
            </w:r>
          </w:p>
        </w:tc>
        <w:tc>
          <w:tcPr>
            <w:tcW w:w="1277" w:type="dxa"/>
            <w:tcBorders>
              <w:top w:val="nil"/>
              <w:left w:val="nil"/>
              <w:bottom w:val="nil"/>
              <w:right w:val="nil"/>
            </w:tcBorders>
            <w:shd w:val="clear" w:color="000000" w:fill="FFFFFF"/>
            <w:vAlign w:val="center"/>
            <w:hideMark/>
          </w:tcPr>
          <w:p w14:paraId="0BF9938C" w14:textId="77777777" w:rsidR="008D5898" w:rsidRPr="008D5898" w:rsidRDefault="008D5898" w:rsidP="008D5898">
            <w:pPr>
              <w:spacing w:after="0" w:line="240" w:lineRule="auto"/>
              <w:jc w:val="center"/>
              <w:rPr>
                <w:rFonts w:ascii="Calibri" w:eastAsia="Times New Roman" w:hAnsi="Calibri" w:cs="Calibri"/>
                <w:color w:val="000000"/>
                <w:sz w:val="22"/>
                <w:lang w:eastAsia="fr-FR"/>
              </w:rPr>
            </w:pPr>
            <w:r w:rsidRPr="008D5898">
              <w:rPr>
                <w:rFonts w:ascii="Calibri" w:eastAsia="Times New Roman" w:hAnsi="Calibri" w:cs="Calibri"/>
                <w:color w:val="000000"/>
                <w:sz w:val="22"/>
                <w:lang w:eastAsia="fr-FR"/>
              </w:rPr>
              <w:t> </w:t>
            </w:r>
          </w:p>
        </w:tc>
        <w:tc>
          <w:tcPr>
            <w:tcW w:w="2248" w:type="dxa"/>
            <w:tcBorders>
              <w:top w:val="nil"/>
              <w:left w:val="nil"/>
              <w:bottom w:val="nil"/>
              <w:right w:val="nil"/>
            </w:tcBorders>
            <w:shd w:val="clear" w:color="000000" w:fill="FFFFFF"/>
            <w:vAlign w:val="center"/>
            <w:hideMark/>
          </w:tcPr>
          <w:p w14:paraId="009E0D52" w14:textId="77777777" w:rsidR="008D5898" w:rsidRPr="008D5898" w:rsidRDefault="008D5898" w:rsidP="008D5898">
            <w:pPr>
              <w:spacing w:after="0" w:line="240" w:lineRule="auto"/>
              <w:jc w:val="center"/>
              <w:rPr>
                <w:rFonts w:ascii="Calibri" w:eastAsia="Times New Roman" w:hAnsi="Calibri" w:cs="Calibri"/>
                <w:color w:val="000000"/>
                <w:sz w:val="22"/>
                <w:lang w:eastAsia="fr-FR"/>
              </w:rPr>
            </w:pPr>
            <w:r w:rsidRPr="008D5898">
              <w:rPr>
                <w:rFonts w:ascii="Calibri" w:eastAsia="Times New Roman" w:hAnsi="Calibri" w:cs="Calibri"/>
                <w:color w:val="000000"/>
                <w:sz w:val="22"/>
                <w:lang w:eastAsia="fr-FR"/>
              </w:rPr>
              <w:t> </w:t>
            </w:r>
          </w:p>
        </w:tc>
        <w:tc>
          <w:tcPr>
            <w:tcW w:w="1295" w:type="dxa"/>
            <w:tcBorders>
              <w:top w:val="nil"/>
              <w:left w:val="nil"/>
              <w:bottom w:val="nil"/>
              <w:right w:val="nil"/>
            </w:tcBorders>
            <w:shd w:val="clear" w:color="000000" w:fill="FFFFFF"/>
            <w:vAlign w:val="center"/>
            <w:hideMark/>
          </w:tcPr>
          <w:p w14:paraId="4A71C3C0" w14:textId="77777777" w:rsidR="008D5898" w:rsidRPr="008D5898" w:rsidRDefault="008D5898" w:rsidP="008D5898">
            <w:pPr>
              <w:spacing w:after="0" w:line="240" w:lineRule="auto"/>
              <w:jc w:val="center"/>
              <w:rPr>
                <w:rFonts w:ascii="Calibri" w:eastAsia="Times New Roman" w:hAnsi="Calibri" w:cs="Calibri"/>
                <w:color w:val="000000"/>
                <w:sz w:val="22"/>
                <w:lang w:eastAsia="fr-FR"/>
              </w:rPr>
            </w:pPr>
            <w:r w:rsidRPr="008D5898">
              <w:rPr>
                <w:rFonts w:ascii="Calibri" w:eastAsia="Times New Roman" w:hAnsi="Calibri" w:cs="Calibri"/>
                <w:color w:val="000000"/>
                <w:sz w:val="22"/>
                <w:lang w:eastAsia="fr-FR"/>
              </w:rPr>
              <w:t> </w:t>
            </w:r>
          </w:p>
        </w:tc>
        <w:tc>
          <w:tcPr>
            <w:tcW w:w="1079" w:type="dxa"/>
            <w:tcBorders>
              <w:top w:val="nil"/>
              <w:left w:val="nil"/>
              <w:bottom w:val="nil"/>
              <w:right w:val="nil"/>
            </w:tcBorders>
            <w:shd w:val="clear" w:color="000000" w:fill="FFFFFF"/>
            <w:vAlign w:val="center"/>
            <w:hideMark/>
          </w:tcPr>
          <w:p w14:paraId="096F891A" w14:textId="77777777" w:rsidR="008D5898" w:rsidRPr="008D5898" w:rsidRDefault="008D5898" w:rsidP="008D5898">
            <w:pPr>
              <w:spacing w:after="0" w:line="240" w:lineRule="auto"/>
              <w:jc w:val="center"/>
              <w:rPr>
                <w:rFonts w:ascii="Calibri" w:eastAsia="Times New Roman" w:hAnsi="Calibri" w:cs="Calibri"/>
                <w:color w:val="000000"/>
                <w:sz w:val="22"/>
                <w:lang w:eastAsia="fr-FR"/>
              </w:rPr>
            </w:pPr>
            <w:r w:rsidRPr="008D5898">
              <w:rPr>
                <w:rFonts w:ascii="Calibri" w:eastAsia="Times New Roman" w:hAnsi="Calibri" w:cs="Calibri"/>
                <w:color w:val="000000"/>
                <w:sz w:val="22"/>
                <w:lang w:eastAsia="fr-FR"/>
              </w:rPr>
              <w:t> </w:t>
            </w:r>
          </w:p>
        </w:tc>
        <w:tc>
          <w:tcPr>
            <w:tcW w:w="1834" w:type="dxa"/>
            <w:tcBorders>
              <w:top w:val="nil"/>
              <w:left w:val="nil"/>
              <w:bottom w:val="nil"/>
              <w:right w:val="nil"/>
            </w:tcBorders>
            <w:shd w:val="clear" w:color="000000" w:fill="FFFFFF"/>
            <w:vAlign w:val="center"/>
            <w:hideMark/>
          </w:tcPr>
          <w:p w14:paraId="16EB5C0D" w14:textId="77777777" w:rsidR="008D5898" w:rsidRPr="008D5898" w:rsidRDefault="008D5898" w:rsidP="008D5898">
            <w:pPr>
              <w:spacing w:after="0" w:line="240" w:lineRule="auto"/>
              <w:jc w:val="center"/>
              <w:rPr>
                <w:rFonts w:ascii="Calibri" w:eastAsia="Times New Roman" w:hAnsi="Calibri" w:cs="Calibri"/>
                <w:color w:val="000000"/>
                <w:sz w:val="22"/>
                <w:lang w:eastAsia="fr-FR"/>
              </w:rPr>
            </w:pPr>
            <w:r w:rsidRPr="008D5898">
              <w:rPr>
                <w:rFonts w:ascii="Calibri" w:eastAsia="Times New Roman" w:hAnsi="Calibri" w:cs="Calibri"/>
                <w:color w:val="000000"/>
                <w:sz w:val="22"/>
                <w:lang w:eastAsia="fr-FR"/>
              </w:rPr>
              <w:t> </w:t>
            </w:r>
          </w:p>
        </w:tc>
      </w:tr>
      <w:tr w:rsidR="008D5898" w:rsidRPr="008D5898" w14:paraId="3710E826" w14:textId="77777777" w:rsidTr="008D5898">
        <w:trPr>
          <w:trHeight w:val="269"/>
        </w:trPr>
        <w:tc>
          <w:tcPr>
            <w:tcW w:w="1079" w:type="dxa"/>
            <w:tcBorders>
              <w:top w:val="nil"/>
              <w:left w:val="nil"/>
              <w:bottom w:val="nil"/>
              <w:right w:val="nil"/>
            </w:tcBorders>
            <w:shd w:val="clear" w:color="000000" w:fill="FFFFFF"/>
            <w:vAlign w:val="center"/>
            <w:hideMark/>
          </w:tcPr>
          <w:p w14:paraId="032C2FE8" w14:textId="77777777" w:rsidR="008D5898" w:rsidRPr="008D5898" w:rsidRDefault="008D5898" w:rsidP="008D5898">
            <w:pPr>
              <w:spacing w:after="0" w:line="240" w:lineRule="auto"/>
              <w:jc w:val="center"/>
              <w:rPr>
                <w:rFonts w:ascii="Calibri" w:eastAsia="Times New Roman" w:hAnsi="Calibri" w:cs="Calibri"/>
                <w:color w:val="000000"/>
                <w:sz w:val="22"/>
                <w:lang w:eastAsia="fr-FR"/>
              </w:rPr>
            </w:pPr>
            <w:r w:rsidRPr="008D5898">
              <w:rPr>
                <w:rFonts w:ascii="Calibri" w:eastAsia="Times New Roman" w:hAnsi="Calibri" w:cs="Calibri"/>
                <w:color w:val="000000"/>
                <w:sz w:val="22"/>
                <w:lang w:eastAsia="fr-FR"/>
              </w:rPr>
              <w:t> </w:t>
            </w:r>
          </w:p>
        </w:tc>
        <w:tc>
          <w:tcPr>
            <w:tcW w:w="13545" w:type="dxa"/>
            <w:gridSpan w:val="10"/>
            <w:tcBorders>
              <w:top w:val="nil"/>
              <w:left w:val="nil"/>
              <w:bottom w:val="nil"/>
              <w:right w:val="nil"/>
            </w:tcBorders>
            <w:shd w:val="clear" w:color="000000" w:fill="FFFFFF"/>
            <w:vAlign w:val="bottom"/>
            <w:hideMark/>
          </w:tcPr>
          <w:p w14:paraId="51369C24" w14:textId="77777777" w:rsidR="008D5898" w:rsidRPr="008D5898" w:rsidRDefault="008D5898" w:rsidP="008D5898">
            <w:pPr>
              <w:spacing w:after="0" w:line="240" w:lineRule="auto"/>
              <w:jc w:val="left"/>
              <w:rPr>
                <w:rFonts w:eastAsia="Times New Roman" w:cs="Times New Roman"/>
                <w:b/>
                <w:bCs/>
                <w:i/>
                <w:iCs/>
                <w:color w:val="000000"/>
                <w:sz w:val="20"/>
                <w:szCs w:val="20"/>
                <w:lang w:eastAsia="fr-FR"/>
              </w:rPr>
            </w:pPr>
            <w:r w:rsidRPr="008D5898">
              <w:rPr>
                <w:rFonts w:eastAsia="Times New Roman" w:cs="Times New Roman"/>
                <w:b/>
                <w:bCs/>
                <w:i/>
                <w:iCs/>
                <w:color w:val="000000"/>
                <w:sz w:val="20"/>
                <w:szCs w:val="20"/>
                <w:lang w:eastAsia="fr-FR"/>
              </w:rPr>
              <w:t xml:space="preserve">Micro- to nano-textures </w:t>
            </w:r>
          </w:p>
        </w:tc>
      </w:tr>
      <w:tr w:rsidR="008D5898" w:rsidRPr="008D5898" w14:paraId="742D1B44" w14:textId="77777777" w:rsidTr="008D5898">
        <w:trPr>
          <w:trHeight w:val="782"/>
        </w:trPr>
        <w:tc>
          <w:tcPr>
            <w:tcW w:w="1079" w:type="dxa"/>
            <w:tcBorders>
              <w:top w:val="nil"/>
              <w:left w:val="nil"/>
              <w:bottom w:val="single" w:sz="8" w:space="0" w:color="auto"/>
              <w:right w:val="nil"/>
            </w:tcBorders>
            <w:shd w:val="clear" w:color="000000" w:fill="FFFFFF"/>
            <w:vAlign w:val="center"/>
            <w:hideMark/>
          </w:tcPr>
          <w:p w14:paraId="1EA6C6D5" w14:textId="77777777" w:rsidR="008D5898" w:rsidRPr="008D5898" w:rsidRDefault="008D5898" w:rsidP="008D5898">
            <w:pPr>
              <w:spacing w:after="0" w:line="240" w:lineRule="auto"/>
              <w:jc w:val="center"/>
              <w:rPr>
                <w:rFonts w:eastAsia="Times New Roman" w:cs="Times New Roman"/>
                <w:b/>
                <w:bCs/>
                <w:color w:val="000000"/>
                <w:sz w:val="22"/>
                <w:lang w:eastAsia="fr-FR"/>
              </w:rPr>
            </w:pPr>
            <w:r w:rsidRPr="008D5898">
              <w:rPr>
                <w:rFonts w:eastAsia="Times New Roman" w:cs="Times New Roman"/>
                <w:b/>
                <w:bCs/>
                <w:color w:val="000000"/>
                <w:sz w:val="22"/>
                <w:lang w:eastAsia="fr-FR"/>
              </w:rPr>
              <w:t xml:space="preserve">Sample </w:t>
            </w:r>
          </w:p>
        </w:tc>
        <w:tc>
          <w:tcPr>
            <w:tcW w:w="1079" w:type="dxa"/>
            <w:tcBorders>
              <w:top w:val="nil"/>
              <w:left w:val="nil"/>
              <w:bottom w:val="single" w:sz="8" w:space="0" w:color="auto"/>
              <w:right w:val="nil"/>
            </w:tcBorders>
            <w:shd w:val="clear" w:color="000000" w:fill="FFFFFF"/>
            <w:vAlign w:val="center"/>
            <w:hideMark/>
          </w:tcPr>
          <w:p w14:paraId="7F26A8B9" w14:textId="77777777" w:rsidR="008D5898" w:rsidRPr="008D5898" w:rsidRDefault="008D5898" w:rsidP="008D5898">
            <w:pPr>
              <w:spacing w:after="0" w:line="240" w:lineRule="auto"/>
              <w:jc w:val="center"/>
              <w:rPr>
                <w:rFonts w:eastAsia="Times New Roman" w:cs="Times New Roman"/>
                <w:b/>
                <w:bCs/>
                <w:color w:val="000000"/>
                <w:sz w:val="22"/>
                <w:lang w:eastAsia="fr-FR"/>
              </w:rPr>
            </w:pPr>
            <w:r w:rsidRPr="008D5898">
              <w:rPr>
                <w:rFonts w:eastAsia="Times New Roman" w:cs="Times New Roman"/>
                <w:b/>
                <w:bCs/>
                <w:color w:val="000000"/>
                <w:sz w:val="22"/>
                <w:lang w:eastAsia="fr-FR"/>
              </w:rPr>
              <w:t>Rounded clasts</w:t>
            </w:r>
          </w:p>
        </w:tc>
        <w:tc>
          <w:tcPr>
            <w:tcW w:w="1277" w:type="dxa"/>
            <w:tcBorders>
              <w:top w:val="nil"/>
              <w:left w:val="nil"/>
              <w:bottom w:val="single" w:sz="8" w:space="0" w:color="auto"/>
              <w:right w:val="nil"/>
            </w:tcBorders>
            <w:shd w:val="clear" w:color="000000" w:fill="FFFFFF"/>
            <w:vAlign w:val="center"/>
            <w:hideMark/>
          </w:tcPr>
          <w:p w14:paraId="0923CF20" w14:textId="77777777" w:rsidR="008D5898" w:rsidRPr="008D5898" w:rsidRDefault="008D5898" w:rsidP="008D5898">
            <w:pPr>
              <w:spacing w:after="0" w:line="240" w:lineRule="auto"/>
              <w:jc w:val="center"/>
              <w:rPr>
                <w:rFonts w:eastAsia="Times New Roman" w:cs="Times New Roman"/>
                <w:b/>
                <w:bCs/>
                <w:color w:val="000000"/>
                <w:sz w:val="22"/>
                <w:lang w:eastAsia="fr-FR"/>
              </w:rPr>
            </w:pPr>
            <w:r w:rsidRPr="008D5898">
              <w:rPr>
                <w:rFonts w:eastAsia="Times New Roman" w:cs="Times New Roman"/>
                <w:b/>
                <w:bCs/>
                <w:color w:val="000000"/>
                <w:sz w:val="22"/>
                <w:lang w:eastAsia="fr-FR"/>
              </w:rPr>
              <w:t xml:space="preserve">Clasts grain size </w:t>
            </w:r>
          </w:p>
        </w:tc>
        <w:tc>
          <w:tcPr>
            <w:tcW w:w="1295" w:type="dxa"/>
            <w:tcBorders>
              <w:top w:val="nil"/>
              <w:left w:val="nil"/>
              <w:bottom w:val="single" w:sz="8" w:space="0" w:color="auto"/>
              <w:right w:val="nil"/>
            </w:tcBorders>
            <w:shd w:val="clear" w:color="000000" w:fill="FFFFFF"/>
            <w:vAlign w:val="center"/>
            <w:hideMark/>
          </w:tcPr>
          <w:p w14:paraId="3DCDB34D" w14:textId="77777777" w:rsidR="008D5898" w:rsidRPr="008D5898" w:rsidRDefault="008D5898" w:rsidP="008D5898">
            <w:pPr>
              <w:spacing w:after="0" w:line="240" w:lineRule="auto"/>
              <w:jc w:val="center"/>
              <w:rPr>
                <w:rFonts w:eastAsia="Times New Roman" w:cs="Times New Roman"/>
                <w:b/>
                <w:bCs/>
                <w:color w:val="000000"/>
                <w:sz w:val="22"/>
                <w:lang w:eastAsia="fr-FR"/>
              </w:rPr>
            </w:pPr>
            <w:r w:rsidRPr="008D5898">
              <w:rPr>
                <w:rFonts w:eastAsia="Times New Roman" w:cs="Times New Roman"/>
                <w:b/>
                <w:bCs/>
                <w:color w:val="000000"/>
                <w:sz w:val="22"/>
                <w:lang w:eastAsia="fr-FR"/>
              </w:rPr>
              <w:t>Corrosion / Embayment structure</w:t>
            </w:r>
          </w:p>
        </w:tc>
        <w:tc>
          <w:tcPr>
            <w:tcW w:w="1079" w:type="dxa"/>
            <w:tcBorders>
              <w:top w:val="nil"/>
              <w:left w:val="nil"/>
              <w:bottom w:val="single" w:sz="8" w:space="0" w:color="auto"/>
              <w:right w:val="nil"/>
            </w:tcBorders>
            <w:shd w:val="clear" w:color="000000" w:fill="FFFFFF"/>
            <w:vAlign w:val="center"/>
            <w:hideMark/>
          </w:tcPr>
          <w:p w14:paraId="17645F0D" w14:textId="77777777" w:rsidR="008D5898" w:rsidRPr="008D5898" w:rsidRDefault="008D5898" w:rsidP="008D5898">
            <w:pPr>
              <w:spacing w:after="0" w:line="240" w:lineRule="auto"/>
              <w:jc w:val="center"/>
              <w:rPr>
                <w:rFonts w:eastAsia="Times New Roman" w:cs="Times New Roman"/>
                <w:b/>
                <w:bCs/>
                <w:color w:val="000000"/>
                <w:sz w:val="22"/>
                <w:lang w:eastAsia="fr-FR"/>
              </w:rPr>
            </w:pPr>
            <w:r w:rsidRPr="008D5898">
              <w:rPr>
                <w:rFonts w:eastAsia="Times New Roman" w:cs="Times New Roman"/>
                <w:b/>
                <w:bCs/>
                <w:color w:val="000000"/>
                <w:sz w:val="22"/>
                <w:lang w:eastAsia="fr-FR"/>
              </w:rPr>
              <w:t>Flow texture</w:t>
            </w:r>
          </w:p>
        </w:tc>
        <w:tc>
          <w:tcPr>
            <w:tcW w:w="1079" w:type="dxa"/>
            <w:tcBorders>
              <w:top w:val="nil"/>
              <w:left w:val="nil"/>
              <w:bottom w:val="single" w:sz="8" w:space="0" w:color="auto"/>
              <w:right w:val="nil"/>
            </w:tcBorders>
            <w:shd w:val="clear" w:color="000000" w:fill="FFFFFF"/>
            <w:vAlign w:val="center"/>
            <w:hideMark/>
          </w:tcPr>
          <w:p w14:paraId="009F338B" w14:textId="77777777" w:rsidR="008D5898" w:rsidRPr="008D5898" w:rsidRDefault="008D5898" w:rsidP="008D5898">
            <w:pPr>
              <w:spacing w:after="0" w:line="240" w:lineRule="auto"/>
              <w:jc w:val="center"/>
              <w:rPr>
                <w:rFonts w:eastAsia="Times New Roman" w:cs="Times New Roman"/>
                <w:b/>
                <w:bCs/>
                <w:color w:val="000000"/>
                <w:sz w:val="22"/>
                <w:lang w:eastAsia="fr-FR"/>
              </w:rPr>
            </w:pPr>
            <w:r w:rsidRPr="008D5898">
              <w:rPr>
                <w:rFonts w:eastAsia="Times New Roman" w:cs="Times New Roman"/>
                <w:b/>
                <w:bCs/>
                <w:color w:val="000000"/>
                <w:sz w:val="22"/>
                <w:lang w:eastAsia="fr-FR"/>
              </w:rPr>
              <w:t xml:space="preserve">Matrix grain size </w:t>
            </w:r>
          </w:p>
        </w:tc>
        <w:tc>
          <w:tcPr>
            <w:tcW w:w="1277" w:type="dxa"/>
            <w:tcBorders>
              <w:top w:val="nil"/>
              <w:left w:val="nil"/>
              <w:bottom w:val="single" w:sz="8" w:space="0" w:color="auto"/>
              <w:right w:val="nil"/>
            </w:tcBorders>
            <w:shd w:val="clear" w:color="000000" w:fill="FFFFFF"/>
            <w:vAlign w:val="center"/>
            <w:hideMark/>
          </w:tcPr>
          <w:p w14:paraId="76890959" w14:textId="77777777" w:rsidR="008D5898" w:rsidRPr="008D5898" w:rsidRDefault="008D5898" w:rsidP="008D5898">
            <w:pPr>
              <w:spacing w:after="0" w:line="240" w:lineRule="auto"/>
              <w:jc w:val="center"/>
              <w:rPr>
                <w:rFonts w:eastAsia="Times New Roman" w:cs="Times New Roman"/>
                <w:b/>
                <w:bCs/>
                <w:color w:val="000000"/>
                <w:sz w:val="22"/>
                <w:lang w:eastAsia="fr-FR"/>
              </w:rPr>
            </w:pPr>
            <w:r w:rsidRPr="008D5898">
              <w:rPr>
                <w:rFonts w:eastAsia="Times New Roman" w:cs="Times New Roman"/>
                <w:b/>
                <w:bCs/>
                <w:color w:val="000000"/>
                <w:sz w:val="22"/>
                <w:lang w:eastAsia="fr-FR"/>
              </w:rPr>
              <w:t>Fine-grains within matrix</w:t>
            </w:r>
          </w:p>
        </w:tc>
        <w:tc>
          <w:tcPr>
            <w:tcW w:w="2248" w:type="dxa"/>
            <w:tcBorders>
              <w:top w:val="nil"/>
              <w:left w:val="nil"/>
              <w:bottom w:val="single" w:sz="8" w:space="0" w:color="auto"/>
              <w:right w:val="nil"/>
            </w:tcBorders>
            <w:shd w:val="clear" w:color="000000" w:fill="FFFFFF"/>
            <w:vAlign w:val="center"/>
            <w:hideMark/>
          </w:tcPr>
          <w:p w14:paraId="0238A1D5" w14:textId="77777777" w:rsidR="008D5898" w:rsidRPr="008D5898" w:rsidRDefault="008D5898" w:rsidP="008D5898">
            <w:pPr>
              <w:spacing w:after="0" w:line="240" w:lineRule="auto"/>
              <w:jc w:val="center"/>
              <w:rPr>
                <w:rFonts w:eastAsia="Times New Roman" w:cs="Times New Roman"/>
                <w:b/>
                <w:bCs/>
                <w:color w:val="000000"/>
                <w:sz w:val="22"/>
                <w:lang w:eastAsia="fr-FR"/>
              </w:rPr>
            </w:pPr>
            <w:r w:rsidRPr="008D5898">
              <w:rPr>
                <w:rFonts w:eastAsia="Times New Roman" w:cs="Times New Roman"/>
                <w:b/>
                <w:bCs/>
                <w:color w:val="000000"/>
                <w:sz w:val="22"/>
                <w:lang w:eastAsia="fr-FR"/>
              </w:rPr>
              <w:t>Nature of fine-grains</w:t>
            </w:r>
          </w:p>
        </w:tc>
        <w:tc>
          <w:tcPr>
            <w:tcW w:w="1295" w:type="dxa"/>
            <w:tcBorders>
              <w:top w:val="nil"/>
              <w:left w:val="nil"/>
              <w:bottom w:val="single" w:sz="8" w:space="0" w:color="auto"/>
              <w:right w:val="nil"/>
            </w:tcBorders>
            <w:shd w:val="clear" w:color="000000" w:fill="FFFFFF"/>
            <w:vAlign w:val="center"/>
            <w:hideMark/>
          </w:tcPr>
          <w:p w14:paraId="51A52931" w14:textId="77777777" w:rsidR="008D5898" w:rsidRPr="008D5898" w:rsidRDefault="008D5898" w:rsidP="008D5898">
            <w:pPr>
              <w:spacing w:after="0" w:line="240" w:lineRule="auto"/>
              <w:jc w:val="center"/>
              <w:rPr>
                <w:rFonts w:eastAsia="Times New Roman" w:cs="Times New Roman"/>
                <w:b/>
                <w:bCs/>
                <w:color w:val="000000"/>
                <w:sz w:val="22"/>
                <w:lang w:eastAsia="fr-FR"/>
              </w:rPr>
            </w:pPr>
            <w:r w:rsidRPr="008D5898">
              <w:rPr>
                <w:rFonts w:eastAsia="Times New Roman" w:cs="Times New Roman"/>
                <w:b/>
                <w:bCs/>
                <w:color w:val="000000"/>
                <w:sz w:val="22"/>
                <w:lang w:eastAsia="fr-FR"/>
              </w:rPr>
              <w:t>Fine-grains size</w:t>
            </w:r>
          </w:p>
        </w:tc>
        <w:tc>
          <w:tcPr>
            <w:tcW w:w="1079" w:type="dxa"/>
            <w:tcBorders>
              <w:top w:val="nil"/>
              <w:left w:val="nil"/>
              <w:bottom w:val="single" w:sz="8" w:space="0" w:color="auto"/>
              <w:right w:val="nil"/>
            </w:tcBorders>
            <w:shd w:val="clear" w:color="000000" w:fill="FFFFFF"/>
            <w:vAlign w:val="center"/>
            <w:hideMark/>
          </w:tcPr>
          <w:p w14:paraId="482A1B36" w14:textId="77777777" w:rsidR="008D5898" w:rsidRPr="008D5898" w:rsidRDefault="008D5898" w:rsidP="008D5898">
            <w:pPr>
              <w:spacing w:after="0" w:line="240" w:lineRule="auto"/>
              <w:jc w:val="center"/>
              <w:rPr>
                <w:rFonts w:eastAsia="Times New Roman" w:cs="Times New Roman"/>
                <w:b/>
                <w:bCs/>
                <w:color w:val="000000"/>
                <w:sz w:val="22"/>
                <w:lang w:eastAsia="fr-FR"/>
              </w:rPr>
            </w:pPr>
            <w:r w:rsidRPr="008D5898">
              <w:rPr>
                <w:rFonts w:eastAsia="Times New Roman" w:cs="Times New Roman"/>
                <w:b/>
                <w:bCs/>
                <w:color w:val="000000"/>
                <w:sz w:val="22"/>
                <w:lang w:eastAsia="fr-FR"/>
              </w:rPr>
              <w:t>Pores in the matrix</w:t>
            </w:r>
          </w:p>
        </w:tc>
        <w:tc>
          <w:tcPr>
            <w:tcW w:w="1834" w:type="dxa"/>
            <w:tcBorders>
              <w:top w:val="nil"/>
              <w:left w:val="nil"/>
              <w:bottom w:val="single" w:sz="8" w:space="0" w:color="auto"/>
              <w:right w:val="nil"/>
            </w:tcBorders>
            <w:shd w:val="clear" w:color="000000" w:fill="FFFFFF"/>
            <w:vAlign w:val="center"/>
            <w:hideMark/>
          </w:tcPr>
          <w:p w14:paraId="1262D25E" w14:textId="77777777" w:rsidR="008D5898" w:rsidRPr="008D5898" w:rsidRDefault="008D5898" w:rsidP="008D5898">
            <w:pPr>
              <w:spacing w:after="0" w:line="240" w:lineRule="auto"/>
              <w:jc w:val="center"/>
              <w:rPr>
                <w:rFonts w:eastAsia="Times New Roman" w:cs="Times New Roman"/>
                <w:b/>
                <w:bCs/>
                <w:color w:val="000000"/>
                <w:sz w:val="22"/>
                <w:lang w:eastAsia="fr-FR"/>
              </w:rPr>
            </w:pPr>
            <w:r w:rsidRPr="008D5898">
              <w:rPr>
                <w:rFonts w:eastAsia="Times New Roman" w:cs="Times New Roman"/>
                <w:b/>
                <w:bCs/>
                <w:color w:val="000000"/>
                <w:sz w:val="22"/>
                <w:lang w:eastAsia="fr-FR"/>
              </w:rPr>
              <w:t>References</w:t>
            </w:r>
          </w:p>
        </w:tc>
      </w:tr>
      <w:tr w:rsidR="008D5898" w:rsidRPr="008D5898" w14:paraId="446998B0" w14:textId="77777777" w:rsidTr="008D5898">
        <w:trPr>
          <w:trHeight w:val="566"/>
        </w:trPr>
        <w:tc>
          <w:tcPr>
            <w:tcW w:w="1079" w:type="dxa"/>
            <w:tcBorders>
              <w:top w:val="nil"/>
              <w:left w:val="nil"/>
              <w:bottom w:val="nil"/>
              <w:right w:val="nil"/>
            </w:tcBorders>
            <w:shd w:val="clear" w:color="000000" w:fill="FFFFFF"/>
            <w:vAlign w:val="center"/>
            <w:hideMark/>
          </w:tcPr>
          <w:p w14:paraId="017BE59C" w14:textId="77777777" w:rsidR="008D5898" w:rsidRPr="008D5898" w:rsidRDefault="008D5898" w:rsidP="008D5898">
            <w:pPr>
              <w:spacing w:after="0" w:line="240" w:lineRule="auto"/>
              <w:jc w:val="center"/>
              <w:rPr>
                <w:rFonts w:eastAsia="Times New Roman" w:cs="Times New Roman"/>
                <w:b/>
                <w:bCs/>
                <w:color w:val="000000"/>
                <w:sz w:val="22"/>
                <w:lang w:eastAsia="fr-FR"/>
              </w:rPr>
            </w:pPr>
            <w:r w:rsidRPr="008D5898">
              <w:rPr>
                <w:rFonts w:eastAsia="Times New Roman" w:cs="Times New Roman"/>
                <w:b/>
                <w:bCs/>
                <w:color w:val="000000"/>
                <w:sz w:val="22"/>
                <w:lang w:eastAsia="fr-FR"/>
              </w:rPr>
              <w:t>Okitsu</w:t>
            </w:r>
          </w:p>
        </w:tc>
        <w:tc>
          <w:tcPr>
            <w:tcW w:w="1079" w:type="dxa"/>
            <w:tcBorders>
              <w:top w:val="nil"/>
              <w:left w:val="nil"/>
              <w:bottom w:val="nil"/>
              <w:right w:val="nil"/>
            </w:tcBorders>
            <w:shd w:val="clear" w:color="000000" w:fill="FFFFFF"/>
            <w:vAlign w:val="center"/>
            <w:hideMark/>
          </w:tcPr>
          <w:p w14:paraId="0924465A"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Yes</w:t>
            </w:r>
          </w:p>
        </w:tc>
        <w:tc>
          <w:tcPr>
            <w:tcW w:w="1277" w:type="dxa"/>
            <w:tcBorders>
              <w:top w:val="nil"/>
              <w:left w:val="nil"/>
              <w:bottom w:val="nil"/>
              <w:right w:val="nil"/>
            </w:tcBorders>
            <w:shd w:val="clear" w:color="000000" w:fill="FFFFFF"/>
            <w:vAlign w:val="center"/>
            <w:hideMark/>
          </w:tcPr>
          <w:p w14:paraId="4FAB9268"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 xml:space="preserve">&lt; 100 µm </w:t>
            </w:r>
          </w:p>
        </w:tc>
        <w:tc>
          <w:tcPr>
            <w:tcW w:w="1295" w:type="dxa"/>
            <w:tcBorders>
              <w:top w:val="nil"/>
              <w:left w:val="nil"/>
              <w:bottom w:val="nil"/>
              <w:right w:val="nil"/>
            </w:tcBorders>
            <w:shd w:val="clear" w:color="000000" w:fill="FFFFFF"/>
            <w:vAlign w:val="center"/>
            <w:hideMark/>
          </w:tcPr>
          <w:p w14:paraId="041C8F77"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Yes</w:t>
            </w:r>
          </w:p>
        </w:tc>
        <w:tc>
          <w:tcPr>
            <w:tcW w:w="1079" w:type="dxa"/>
            <w:tcBorders>
              <w:top w:val="nil"/>
              <w:left w:val="nil"/>
              <w:bottom w:val="nil"/>
              <w:right w:val="nil"/>
            </w:tcBorders>
            <w:shd w:val="clear" w:color="000000" w:fill="FFFFFF"/>
            <w:vAlign w:val="center"/>
            <w:hideMark/>
          </w:tcPr>
          <w:p w14:paraId="56B884C5"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Yes</w:t>
            </w:r>
          </w:p>
        </w:tc>
        <w:tc>
          <w:tcPr>
            <w:tcW w:w="1079" w:type="dxa"/>
            <w:tcBorders>
              <w:top w:val="nil"/>
              <w:left w:val="nil"/>
              <w:bottom w:val="nil"/>
              <w:right w:val="nil"/>
            </w:tcBorders>
            <w:shd w:val="clear" w:color="000000" w:fill="FFFFFF"/>
            <w:vAlign w:val="center"/>
            <w:hideMark/>
          </w:tcPr>
          <w:p w14:paraId="7FCA70C6"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w:t>
            </w:r>
          </w:p>
        </w:tc>
        <w:tc>
          <w:tcPr>
            <w:tcW w:w="1277" w:type="dxa"/>
            <w:tcBorders>
              <w:top w:val="nil"/>
              <w:left w:val="nil"/>
              <w:bottom w:val="nil"/>
              <w:right w:val="nil"/>
            </w:tcBorders>
            <w:shd w:val="clear" w:color="000000" w:fill="FFFFFF"/>
            <w:vAlign w:val="center"/>
            <w:hideMark/>
          </w:tcPr>
          <w:p w14:paraId="14555BC3"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Yes</w:t>
            </w:r>
          </w:p>
        </w:tc>
        <w:tc>
          <w:tcPr>
            <w:tcW w:w="2248" w:type="dxa"/>
            <w:tcBorders>
              <w:top w:val="nil"/>
              <w:left w:val="nil"/>
              <w:bottom w:val="nil"/>
              <w:right w:val="nil"/>
            </w:tcBorders>
            <w:shd w:val="clear" w:color="000000" w:fill="FFFFFF"/>
            <w:vAlign w:val="center"/>
            <w:hideMark/>
          </w:tcPr>
          <w:p w14:paraId="29ADF6D2"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Rutiles</w:t>
            </w:r>
          </w:p>
        </w:tc>
        <w:tc>
          <w:tcPr>
            <w:tcW w:w="1295" w:type="dxa"/>
            <w:tcBorders>
              <w:top w:val="nil"/>
              <w:left w:val="nil"/>
              <w:bottom w:val="nil"/>
              <w:right w:val="nil"/>
            </w:tcBorders>
            <w:shd w:val="clear" w:color="000000" w:fill="FFFFFF"/>
            <w:vAlign w:val="center"/>
            <w:hideMark/>
          </w:tcPr>
          <w:p w14:paraId="11E2ABDC"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100 nm - 3 µm</w:t>
            </w:r>
          </w:p>
        </w:tc>
        <w:tc>
          <w:tcPr>
            <w:tcW w:w="1079" w:type="dxa"/>
            <w:tcBorders>
              <w:top w:val="nil"/>
              <w:left w:val="nil"/>
              <w:bottom w:val="nil"/>
              <w:right w:val="nil"/>
            </w:tcBorders>
            <w:shd w:val="clear" w:color="000000" w:fill="FFFFFF"/>
            <w:vAlign w:val="center"/>
            <w:hideMark/>
          </w:tcPr>
          <w:p w14:paraId="3FE7DB08"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Yes</w:t>
            </w:r>
          </w:p>
        </w:tc>
        <w:tc>
          <w:tcPr>
            <w:tcW w:w="1834" w:type="dxa"/>
            <w:tcBorders>
              <w:top w:val="nil"/>
              <w:left w:val="nil"/>
              <w:bottom w:val="nil"/>
              <w:right w:val="nil"/>
            </w:tcBorders>
            <w:shd w:val="clear" w:color="000000" w:fill="FFFFFF"/>
            <w:vAlign w:val="center"/>
            <w:hideMark/>
          </w:tcPr>
          <w:p w14:paraId="3CCAA004"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Ikesawa et al., 2003</w:t>
            </w:r>
          </w:p>
        </w:tc>
      </w:tr>
      <w:tr w:rsidR="008D5898" w:rsidRPr="008D5898" w14:paraId="50551C25" w14:textId="77777777" w:rsidTr="008D5898">
        <w:trPr>
          <w:trHeight w:val="539"/>
        </w:trPr>
        <w:tc>
          <w:tcPr>
            <w:tcW w:w="1079" w:type="dxa"/>
            <w:tcBorders>
              <w:top w:val="nil"/>
              <w:left w:val="nil"/>
              <w:bottom w:val="nil"/>
              <w:right w:val="nil"/>
            </w:tcBorders>
            <w:shd w:val="clear" w:color="000000" w:fill="FFFFFF"/>
            <w:vAlign w:val="center"/>
            <w:hideMark/>
          </w:tcPr>
          <w:p w14:paraId="22136C9C" w14:textId="77777777" w:rsidR="008D5898" w:rsidRPr="008D5898" w:rsidRDefault="008D5898" w:rsidP="008D5898">
            <w:pPr>
              <w:spacing w:after="0" w:line="240" w:lineRule="auto"/>
              <w:jc w:val="center"/>
              <w:rPr>
                <w:rFonts w:eastAsia="Times New Roman" w:cs="Times New Roman"/>
                <w:b/>
                <w:bCs/>
                <w:color w:val="000000"/>
                <w:sz w:val="22"/>
                <w:lang w:eastAsia="fr-FR"/>
              </w:rPr>
            </w:pPr>
            <w:r w:rsidRPr="008D5898">
              <w:rPr>
                <w:rFonts w:eastAsia="Times New Roman" w:cs="Times New Roman"/>
                <w:b/>
                <w:bCs/>
                <w:color w:val="000000"/>
                <w:sz w:val="22"/>
                <w:lang w:eastAsia="fr-FR"/>
              </w:rPr>
              <w:t>Nobeoka</w:t>
            </w:r>
          </w:p>
        </w:tc>
        <w:tc>
          <w:tcPr>
            <w:tcW w:w="1079" w:type="dxa"/>
            <w:tcBorders>
              <w:top w:val="nil"/>
              <w:left w:val="nil"/>
              <w:bottom w:val="nil"/>
              <w:right w:val="nil"/>
            </w:tcBorders>
            <w:shd w:val="clear" w:color="000000" w:fill="FFFFFF"/>
            <w:vAlign w:val="center"/>
            <w:hideMark/>
          </w:tcPr>
          <w:p w14:paraId="5E3A59E3"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Yes</w:t>
            </w:r>
          </w:p>
        </w:tc>
        <w:tc>
          <w:tcPr>
            <w:tcW w:w="1277" w:type="dxa"/>
            <w:tcBorders>
              <w:top w:val="nil"/>
              <w:left w:val="nil"/>
              <w:bottom w:val="nil"/>
              <w:right w:val="nil"/>
            </w:tcBorders>
            <w:shd w:val="clear" w:color="000000" w:fill="FFFFFF"/>
            <w:vAlign w:val="center"/>
            <w:hideMark/>
          </w:tcPr>
          <w:p w14:paraId="7F9742A9"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 xml:space="preserve">&lt; 0.1 mm </w:t>
            </w:r>
          </w:p>
        </w:tc>
        <w:tc>
          <w:tcPr>
            <w:tcW w:w="1295" w:type="dxa"/>
            <w:tcBorders>
              <w:top w:val="nil"/>
              <w:left w:val="nil"/>
              <w:bottom w:val="nil"/>
              <w:right w:val="nil"/>
            </w:tcBorders>
            <w:shd w:val="clear" w:color="000000" w:fill="FFFFFF"/>
            <w:vAlign w:val="center"/>
            <w:hideMark/>
          </w:tcPr>
          <w:p w14:paraId="68E54E7E"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Yes</w:t>
            </w:r>
          </w:p>
        </w:tc>
        <w:tc>
          <w:tcPr>
            <w:tcW w:w="1079" w:type="dxa"/>
            <w:tcBorders>
              <w:top w:val="nil"/>
              <w:left w:val="nil"/>
              <w:bottom w:val="nil"/>
              <w:right w:val="nil"/>
            </w:tcBorders>
            <w:shd w:val="clear" w:color="000000" w:fill="FFFFFF"/>
            <w:vAlign w:val="center"/>
            <w:hideMark/>
          </w:tcPr>
          <w:p w14:paraId="400136C7"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Yes</w:t>
            </w:r>
          </w:p>
        </w:tc>
        <w:tc>
          <w:tcPr>
            <w:tcW w:w="1079" w:type="dxa"/>
            <w:tcBorders>
              <w:top w:val="nil"/>
              <w:left w:val="nil"/>
              <w:bottom w:val="nil"/>
              <w:right w:val="nil"/>
            </w:tcBorders>
            <w:shd w:val="clear" w:color="000000" w:fill="FFFFFF"/>
            <w:vAlign w:val="center"/>
            <w:hideMark/>
          </w:tcPr>
          <w:p w14:paraId="099F4591"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w:t>
            </w:r>
          </w:p>
        </w:tc>
        <w:tc>
          <w:tcPr>
            <w:tcW w:w="1277" w:type="dxa"/>
            <w:tcBorders>
              <w:top w:val="nil"/>
              <w:left w:val="nil"/>
              <w:bottom w:val="nil"/>
              <w:right w:val="nil"/>
            </w:tcBorders>
            <w:shd w:val="clear" w:color="000000" w:fill="FFFFFF"/>
            <w:vAlign w:val="center"/>
            <w:hideMark/>
          </w:tcPr>
          <w:p w14:paraId="3E3C73EA"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Yes</w:t>
            </w:r>
          </w:p>
        </w:tc>
        <w:tc>
          <w:tcPr>
            <w:tcW w:w="2248" w:type="dxa"/>
            <w:tcBorders>
              <w:top w:val="nil"/>
              <w:left w:val="nil"/>
              <w:bottom w:val="nil"/>
              <w:right w:val="nil"/>
            </w:tcBorders>
            <w:shd w:val="clear" w:color="000000" w:fill="FFFFFF"/>
            <w:vAlign w:val="center"/>
            <w:hideMark/>
          </w:tcPr>
          <w:p w14:paraId="3037A03D"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Fe-rich particles</w:t>
            </w:r>
          </w:p>
        </w:tc>
        <w:tc>
          <w:tcPr>
            <w:tcW w:w="1295" w:type="dxa"/>
            <w:tcBorders>
              <w:top w:val="nil"/>
              <w:left w:val="nil"/>
              <w:bottom w:val="nil"/>
              <w:right w:val="nil"/>
            </w:tcBorders>
            <w:shd w:val="clear" w:color="000000" w:fill="FFFFFF"/>
            <w:vAlign w:val="center"/>
            <w:hideMark/>
          </w:tcPr>
          <w:p w14:paraId="610B21E5"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 xml:space="preserve">10 - 20 µm </w:t>
            </w:r>
          </w:p>
        </w:tc>
        <w:tc>
          <w:tcPr>
            <w:tcW w:w="1079" w:type="dxa"/>
            <w:tcBorders>
              <w:top w:val="nil"/>
              <w:left w:val="nil"/>
              <w:bottom w:val="nil"/>
              <w:right w:val="nil"/>
            </w:tcBorders>
            <w:shd w:val="clear" w:color="000000" w:fill="FFFFFF"/>
            <w:vAlign w:val="center"/>
            <w:hideMark/>
          </w:tcPr>
          <w:p w14:paraId="032030F3"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No</w:t>
            </w:r>
          </w:p>
        </w:tc>
        <w:tc>
          <w:tcPr>
            <w:tcW w:w="1834" w:type="dxa"/>
            <w:tcBorders>
              <w:top w:val="nil"/>
              <w:left w:val="nil"/>
              <w:bottom w:val="nil"/>
              <w:right w:val="nil"/>
            </w:tcBorders>
            <w:shd w:val="clear" w:color="000000" w:fill="FFFFFF"/>
            <w:vAlign w:val="center"/>
            <w:hideMark/>
          </w:tcPr>
          <w:p w14:paraId="05029D31"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Hasegawa et al., 2019</w:t>
            </w:r>
          </w:p>
        </w:tc>
      </w:tr>
      <w:tr w:rsidR="008D5898" w:rsidRPr="008D5898" w14:paraId="7D221BFE" w14:textId="77777777" w:rsidTr="008D5898">
        <w:trPr>
          <w:trHeight w:val="566"/>
        </w:trPr>
        <w:tc>
          <w:tcPr>
            <w:tcW w:w="1079" w:type="dxa"/>
            <w:tcBorders>
              <w:top w:val="nil"/>
              <w:left w:val="nil"/>
              <w:bottom w:val="single" w:sz="4" w:space="0" w:color="auto"/>
              <w:right w:val="nil"/>
            </w:tcBorders>
            <w:shd w:val="clear" w:color="000000" w:fill="FFFFFF"/>
            <w:vAlign w:val="center"/>
            <w:hideMark/>
          </w:tcPr>
          <w:p w14:paraId="6C25A2E0" w14:textId="77777777" w:rsidR="008D5898" w:rsidRPr="008D5898" w:rsidRDefault="008D5898" w:rsidP="008D5898">
            <w:pPr>
              <w:spacing w:after="0" w:line="240" w:lineRule="auto"/>
              <w:jc w:val="center"/>
              <w:rPr>
                <w:rFonts w:eastAsia="Times New Roman" w:cs="Times New Roman"/>
                <w:b/>
                <w:bCs/>
                <w:color w:val="000000"/>
                <w:sz w:val="22"/>
                <w:lang w:eastAsia="fr-FR"/>
              </w:rPr>
            </w:pPr>
            <w:r w:rsidRPr="008D5898">
              <w:rPr>
                <w:rFonts w:eastAsia="Times New Roman" w:cs="Times New Roman"/>
                <w:b/>
                <w:bCs/>
                <w:color w:val="000000"/>
                <w:sz w:val="22"/>
                <w:lang w:eastAsia="fr-FR"/>
              </w:rPr>
              <w:t xml:space="preserve">Kodiak </w:t>
            </w:r>
            <w:r w:rsidRPr="008D5898">
              <w:rPr>
                <w:rFonts w:eastAsia="Times New Roman" w:cs="Times New Roman"/>
                <w:b/>
                <w:bCs/>
                <w:color w:val="000000"/>
                <w:sz w:val="22"/>
                <w:vertAlign w:val="superscript"/>
                <w:lang w:eastAsia="fr-FR"/>
              </w:rPr>
              <w:t>[a]</w:t>
            </w:r>
          </w:p>
        </w:tc>
        <w:tc>
          <w:tcPr>
            <w:tcW w:w="1079" w:type="dxa"/>
            <w:tcBorders>
              <w:top w:val="nil"/>
              <w:left w:val="nil"/>
              <w:bottom w:val="single" w:sz="4" w:space="0" w:color="auto"/>
              <w:right w:val="nil"/>
            </w:tcBorders>
            <w:shd w:val="clear" w:color="000000" w:fill="FFFFFF"/>
            <w:vAlign w:val="center"/>
            <w:hideMark/>
          </w:tcPr>
          <w:p w14:paraId="7AE66E6C"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Yes</w:t>
            </w:r>
          </w:p>
        </w:tc>
        <w:tc>
          <w:tcPr>
            <w:tcW w:w="1277" w:type="dxa"/>
            <w:tcBorders>
              <w:top w:val="nil"/>
              <w:left w:val="nil"/>
              <w:bottom w:val="single" w:sz="4" w:space="0" w:color="auto"/>
              <w:right w:val="nil"/>
            </w:tcBorders>
            <w:shd w:val="clear" w:color="000000" w:fill="FFFFFF"/>
            <w:vAlign w:val="center"/>
            <w:hideMark/>
          </w:tcPr>
          <w:p w14:paraId="75271998"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0.1 - 1 mm</w:t>
            </w:r>
          </w:p>
        </w:tc>
        <w:tc>
          <w:tcPr>
            <w:tcW w:w="1295" w:type="dxa"/>
            <w:tcBorders>
              <w:top w:val="nil"/>
              <w:left w:val="nil"/>
              <w:bottom w:val="single" w:sz="4" w:space="0" w:color="auto"/>
              <w:right w:val="nil"/>
            </w:tcBorders>
            <w:shd w:val="clear" w:color="000000" w:fill="FFFFFF"/>
            <w:vAlign w:val="center"/>
            <w:hideMark/>
          </w:tcPr>
          <w:p w14:paraId="780DDFDD"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Yes</w:t>
            </w:r>
          </w:p>
        </w:tc>
        <w:tc>
          <w:tcPr>
            <w:tcW w:w="1079" w:type="dxa"/>
            <w:tcBorders>
              <w:top w:val="nil"/>
              <w:left w:val="nil"/>
              <w:bottom w:val="single" w:sz="4" w:space="0" w:color="auto"/>
              <w:right w:val="nil"/>
            </w:tcBorders>
            <w:shd w:val="clear" w:color="000000" w:fill="FFFFFF"/>
            <w:vAlign w:val="center"/>
            <w:hideMark/>
          </w:tcPr>
          <w:p w14:paraId="47522708"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Yes</w:t>
            </w:r>
          </w:p>
        </w:tc>
        <w:tc>
          <w:tcPr>
            <w:tcW w:w="1079" w:type="dxa"/>
            <w:tcBorders>
              <w:top w:val="nil"/>
              <w:left w:val="nil"/>
              <w:bottom w:val="single" w:sz="4" w:space="0" w:color="auto"/>
              <w:right w:val="nil"/>
            </w:tcBorders>
            <w:shd w:val="clear" w:color="000000" w:fill="FFFFFF"/>
            <w:vAlign w:val="center"/>
            <w:hideMark/>
          </w:tcPr>
          <w:p w14:paraId="35B04096"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&lt; 2 µm</w:t>
            </w:r>
          </w:p>
        </w:tc>
        <w:tc>
          <w:tcPr>
            <w:tcW w:w="1277" w:type="dxa"/>
            <w:tcBorders>
              <w:top w:val="nil"/>
              <w:left w:val="nil"/>
              <w:bottom w:val="single" w:sz="4" w:space="0" w:color="auto"/>
              <w:right w:val="nil"/>
            </w:tcBorders>
            <w:shd w:val="clear" w:color="000000" w:fill="FFFFFF"/>
            <w:vAlign w:val="center"/>
            <w:hideMark/>
          </w:tcPr>
          <w:p w14:paraId="45AA9CCC"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Yes</w:t>
            </w:r>
          </w:p>
        </w:tc>
        <w:tc>
          <w:tcPr>
            <w:tcW w:w="2248" w:type="dxa"/>
            <w:tcBorders>
              <w:top w:val="nil"/>
              <w:left w:val="nil"/>
              <w:bottom w:val="single" w:sz="4" w:space="0" w:color="auto"/>
              <w:right w:val="nil"/>
            </w:tcBorders>
            <w:shd w:val="clear" w:color="000000" w:fill="FFFFFF"/>
            <w:vAlign w:val="center"/>
            <w:hideMark/>
          </w:tcPr>
          <w:p w14:paraId="3D4E23F0" w14:textId="77777777" w:rsidR="008D5898" w:rsidRPr="008D5898" w:rsidRDefault="008D5898" w:rsidP="008D5898">
            <w:pPr>
              <w:spacing w:after="0" w:line="240" w:lineRule="auto"/>
              <w:jc w:val="center"/>
              <w:rPr>
                <w:rFonts w:eastAsia="Times New Roman" w:cs="Times New Roman"/>
                <w:color w:val="000000"/>
                <w:sz w:val="22"/>
                <w:lang w:val="en-US" w:eastAsia="fr-FR"/>
              </w:rPr>
            </w:pPr>
            <w:r w:rsidRPr="008D5898">
              <w:rPr>
                <w:rFonts w:eastAsia="Times New Roman" w:cs="Times New Roman"/>
                <w:color w:val="000000"/>
                <w:sz w:val="22"/>
                <w:lang w:val="en-US" w:eastAsia="fr-FR"/>
              </w:rPr>
              <w:t>Tabular zoned plagioclases, Ti/Fe-rich particles</w:t>
            </w:r>
          </w:p>
        </w:tc>
        <w:tc>
          <w:tcPr>
            <w:tcW w:w="1295" w:type="dxa"/>
            <w:tcBorders>
              <w:top w:val="nil"/>
              <w:left w:val="nil"/>
              <w:bottom w:val="single" w:sz="4" w:space="0" w:color="auto"/>
              <w:right w:val="nil"/>
            </w:tcBorders>
            <w:shd w:val="clear" w:color="000000" w:fill="FFFFFF"/>
            <w:vAlign w:val="center"/>
            <w:hideMark/>
          </w:tcPr>
          <w:p w14:paraId="79C58241"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 xml:space="preserve">1 - 2 µm </w:t>
            </w:r>
          </w:p>
        </w:tc>
        <w:tc>
          <w:tcPr>
            <w:tcW w:w="1079" w:type="dxa"/>
            <w:tcBorders>
              <w:top w:val="nil"/>
              <w:left w:val="nil"/>
              <w:bottom w:val="single" w:sz="4" w:space="0" w:color="auto"/>
              <w:right w:val="nil"/>
            </w:tcBorders>
            <w:shd w:val="clear" w:color="000000" w:fill="FFFFFF"/>
            <w:vAlign w:val="center"/>
            <w:hideMark/>
          </w:tcPr>
          <w:p w14:paraId="2922F02D"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Rare</w:t>
            </w:r>
          </w:p>
        </w:tc>
        <w:tc>
          <w:tcPr>
            <w:tcW w:w="1834" w:type="dxa"/>
            <w:tcBorders>
              <w:top w:val="nil"/>
              <w:left w:val="nil"/>
              <w:bottom w:val="single" w:sz="4" w:space="0" w:color="auto"/>
              <w:right w:val="nil"/>
            </w:tcBorders>
            <w:shd w:val="clear" w:color="000000" w:fill="FFFFFF"/>
            <w:vAlign w:val="center"/>
            <w:hideMark/>
          </w:tcPr>
          <w:p w14:paraId="3C64ABDD" w14:textId="77777777" w:rsidR="008D5898" w:rsidRPr="008D5898" w:rsidRDefault="008D5898" w:rsidP="008D5898">
            <w:pPr>
              <w:spacing w:after="0" w:line="240" w:lineRule="auto"/>
              <w:jc w:val="center"/>
              <w:rPr>
                <w:rFonts w:eastAsia="Times New Roman" w:cs="Times New Roman"/>
                <w:color w:val="000000"/>
                <w:sz w:val="22"/>
                <w:lang w:eastAsia="fr-FR"/>
              </w:rPr>
            </w:pPr>
            <w:r w:rsidRPr="008D5898">
              <w:rPr>
                <w:rFonts w:eastAsia="Times New Roman" w:cs="Times New Roman"/>
                <w:color w:val="000000"/>
                <w:sz w:val="22"/>
                <w:lang w:eastAsia="fr-FR"/>
              </w:rPr>
              <w:t>Rowe et al., 2005 Meneghini et al., 2010</w:t>
            </w:r>
          </w:p>
        </w:tc>
      </w:tr>
      <w:tr w:rsidR="008D5898" w:rsidRPr="00D46348" w14:paraId="4FABEC46" w14:textId="77777777" w:rsidTr="008D5898">
        <w:trPr>
          <w:trHeight w:val="229"/>
        </w:trPr>
        <w:tc>
          <w:tcPr>
            <w:tcW w:w="1079" w:type="dxa"/>
            <w:tcBorders>
              <w:top w:val="nil"/>
              <w:left w:val="nil"/>
              <w:bottom w:val="single" w:sz="4" w:space="0" w:color="auto"/>
              <w:right w:val="nil"/>
            </w:tcBorders>
            <w:shd w:val="clear" w:color="auto" w:fill="auto"/>
            <w:vAlign w:val="center"/>
            <w:hideMark/>
          </w:tcPr>
          <w:p w14:paraId="2098CFE5" w14:textId="77777777" w:rsidR="008D5898" w:rsidRPr="008D5898" w:rsidRDefault="008D5898" w:rsidP="008D5898">
            <w:pPr>
              <w:spacing w:after="0" w:line="240" w:lineRule="auto"/>
              <w:jc w:val="center"/>
              <w:rPr>
                <w:rFonts w:ascii="Calibri" w:eastAsia="Times New Roman" w:hAnsi="Calibri" w:cs="Calibri"/>
                <w:color w:val="000000"/>
                <w:sz w:val="22"/>
                <w:lang w:eastAsia="fr-FR"/>
              </w:rPr>
            </w:pPr>
            <w:r w:rsidRPr="008D5898">
              <w:rPr>
                <w:rFonts w:ascii="Calibri" w:eastAsia="Times New Roman" w:hAnsi="Calibri" w:cs="Calibri"/>
                <w:color w:val="000000"/>
                <w:sz w:val="22"/>
                <w:lang w:eastAsia="fr-FR"/>
              </w:rPr>
              <w:t> </w:t>
            </w:r>
          </w:p>
        </w:tc>
        <w:tc>
          <w:tcPr>
            <w:tcW w:w="13545" w:type="dxa"/>
            <w:gridSpan w:val="10"/>
            <w:tcBorders>
              <w:top w:val="single" w:sz="4" w:space="0" w:color="auto"/>
              <w:left w:val="nil"/>
              <w:bottom w:val="single" w:sz="4" w:space="0" w:color="auto"/>
              <w:right w:val="nil"/>
            </w:tcBorders>
            <w:shd w:val="clear" w:color="000000" w:fill="FFFFFF"/>
            <w:vAlign w:val="center"/>
            <w:hideMark/>
          </w:tcPr>
          <w:p w14:paraId="216C37F8" w14:textId="77777777" w:rsidR="008D5898" w:rsidRPr="008D5898" w:rsidRDefault="008D5898" w:rsidP="008D5898">
            <w:pPr>
              <w:spacing w:after="0" w:line="240" w:lineRule="auto"/>
              <w:jc w:val="left"/>
              <w:rPr>
                <w:rFonts w:ascii="Calibri" w:eastAsia="Times New Roman" w:hAnsi="Calibri" w:cs="Calibri"/>
                <w:color w:val="000000"/>
                <w:sz w:val="16"/>
                <w:szCs w:val="16"/>
                <w:lang w:val="en-US" w:eastAsia="fr-FR"/>
              </w:rPr>
            </w:pPr>
            <w:r w:rsidRPr="008D5898">
              <w:rPr>
                <w:rFonts w:ascii="Calibri" w:eastAsia="Times New Roman" w:hAnsi="Calibri" w:cs="Calibri"/>
                <w:color w:val="000000"/>
                <w:sz w:val="16"/>
                <w:szCs w:val="16"/>
                <w:lang w:val="en-US" w:eastAsia="fr-FR"/>
              </w:rPr>
              <w:t xml:space="preserve">[a] The description corresponds to the homogeneous layer </w:t>
            </w:r>
          </w:p>
        </w:tc>
      </w:tr>
    </w:tbl>
    <w:p w14:paraId="6D6F1891" w14:textId="77777777" w:rsidR="004A42A7" w:rsidRDefault="004A42A7">
      <w:pPr>
        <w:spacing w:line="259" w:lineRule="auto"/>
        <w:jc w:val="left"/>
        <w:rPr>
          <w:lang w:val="en-US"/>
        </w:rPr>
      </w:pPr>
    </w:p>
    <w:p w14:paraId="20CEFBFB" w14:textId="77777777" w:rsidR="004A42A7" w:rsidRDefault="004A42A7">
      <w:pPr>
        <w:spacing w:line="259" w:lineRule="auto"/>
        <w:jc w:val="left"/>
        <w:rPr>
          <w:lang w:val="en-US"/>
        </w:rPr>
      </w:pPr>
    </w:p>
    <w:p w14:paraId="540C2E52" w14:textId="77777777" w:rsidR="004A42A7" w:rsidRDefault="004A42A7">
      <w:pPr>
        <w:spacing w:line="259" w:lineRule="auto"/>
        <w:jc w:val="left"/>
        <w:rPr>
          <w:lang w:val="en-US"/>
        </w:rPr>
        <w:sectPr w:rsidR="004A42A7" w:rsidSect="004A42A7">
          <w:pgSz w:w="16838" w:h="11906" w:orient="landscape"/>
          <w:pgMar w:top="1417" w:right="1417" w:bottom="1417" w:left="1417" w:header="708" w:footer="708" w:gutter="0"/>
          <w:lnNumType w:countBy="1" w:restart="continuous"/>
          <w:cols w:space="708"/>
          <w:docGrid w:linePitch="360"/>
        </w:sectPr>
      </w:pPr>
    </w:p>
    <w:p w14:paraId="2E4ADEE5" w14:textId="56EA2DE6" w:rsidR="00A31CC2" w:rsidRDefault="00151F14" w:rsidP="00C52594">
      <w:pPr>
        <w:rPr>
          <w:lang w:val="en-US"/>
        </w:rPr>
      </w:pPr>
      <w:r>
        <w:rPr>
          <w:lang w:val="en-US"/>
        </w:rPr>
        <w:lastRenderedPageBreak/>
        <w:t>Supplementary Note</w:t>
      </w:r>
      <w:r w:rsidR="00B63041">
        <w:rPr>
          <w:lang w:val="en-US"/>
        </w:rPr>
        <w:t xml:space="preserve"> 1 </w:t>
      </w:r>
    </w:p>
    <w:p w14:paraId="0E016D50" w14:textId="7ED0ADC8" w:rsidR="00404BA8" w:rsidRPr="00D31130" w:rsidRDefault="00404BA8" w:rsidP="00C52594">
      <w:pPr>
        <w:rPr>
          <w:b/>
          <w:szCs w:val="24"/>
          <w:lang w:val="en-US"/>
        </w:rPr>
      </w:pPr>
      <w:r w:rsidRPr="00D31130">
        <w:rPr>
          <w:b/>
          <w:szCs w:val="24"/>
          <w:lang w:val="en-US"/>
        </w:rPr>
        <w:t>Assumptions of the thermal model</w:t>
      </w:r>
    </w:p>
    <w:p w14:paraId="2069F3C5" w14:textId="547453FE" w:rsidR="005311AC" w:rsidRDefault="005311AC" w:rsidP="00C52594">
      <w:pPr>
        <w:rPr>
          <w:lang w:val="en-US"/>
        </w:rPr>
      </w:pPr>
      <w:r>
        <w:rPr>
          <w:lang w:val="en-US"/>
        </w:rPr>
        <w:t>The largest uncertainties in the thermal model lies in the heat production related to mechanical work, which constitutes a large frac</w:t>
      </w:r>
      <w:r w:rsidR="00CC27F5">
        <w:rPr>
          <w:lang w:val="en-US"/>
        </w:rPr>
        <w:t>tion of the total faulting work</w:t>
      </w:r>
      <w:r>
        <w:rPr>
          <w:lang w:val="en-US"/>
        </w:rPr>
        <w:fldChar w:fldCharType="begin"/>
      </w:r>
      <w:r w:rsidR="00BD095E">
        <w:rPr>
          <w:lang w:val="en-US"/>
        </w:rPr>
        <w:instrText xml:space="preserve"> ADDIN ZOTERO_ITEM CSL_CITATION {"citationID":"JB1q6qGu","properties":{"formattedCitation":"\\super 1\\nosupersub{}","plainCitation":"1","noteIndex":0},"citationItems":[{"id":402,"uris":["http://zotero.org/users/5712877/items/B8SSYN44"],"uri":["http://zotero.org/users/5712877/items/B8SSYN44"],"itemData":{"id":402,"type":"book","title":"The Mechanics of Earthquakes and Faulting","publisher":"Cambridge University Press","number-of-pages":"439","edition":"1st edition","URL":"doi:10.1017/CBO9780511818516","author":[{"family":"Scholz","given":"Christopher"}],"issued":{"date-parts":[["1990"]]}}}],"schema":"https://github.com/citation-style-language/schema/raw/master/csl-citation.json"} </w:instrText>
      </w:r>
      <w:r>
        <w:rPr>
          <w:lang w:val="en-US"/>
        </w:rPr>
        <w:fldChar w:fldCharType="separate"/>
      </w:r>
      <w:r w:rsidR="00BD095E" w:rsidRPr="00BD095E">
        <w:rPr>
          <w:rFonts w:cs="Times New Roman"/>
          <w:szCs w:val="24"/>
          <w:vertAlign w:val="superscript"/>
          <w:lang w:val="en-US"/>
        </w:rPr>
        <w:t>1</w:t>
      </w:r>
      <w:r>
        <w:rPr>
          <w:lang w:val="en-US"/>
        </w:rPr>
        <w:fldChar w:fldCharType="end"/>
      </w:r>
      <w:r>
        <w:rPr>
          <w:lang w:val="en-US"/>
        </w:rPr>
        <w:t>.</w:t>
      </w:r>
    </w:p>
    <w:p w14:paraId="2A1277CE" w14:textId="72FD18C6" w:rsidR="005311AC" w:rsidRDefault="005311AC" w:rsidP="00C52594">
      <w:pPr>
        <w:rPr>
          <w:lang w:val="en-US"/>
        </w:rPr>
      </w:pPr>
      <w:r>
        <w:rPr>
          <w:lang w:val="en-US"/>
        </w:rPr>
        <w:t xml:space="preserve">Heat production might in some cases be so large as to melt the slipping fault and form pseudotachylytes, as </w:t>
      </w:r>
      <w:r w:rsidR="00D52D36">
        <w:rPr>
          <w:lang w:val="en-US"/>
        </w:rPr>
        <w:t>summarized in Di</w:t>
      </w:r>
      <w:r w:rsidR="00EE7461">
        <w:rPr>
          <w:lang w:val="en-US"/>
        </w:rPr>
        <w:t xml:space="preserve"> </w:t>
      </w:r>
      <w:r w:rsidR="00D52D36">
        <w:rPr>
          <w:lang w:val="en-US"/>
        </w:rPr>
        <w:t>Toro et al. (2009)</w:t>
      </w:r>
      <w:r w:rsidR="003F1EC7">
        <w:rPr>
          <w:lang w:val="en-US"/>
        </w:rPr>
        <w:fldChar w:fldCharType="begin"/>
      </w:r>
      <w:r w:rsidR="00BD095E">
        <w:rPr>
          <w:lang w:val="en-US"/>
        </w:rPr>
        <w:instrText xml:space="preserve"> ADDIN ZOTERO_ITEM CSL_CITATION {"citationID":"mU77csDR","properties":{"formattedCitation":"\\super 2\\nosupersub{}","plainCitation":"2","noteIndex":0},"citationItems":[{"id":418,"uris":["http://zotero.org/users/5712877/items/A78JHKYJ"],"uri":["http://zotero.org/users/5712877/items/A78JHKYJ"],"itemData":{"id":418,"type":"chapter","title":"Pseudotachylytes and Earthquake Source Mechanics","container-title":"Fault-Zone Properties and Earthquake Rupture Dynamics","publisher":"Fukuyama, E.","page":"88-133","author":[{"family":"Di Toro","given":"G."},{"family":"Pennacchioni","given":"Giorgio"}],"issued":{"date-parts":[["2009"]]}}}],"schema":"https://github.com/citation-style-language/schema/raw/master/csl-citation.json"} </w:instrText>
      </w:r>
      <w:r w:rsidR="003F1EC7">
        <w:rPr>
          <w:lang w:val="en-US"/>
        </w:rPr>
        <w:fldChar w:fldCharType="separate"/>
      </w:r>
      <w:r w:rsidR="00BD095E" w:rsidRPr="00BD095E">
        <w:rPr>
          <w:rFonts w:cs="Times New Roman"/>
          <w:szCs w:val="24"/>
          <w:vertAlign w:val="superscript"/>
          <w:lang w:val="en-US"/>
        </w:rPr>
        <w:t>2</w:t>
      </w:r>
      <w:r w:rsidR="003F1EC7">
        <w:rPr>
          <w:lang w:val="en-US"/>
        </w:rPr>
        <w:fldChar w:fldCharType="end"/>
      </w:r>
      <w:r w:rsidR="00D52D36">
        <w:rPr>
          <w:lang w:val="en-US"/>
        </w:rPr>
        <w:t xml:space="preserve">. </w:t>
      </w:r>
      <w:r>
        <w:rPr>
          <w:lang w:val="en-US"/>
        </w:rPr>
        <w:t xml:space="preserve">The result of melting (as well as other processes accompanying slip) is to lubricate the fault zone and to reduce </w:t>
      </w:r>
      <w:r w:rsidR="008D0AAC">
        <w:rPr>
          <w:lang w:val="en-US"/>
        </w:rPr>
        <w:t xml:space="preserve">sharply </w:t>
      </w:r>
      <w:r w:rsidR="00D52D36">
        <w:rPr>
          <w:lang w:val="en-US"/>
        </w:rPr>
        <w:t xml:space="preserve">the </w:t>
      </w:r>
      <w:r>
        <w:rPr>
          <w:lang w:val="en-US"/>
        </w:rPr>
        <w:t>shear stress on the fault plane</w:t>
      </w:r>
      <w:r w:rsidR="003C3F55">
        <w:rPr>
          <w:lang w:val="en-US"/>
        </w:rPr>
        <w:fldChar w:fldCharType="begin"/>
      </w:r>
      <w:r w:rsidR="00BD095E">
        <w:rPr>
          <w:lang w:val="en-US"/>
        </w:rPr>
        <w:instrText xml:space="preserve"> ADDIN ZOTERO_ITEM CSL_CITATION {"citationID":"etu2UYFi","properties":{"formattedCitation":"\\super 3,4\\nosupersub{}","plainCitation":"3,4","noteIndex":0},"citationItems":[{"id":420,"uris":["http://zotero.org/users/5712877/items/BBUHAZWG"],"uri":["http://zotero.org/users/5712877/items/BBUHAZWG"],"itemData":{"id":420,"type":"article-journal","title":"Friction falls towards zero in quartz rock as slip velocity approaches seismic rates","container-title":"Nature","page":"436-439","volume":"427","issue":"6973","source":"Crossref","DOI":"10.1038/nature02249","ISSN":"0028-0836, 1476-4687","language":"en","author":[{"family":"Di Toro","given":"Giulio"},{"family":"Goldsby","given":"David L."},{"family":"Tullis","given":"Terry E."}],"issued":{"date-parts":[["2004",1]]}}},{"id":417,"uris":["http://zotero.org/users/5712877/items/ZRKJHNAK"],"uri":["http://zotero.org/users/5712877/items/ZRKJHNAK"],"itemData":{"id":417,"type":"article-journal","title":"Fault lubrication during earthquakes","container-title":"Nature","page":"494-498","volume":"471","issue":"7339","source":"Crossref","DOI":"10.1038/nature09838","ISSN":"0028-0836, 1476-4687","language":"en","author":[{"family":"Di Toro","given":"G."},{"family":"Han","given":"R."},{"family":"Hirose","given":"T."},{"family":"De Paola","given":"N."},{"family":"Nielsen","given":"S."},{"family":"Mizoguchi","given":"K."},{"family":"Ferri","given":"F."},{"family":"Cocco","given":"M."},{"family":"Shimamoto","given":"T."}],"issued":{"date-parts":[["2011",3]]}}}],"schema":"https://github.com/citation-style-language/schema/raw/master/csl-citation.json"} </w:instrText>
      </w:r>
      <w:r w:rsidR="003C3F55">
        <w:rPr>
          <w:lang w:val="en-US"/>
        </w:rPr>
        <w:fldChar w:fldCharType="separate"/>
      </w:r>
      <w:r w:rsidR="00BD095E" w:rsidRPr="00BD095E">
        <w:rPr>
          <w:rFonts w:cs="Times New Roman"/>
          <w:szCs w:val="24"/>
          <w:vertAlign w:val="superscript"/>
          <w:lang w:val="en-US"/>
        </w:rPr>
        <w:t>3,4</w:t>
      </w:r>
      <w:r w:rsidR="003C3F55">
        <w:rPr>
          <w:lang w:val="en-US"/>
        </w:rPr>
        <w:fldChar w:fldCharType="end"/>
      </w:r>
      <w:r w:rsidR="00D52D36">
        <w:rPr>
          <w:lang w:val="en-US"/>
        </w:rPr>
        <w:t xml:space="preserve">. </w:t>
      </w:r>
      <w:r>
        <w:rPr>
          <w:lang w:val="en-US"/>
        </w:rPr>
        <w:t>After melting,</w:t>
      </w:r>
      <w:r w:rsidR="00110730">
        <w:rPr>
          <w:lang w:val="en-US"/>
        </w:rPr>
        <w:t xml:space="preserve"> </w:t>
      </w:r>
      <w:r w:rsidR="00890154">
        <w:rPr>
          <w:lang w:val="en-US"/>
        </w:rPr>
        <w:t xml:space="preserve">heat production </w:t>
      </w:r>
      <w:r>
        <w:rPr>
          <w:lang w:val="en-US"/>
        </w:rPr>
        <w:t xml:space="preserve">still persists and </w:t>
      </w:r>
      <w:r w:rsidR="008A266C">
        <w:rPr>
          <w:lang w:val="en-US"/>
        </w:rPr>
        <w:t>is the result of viscous shear-heating</w:t>
      </w:r>
      <w:r>
        <w:rPr>
          <w:lang w:val="en-US"/>
        </w:rPr>
        <w:t xml:space="preserve"> concomitant with slip</w:t>
      </w:r>
      <w:r w:rsidR="00890154">
        <w:rPr>
          <w:lang w:val="en-US"/>
        </w:rPr>
        <w:t>.</w:t>
      </w:r>
    </w:p>
    <w:p w14:paraId="6796C957" w14:textId="6A8BA5A5" w:rsidR="005311AC" w:rsidRDefault="004D2D37" w:rsidP="00C52594">
      <w:pPr>
        <w:rPr>
          <w:lang w:val="en-US"/>
        </w:rPr>
      </w:pPr>
      <w:r>
        <w:rPr>
          <w:lang w:val="en-US"/>
        </w:rPr>
        <w:t xml:space="preserve">Our model aims at assessing the effect of frictional melting on the carbonization of fault rocks. A quantitative modelling would require the precise knowledge of the heat production in space and time, incorporating the effect of frictional slip, melting </w:t>
      </w:r>
      <w:r w:rsidR="00404BA8">
        <w:rPr>
          <w:lang w:val="en-US"/>
        </w:rPr>
        <w:t xml:space="preserve">(and associated </w:t>
      </w:r>
      <w:r>
        <w:rPr>
          <w:lang w:val="en-US"/>
        </w:rPr>
        <w:t>shear stress decrease</w:t>
      </w:r>
      <w:r w:rsidR="00404BA8">
        <w:rPr>
          <w:lang w:val="en-US"/>
        </w:rPr>
        <w:t>) and</w:t>
      </w:r>
      <w:r>
        <w:rPr>
          <w:lang w:val="en-US"/>
        </w:rPr>
        <w:t xml:space="preserve"> viscous shear. These processes and their coupling are not quantitatively constrained. Consequently, our model is based on a simplified scenario of melting, aiming at orders of magnitudes rather than accurate estimates of the variables at stake. We have decomposed the fault zone evolution into two stages: 1) The slip and heat production until the onset of melting in the fault core and 2) the slip and heat production </w:t>
      </w:r>
      <w:r w:rsidR="00A64823">
        <w:rPr>
          <w:lang w:val="en-US"/>
        </w:rPr>
        <w:t>after melting, when a layer of melt with a thickness equal to the thickness of the Black Fault Rock, is sheared between two solid blocks of rock.</w:t>
      </w:r>
      <w:r>
        <w:rPr>
          <w:lang w:val="en-US"/>
        </w:rPr>
        <w:t xml:space="preserve"> </w:t>
      </w:r>
      <w:r w:rsidR="00A64823">
        <w:rPr>
          <w:lang w:val="en-US"/>
        </w:rPr>
        <w:t>In this second stage, we consider independently the effects of heat diffusion from a molten layer and the viscous heat production, as the molten layer is being sheared.</w:t>
      </w:r>
      <w:r>
        <w:rPr>
          <w:lang w:val="en-US"/>
        </w:rPr>
        <w:t xml:space="preserve">  </w:t>
      </w:r>
    </w:p>
    <w:p w14:paraId="20832649" w14:textId="60D2471A" w:rsidR="000211F7" w:rsidRPr="000A2426" w:rsidRDefault="000211F7" w:rsidP="000A2426">
      <w:pPr>
        <w:pStyle w:val="Paragraphedeliste"/>
        <w:numPr>
          <w:ilvl w:val="1"/>
          <w:numId w:val="9"/>
        </w:numPr>
        <w:rPr>
          <w:lang w:val="en-US"/>
        </w:rPr>
      </w:pPr>
      <w:r w:rsidRPr="000A2426">
        <w:rPr>
          <w:lang w:val="en-US"/>
        </w:rPr>
        <w:t>Evolution of the system until melting</w:t>
      </w:r>
    </w:p>
    <w:p w14:paraId="20F7076A" w14:textId="103B3127" w:rsidR="00661762" w:rsidRDefault="00A64823" w:rsidP="00C52594">
      <w:pPr>
        <w:rPr>
          <w:lang w:val="en-US"/>
        </w:rPr>
      </w:pPr>
      <w:r>
        <w:rPr>
          <w:lang w:val="en-US"/>
        </w:rPr>
        <w:t>We consider here</w:t>
      </w:r>
      <w:r w:rsidR="00661762">
        <w:rPr>
          <w:lang w:val="en-US"/>
        </w:rPr>
        <w:t xml:space="preserve"> the effects of the frictional </w:t>
      </w:r>
      <w:r>
        <w:rPr>
          <w:lang w:val="en-US"/>
        </w:rPr>
        <w:t xml:space="preserve">heat production </w:t>
      </w:r>
      <w:r w:rsidR="00661762">
        <w:rPr>
          <w:lang w:val="en-US"/>
        </w:rPr>
        <w:t>that occur</w:t>
      </w:r>
      <w:r w:rsidR="008A266C">
        <w:rPr>
          <w:lang w:val="en-US"/>
        </w:rPr>
        <w:t>s</w:t>
      </w:r>
      <w:r w:rsidR="00661762">
        <w:rPr>
          <w:lang w:val="en-US"/>
        </w:rPr>
        <w:t xml:space="preserve"> until </w:t>
      </w:r>
      <w:r>
        <w:rPr>
          <w:lang w:val="en-US"/>
        </w:rPr>
        <w:t>melting</w:t>
      </w:r>
      <w:r w:rsidR="00661762">
        <w:rPr>
          <w:lang w:val="en-US"/>
        </w:rPr>
        <w:t xml:space="preserve">. </w:t>
      </w:r>
      <w:r w:rsidR="00FB172E">
        <w:rPr>
          <w:lang w:val="en-US"/>
        </w:rPr>
        <w:t xml:space="preserve">The heat production is restricted to the layer that eventually melts (i.e. with the same thickness as the </w:t>
      </w:r>
      <w:r w:rsidR="00FB172E">
        <w:rPr>
          <w:lang w:val="en-US"/>
        </w:rPr>
        <w:lastRenderedPageBreak/>
        <w:t>Black Fault Rock)</w:t>
      </w:r>
      <w:r w:rsidR="00661762">
        <w:rPr>
          <w:lang w:val="en-US"/>
        </w:rPr>
        <w:t xml:space="preserve">. The amount of </w:t>
      </w:r>
      <w:r w:rsidR="007572E5">
        <w:rPr>
          <w:lang w:val="en-US"/>
        </w:rPr>
        <w:t xml:space="preserve">volumetric </w:t>
      </w:r>
      <w:r w:rsidR="00661762">
        <w:rPr>
          <w:lang w:val="en-US"/>
        </w:rPr>
        <w:t xml:space="preserve">energy generated by the </w:t>
      </w:r>
      <w:r>
        <w:rPr>
          <w:lang w:val="en-US"/>
        </w:rPr>
        <w:t xml:space="preserve">frictional </w:t>
      </w:r>
      <w:r w:rsidR="00FB172E">
        <w:rPr>
          <w:lang w:val="en-US"/>
        </w:rPr>
        <w:t>slip is</w:t>
      </w:r>
      <w:r w:rsidR="00661762">
        <w:rPr>
          <w:lang w:val="en-US"/>
        </w:rPr>
        <w:t xml:space="preserve"> estimated as: </w:t>
      </w:r>
    </w:p>
    <w:p w14:paraId="3FE431EB" w14:textId="1606EBAF" w:rsidR="00661762" w:rsidRPr="00661762" w:rsidRDefault="00D46348" w:rsidP="00C52594">
      <w:pPr>
        <w:rPr>
          <w:rFonts w:eastAsiaTheme="minorEastAsia"/>
          <w:lang w:val="en-US"/>
        </w:rPr>
      </w:pPr>
      <m:oMathPara>
        <m:oMath>
          <m:eqArr>
            <m:eqArrPr>
              <m:maxDist m:val="1"/>
              <m:ctrlPr>
                <w:rPr>
                  <w:rFonts w:ascii="Cambria Math" w:hAnsi="Cambria Math"/>
                  <w:i/>
                  <w:lang w:val="en-US"/>
                </w:rPr>
              </m:ctrlPr>
            </m:eqArrPr>
            <m:e>
              <m:acc>
                <m:accPr>
                  <m:chr m:val="̇"/>
                  <m:ctrlPr>
                    <w:rPr>
                      <w:rFonts w:ascii="Cambria Math" w:hAnsi="Cambria Math"/>
                      <w:i/>
                      <w:lang w:val="en-US"/>
                    </w:rPr>
                  </m:ctrlPr>
                </m:accPr>
                <m:e>
                  <m:r>
                    <w:rPr>
                      <w:rFonts w:ascii="Cambria Math" w:hAnsi="Cambria Math"/>
                      <w:lang w:val="en-US"/>
                    </w:rPr>
                    <m:t>E</m:t>
                  </m:r>
                </m:e>
              </m:acc>
              <m:r>
                <w:rPr>
                  <w:rFonts w:ascii="Cambria Math" w:hAnsi="Cambria Math"/>
                  <w:lang w:val="en-US"/>
                </w:rPr>
                <m:t>= τ .</m:t>
              </m:r>
              <m:acc>
                <m:accPr>
                  <m:chr m:val="̇"/>
                  <m:ctrlPr>
                    <w:rPr>
                      <w:rFonts w:ascii="Cambria Math" w:eastAsiaTheme="minorEastAsia" w:hAnsi="Cambria Math"/>
                      <w:i/>
                      <w:lang w:val="en-US"/>
                    </w:rPr>
                  </m:ctrlPr>
                </m:accPr>
                <m:e>
                  <m:r>
                    <w:rPr>
                      <w:rFonts w:ascii="Cambria Math" w:eastAsiaTheme="minorEastAsia" w:hAnsi="Cambria Math"/>
                      <w:lang w:val="en-US"/>
                    </w:rPr>
                    <m:t>ε</m:t>
                  </m:r>
                </m:e>
              </m:acc>
              <m:r>
                <w:rPr>
                  <w:rFonts w:ascii="Cambria Math" w:hAnsi="Cambria Math"/>
                  <w:lang w:val="en-US"/>
                </w:rPr>
                <m:t xml:space="preserve"> #</m:t>
              </m:r>
              <m:d>
                <m:dPr>
                  <m:ctrlPr>
                    <w:rPr>
                      <w:rFonts w:ascii="Cambria Math" w:hAnsi="Cambria Math"/>
                      <w:i/>
                      <w:lang w:val="en-US"/>
                    </w:rPr>
                  </m:ctrlPr>
                </m:dPr>
                <m:e>
                  <m:r>
                    <w:rPr>
                      <w:rFonts w:ascii="Cambria Math" w:hAnsi="Cambria Math"/>
                      <w:lang w:val="en-US"/>
                    </w:rPr>
                    <m:t>1</m:t>
                  </m:r>
                </m:e>
              </m:d>
            </m:e>
          </m:eqArr>
        </m:oMath>
      </m:oMathPara>
    </w:p>
    <w:p w14:paraId="0C037D4A" w14:textId="012D67CB" w:rsidR="000211F7" w:rsidRDefault="00FD06E0" w:rsidP="00C52594">
      <w:pPr>
        <w:rPr>
          <w:rFonts w:eastAsiaTheme="minorEastAsia"/>
          <w:lang w:val="en-US"/>
        </w:rPr>
      </w:pPr>
      <w:r>
        <w:rPr>
          <w:rFonts w:eastAsiaTheme="minorEastAsia"/>
          <w:lang w:val="en-US"/>
        </w:rPr>
        <w:t>Where</w:t>
      </w:r>
      <w:r w:rsidR="00661762">
        <w:rPr>
          <w:rFonts w:eastAsiaTheme="minorEastAsia"/>
          <w:lang w:val="en-US"/>
        </w:rPr>
        <w:t xml:space="preserve">, </w:t>
      </w:r>
      <m:oMath>
        <m:r>
          <w:rPr>
            <w:rFonts w:ascii="Cambria Math" w:hAnsi="Cambria Math"/>
            <w:lang w:val="en-US"/>
          </w:rPr>
          <m:t>τ</m:t>
        </m:r>
      </m:oMath>
      <w:r w:rsidR="00661762">
        <w:rPr>
          <w:rFonts w:eastAsiaTheme="minorEastAsia"/>
          <w:lang w:val="en-US"/>
        </w:rPr>
        <w:t xml:space="preserve"> </w:t>
      </w:r>
      <w:r>
        <w:rPr>
          <w:rFonts w:eastAsiaTheme="minorEastAsia"/>
          <w:lang w:val="en-US"/>
        </w:rPr>
        <w:t xml:space="preserve">is </w:t>
      </w:r>
      <w:r w:rsidR="00661762">
        <w:rPr>
          <w:rFonts w:eastAsiaTheme="minorEastAsia"/>
          <w:lang w:val="en-US"/>
        </w:rPr>
        <w:t>the shear</w:t>
      </w:r>
      <w:r w:rsidR="00554C20">
        <w:rPr>
          <w:rFonts w:eastAsiaTheme="minorEastAsia"/>
          <w:lang w:val="en-US"/>
        </w:rPr>
        <w:t xml:space="preserve"> </w:t>
      </w:r>
      <w:r w:rsidR="00661762">
        <w:rPr>
          <w:rFonts w:eastAsiaTheme="minorEastAsia"/>
          <w:lang w:val="en-US"/>
        </w:rPr>
        <w:t>and</w:t>
      </w:r>
      <w:r>
        <w:rPr>
          <w:rFonts w:eastAsiaTheme="minorEastAsia"/>
          <w:lang w:val="en-US"/>
        </w:rPr>
        <w:t xml:space="preserve"> </w:t>
      </w:r>
      <m:oMath>
        <m:acc>
          <m:accPr>
            <m:chr m:val="̇"/>
            <m:ctrlPr>
              <w:rPr>
                <w:rFonts w:ascii="Cambria Math" w:eastAsiaTheme="minorEastAsia" w:hAnsi="Cambria Math"/>
                <w:i/>
                <w:lang w:val="en-US"/>
              </w:rPr>
            </m:ctrlPr>
          </m:accPr>
          <m:e>
            <m:r>
              <w:rPr>
                <w:rFonts w:ascii="Cambria Math" w:eastAsiaTheme="minorEastAsia" w:hAnsi="Cambria Math"/>
                <w:lang w:val="en-US"/>
              </w:rPr>
              <m:t>ε</m:t>
            </m:r>
          </m:e>
        </m:acc>
      </m:oMath>
      <w:r w:rsidR="00554C20">
        <w:rPr>
          <w:rFonts w:eastAsiaTheme="minorEastAsia"/>
          <w:lang w:val="en-US"/>
        </w:rPr>
        <w:t xml:space="preserve"> </w:t>
      </w:r>
      <w:r w:rsidR="00661762">
        <w:rPr>
          <w:rFonts w:eastAsiaTheme="minorEastAsia"/>
          <w:lang w:val="en-US"/>
        </w:rPr>
        <w:t>the slip rate di</w:t>
      </w:r>
      <w:r w:rsidR="008A266C">
        <w:rPr>
          <w:rFonts w:eastAsiaTheme="minorEastAsia"/>
          <w:lang w:val="en-US"/>
        </w:rPr>
        <w:t>vided by the size of the sheared</w:t>
      </w:r>
      <w:r w:rsidR="00661762">
        <w:rPr>
          <w:rFonts w:eastAsiaTheme="minorEastAsia"/>
          <w:lang w:val="en-US"/>
        </w:rPr>
        <w:t xml:space="preserve"> layer. </w:t>
      </w:r>
      <w:r w:rsidR="00A854E6">
        <w:rPr>
          <w:rFonts w:eastAsiaTheme="minorEastAsia"/>
          <w:lang w:val="en-US"/>
        </w:rPr>
        <w:t>The shear stress is estimated from few MPa</w:t>
      </w:r>
      <w:r w:rsidR="00EF2199">
        <w:rPr>
          <w:rFonts w:eastAsiaTheme="minorEastAsia"/>
          <w:lang w:val="en-US"/>
        </w:rPr>
        <w:fldChar w:fldCharType="begin"/>
      </w:r>
      <w:r w:rsidR="00BD095E">
        <w:rPr>
          <w:rFonts w:eastAsiaTheme="minorEastAsia"/>
          <w:lang w:val="en-US"/>
        </w:rPr>
        <w:instrText xml:space="preserve"> ADDIN ZOTERO_ITEM CSL_CITATION {"citationID":"ekvpTWvC","properties":{"formattedCitation":"\\super 5,6\\nosupersub{}","plainCitation":"5,6","noteIndex":0},"citationItems":[{"id":467,"uris":["http://zotero.org/users/5712877/items/QRHAK2KP"],"uri":["http://zotero.org/users/5712877/items/QRHAK2KP"],"itemData":{"id":467,"type":"article-journal","title":"Stress State in the Largest Displacement Area of the 2011 Tohoku-Oki Earthquake","container-title":"Science","page":"687-690","volume":"339","issue":"6120","source":"Crossref","DOI":"10.1126/science.1229379","ISSN":"0036-8075, 1095-9203","language":"en","author":[{"family":"Lin","given":"W."},{"family":"Conin","given":"M."},{"family":"Moore","given":"J. C."},{"family":"Chester","given":"F. M."},{"family":"Nakamura","given":"Y."},{"family":"Mori","given":"J. J."},{"family":"Anderson","given":"L."},{"family":"Brodsky","given":"E. E."},{"family":"Eguchi","given":"N."},{"literal":"Expedition 343 Scientists"},{"family":"Cook","given":"B."},{"family":"Jeppson","given":"T."},{"family":"Wolfson-Schwehr","given":"M."},{"family":"Sanada","given":"Y."},{"family":"Saito","given":"S."},{"family":"Kido","given":"Y."},{"family":"Hirose","given":"T."},{"family":"Behrmann","given":"J. H."},{"family":"Ikari","given":"M."},{"family":"Ujiie","given":"K."},{"family":"Rowe","given":"C."},{"family":"Kirkpatrick","given":"J."},{"family":"Bose","given":"S."},{"family":"Regalla","given":"C."},{"family":"Remitti","given":"F."},{"family":"Toy","given":"V."},{"family":"Fulton","given":"P."},{"family":"Mishima","given":"T."},{"family":"Yang","given":"T."},{"family":"Sun","given":"T."},{"family":"Ishikawa","given":"T."},{"family":"Sample","given":"J."},{"family":"Takai","given":"K."},{"family":"Kameda","given":"J."},{"family":"Toczko","given":"S."},{"family":"Maeda","given":"L."},{"family":"Kodaira","given":"S."},{"family":"Hino","given":"R."},{"family":"Saffer","given":"D."}],"issued":{"date-parts":[["2013",2,8]]}}},{"id":470,"uris":["http://zotero.org/users/5712877/items/3TQYF9DK"],"uri":["http://zotero.org/users/5712877/items/3TQYF9DK"],"itemData":{"id":470,"type":"article-journal","title":"Stress before and after the 2011 great Tohoku-oki earthquake and induced earthquakes in inland areas of eastern Japan: STRESS CHANGE BY 2011 TOHOKU EARTHQUAKE","container-title":"Geophysical Research Letters","volume":"39","issue":"3","source":"Crossref","URL":"http://doi.wiley.com/10.1029/2011GL049729","DOI":"10.1029/2011GL049729","ISSN":"00948276","title-short":"Stress before and after the 2011 great Tohoku-oki earthquake and induced earthquakes in inland areas of eastern Japan","language":"en","author":[{"family":"Yoshida","given":"Keisuke"},{"family":"Hasegawa","given":"Akira"},{"family":"Okada","given":"Tomomi"},{"family":"Iinuma","given":"Takeshi"},{"family":"Ito","given":"Yoshihiro"},{"family":"Asano","given":"Youichi"}],"issued":{"date-parts":[["2012",2]]},"accessed":{"date-parts":[["2021",1,19]]}}}],"schema":"https://github.com/citation-style-language/schema/raw/master/csl-citation.json"} </w:instrText>
      </w:r>
      <w:r w:rsidR="00EF2199">
        <w:rPr>
          <w:rFonts w:eastAsiaTheme="minorEastAsia"/>
          <w:lang w:val="en-US"/>
        </w:rPr>
        <w:fldChar w:fldCharType="separate"/>
      </w:r>
      <w:r w:rsidR="00BD095E" w:rsidRPr="00BD095E">
        <w:rPr>
          <w:rFonts w:cs="Times New Roman"/>
          <w:szCs w:val="24"/>
          <w:vertAlign w:val="superscript"/>
          <w:lang w:val="en-US"/>
        </w:rPr>
        <w:t>5,6</w:t>
      </w:r>
      <w:r w:rsidR="00EF2199">
        <w:rPr>
          <w:rFonts w:eastAsiaTheme="minorEastAsia"/>
          <w:lang w:val="en-US"/>
        </w:rPr>
        <w:fldChar w:fldCharType="end"/>
      </w:r>
      <w:r w:rsidR="00A854E6">
        <w:rPr>
          <w:rFonts w:eastAsiaTheme="minorEastAsia"/>
          <w:lang w:val="en-US"/>
        </w:rPr>
        <w:t xml:space="preserve"> to a maximum of 10MPa</w:t>
      </w:r>
      <w:r w:rsidR="00EF2199">
        <w:rPr>
          <w:rFonts w:eastAsiaTheme="minorEastAsia"/>
          <w:lang w:val="en-US"/>
        </w:rPr>
        <w:fldChar w:fldCharType="begin"/>
      </w:r>
      <w:r w:rsidR="00BD095E">
        <w:rPr>
          <w:rFonts w:eastAsiaTheme="minorEastAsia"/>
          <w:lang w:val="en-US"/>
        </w:rPr>
        <w:instrText xml:space="preserve"> ADDIN ZOTERO_ITEM CSL_CITATION {"citationID":"rQd4MxVw","properties":{"formattedCitation":"\\super 7,8\\nosupersub{}","plainCitation":"7,8","noteIndex":0},"citationItems":[{"id":468,"uris":["http://zotero.org/users/5712877/items/E3FSL5Q7"],"uri":["http://zotero.org/users/5712877/items/E3FSL5Q7"],"itemData":{"id":468,"type":"article-journal","title":"Coseismic and postseismic stress rotations due to great subduction zone earthquakes: STRESS ROTATIONS IN SUBDUCTION ZONES","container-title":"Geophysical Research Letters","volume":"39","issue":"21","source":"Crossref","URL":"http://doi.wiley.com/10.1029/2012GL053438","DOI":"10.1029/2012GL053438","ISSN":"00948276","title-short":"Coseismic and postseismic stress rotations due to great subduction zone earthquakes","language":"en","author":[{"family":"Hardebeck","given":"Jeanne L."}],"issued":{"date-parts":[["2012",11]]},"accessed":{"date-parts":[["2021",1,19]]}}},{"id":469,"uris":["http://zotero.org/users/5712877/items/VKUH7W25"],"uri":["http://zotero.org/users/5712877/items/VKUH7W25"],"itemData":{"id":469,"type":"article-journal","title":"Change in stress field after the 2011 great Tohoku-Oki earthquake","container-title":"Earth and Planetary Science Letters","page":"231-243","volume":"355-356","source":"Crossref","abstract":"Temporal change in the stress ﬁeld after the 2011 great Tohoku-Oki earthquake was observed by using stress tensor inversions of earthquakes near the source region. In the upper plate (hanging wall) before the Tohoku-Oki earthquake, the maximum compressive stress (s1) axis was oriented in the direction of plate convergence, speciﬁcally, in the direction of an estimated large near-trench slip area. The stress ﬁeld in the upper plate was completely transformed after the earthquake, with the minimum compressive stress (s3) axis being oriented in the direction of the large near-trench slip area, even near the trench axis. In the near-coast area within the Paciﬁc plate (i.e., in the footwall), the s1 axis was oriented in the direction of plate convergence prior to the earthquake, as within the upper plate; however, the orientations of the principal stress axes in this area showed no change after the earthquake. After the earthquake, the s3 axis was oriented in the plate-convergence direction in areas within the Paciﬁc plate below the central to near-trench portions of the mainshock rupture area. These observations provide evidence for large near-trench slip at very shallow depths during the mainshock rupture. Moreover, the trend of the s1 axis in the upper plate before the Tohoku-Oki earthquake (i.e., in the direction of an estimated large near-trench slip area) strongly suggests that strain accumulation is possible even in the near-trench area at very shallow depths. The observed temporal change in the stress ﬁeld of the upper plate associated with the Tohoku-Oki earthquake indicates differential stress magnitudes as small as 5–15 MPa.","DOI":"10.1016/j.epsl.2012.08.042","ISSN":"0012821X","language":"en","author":[{"family":"Hasegawa","given":"Akira"},{"family":"Yoshida","given":"Keisuke"},{"family":"Asano","given":"Youichi"},{"family":"Okada","given":"Tomomi"},{"family":"Iinuma","given":"Takeshi"},{"family":"Ito","given":"Yoshihiro"}],"issued":{"date-parts":[["2012",11]]}}}],"schema":"https://github.com/citation-style-language/schema/raw/master/csl-citation.json"} </w:instrText>
      </w:r>
      <w:r w:rsidR="00EF2199">
        <w:rPr>
          <w:rFonts w:eastAsiaTheme="minorEastAsia"/>
          <w:lang w:val="en-US"/>
        </w:rPr>
        <w:fldChar w:fldCharType="separate"/>
      </w:r>
      <w:r w:rsidR="00BD095E" w:rsidRPr="00BD095E">
        <w:rPr>
          <w:rFonts w:cs="Times New Roman"/>
          <w:szCs w:val="24"/>
          <w:vertAlign w:val="superscript"/>
          <w:lang w:val="en-US"/>
        </w:rPr>
        <w:t>7,8</w:t>
      </w:r>
      <w:r w:rsidR="00EF2199">
        <w:rPr>
          <w:rFonts w:eastAsiaTheme="minorEastAsia"/>
          <w:lang w:val="en-US"/>
        </w:rPr>
        <w:fldChar w:fldCharType="end"/>
      </w:r>
      <w:r w:rsidR="00A854E6">
        <w:rPr>
          <w:rFonts w:eastAsiaTheme="minorEastAsia"/>
          <w:lang w:val="en-US"/>
        </w:rPr>
        <w:t>. Considering this value, f</w:t>
      </w:r>
      <w:r w:rsidR="00661762">
        <w:rPr>
          <w:rFonts w:eastAsiaTheme="minorEastAsia"/>
          <w:lang w:val="en-US"/>
        </w:rPr>
        <w:t>or a 1 mm thick layer sheared with a slip rate at 10 m/s (see in the next section)</w:t>
      </w:r>
      <w:r w:rsidR="00F84EEC">
        <w:rPr>
          <w:rFonts w:eastAsiaTheme="minorEastAsia"/>
          <w:lang w:val="en-US"/>
        </w:rPr>
        <w:t xml:space="preserve"> the volumetric energy generated is 1.0e10</w:t>
      </w:r>
      <w:r w:rsidR="00F84EEC" w:rsidRPr="00F84EEC">
        <w:rPr>
          <w:rFonts w:eastAsiaTheme="minorEastAsia"/>
          <w:vertAlign w:val="superscript"/>
          <w:lang w:val="en-US"/>
        </w:rPr>
        <w:t>11</w:t>
      </w:r>
      <w:r w:rsidR="003A7D4B">
        <w:rPr>
          <w:rFonts w:eastAsiaTheme="minorEastAsia"/>
          <w:vertAlign w:val="superscript"/>
          <w:lang w:val="en-US"/>
        </w:rPr>
        <w:t xml:space="preserve"> </w:t>
      </w:r>
      <w:r w:rsidR="003A7D4B">
        <w:rPr>
          <w:rFonts w:eastAsiaTheme="minorEastAsia"/>
          <w:lang w:val="en-US"/>
        </w:rPr>
        <w:t>J/m</w:t>
      </w:r>
      <w:r w:rsidR="003A7D4B" w:rsidRPr="003A7D4B">
        <w:rPr>
          <w:rFonts w:eastAsiaTheme="minorEastAsia"/>
          <w:vertAlign w:val="superscript"/>
          <w:lang w:val="en-US"/>
        </w:rPr>
        <w:t>3</w:t>
      </w:r>
      <w:r w:rsidR="003A7D4B">
        <w:rPr>
          <w:rFonts w:eastAsiaTheme="minorEastAsia"/>
          <w:lang w:val="en-US"/>
        </w:rPr>
        <w:t>/s</w:t>
      </w:r>
      <w:r w:rsidR="00F84EEC">
        <w:rPr>
          <w:rFonts w:eastAsiaTheme="minorEastAsia"/>
          <w:lang w:val="en-US"/>
        </w:rPr>
        <w:t>.</w:t>
      </w:r>
    </w:p>
    <w:p w14:paraId="305BD7FE" w14:textId="0F55307B" w:rsidR="00F84EEC" w:rsidRPr="00F84EEC" w:rsidRDefault="00F84EEC" w:rsidP="00C52594">
      <w:pPr>
        <w:rPr>
          <w:rFonts w:eastAsiaTheme="minorEastAsia"/>
          <w:lang w:val="en-US"/>
        </w:rPr>
      </w:pPr>
      <w:r>
        <w:rPr>
          <w:rFonts w:eastAsiaTheme="minorEastAsia"/>
          <w:lang w:val="en-US"/>
        </w:rPr>
        <w:t xml:space="preserve">Results have been presented in the </w:t>
      </w:r>
      <w:r w:rsidR="002E6DC9">
        <w:rPr>
          <w:rFonts w:eastAsiaTheme="minorEastAsia"/>
          <w:lang w:val="en-US"/>
        </w:rPr>
        <w:t>Supplementary</w:t>
      </w:r>
      <w:r w:rsidR="00392E86">
        <w:rPr>
          <w:rFonts w:eastAsiaTheme="minorEastAsia"/>
          <w:lang w:val="en-US"/>
        </w:rPr>
        <w:t xml:space="preserve"> Figure 5</w:t>
      </w:r>
      <w:r>
        <w:rPr>
          <w:rFonts w:eastAsiaTheme="minorEastAsia"/>
          <w:lang w:val="en-US"/>
        </w:rPr>
        <w:t xml:space="preserve">a and </w:t>
      </w:r>
      <w:r w:rsidR="00392E86">
        <w:rPr>
          <w:rFonts w:eastAsiaTheme="minorEastAsia"/>
          <w:lang w:val="en-US"/>
        </w:rPr>
        <w:t>5</w:t>
      </w:r>
      <w:r>
        <w:rPr>
          <w:rFonts w:eastAsiaTheme="minorEastAsia"/>
          <w:lang w:val="en-US"/>
        </w:rPr>
        <w:t xml:space="preserve">b. </w:t>
      </w:r>
      <w:r w:rsidR="00D545C4">
        <w:rPr>
          <w:rFonts w:eastAsiaTheme="minorEastAsia"/>
          <w:lang w:val="en-US"/>
        </w:rPr>
        <w:t>Even considering a very large overshoot of the melting temperature of the phyllosilicates and feldspars</w:t>
      </w:r>
      <w:r>
        <w:rPr>
          <w:rFonts w:eastAsiaTheme="minorEastAsia"/>
          <w:lang w:val="en-US"/>
        </w:rPr>
        <w:fldChar w:fldCharType="begin"/>
      </w:r>
      <w:r w:rsidR="00BD095E">
        <w:rPr>
          <w:rFonts w:eastAsiaTheme="minorEastAsia"/>
          <w:lang w:val="en-US"/>
        </w:rPr>
        <w:instrText xml:space="preserve"> ADDIN ZOTERO_ITEM CSL_CITATION {"citationID":"OmODMaSz","properties":{"formattedCitation":"\\super 9,10\\nosupersub{}","plainCitation":"9,10","noteIndex":0},"citationItems":[{"id":315,"uris":["http://zotero.org/users/5712877/items/QRAJHXDG"],"uri":["http://zotero.org/users/5712877/items/QRAJHXDG"],"itemData":{"id":315,"type":"article-journal","title":"Pseudotachylytes in an ancient accretionary complex and implications for melt lubrication during subduction zone earthquakes","container-title":"Journal of Structural Geology","page":"599-613","volume":"29","issue":"4","source":"Crossref","abstract":"Pseudotachylyte-bearing fault zones, found in the Shimanto accretionary complex, southwest Japan, developed during subduction or underplating at seismogenic depths. The pseudotachylytes occur in narrow dark veins less than a few millimeters thick that are sharply bounded by foliated cataclasites that originated from a me´lange. The microstructures of pseudotachylytes are represented by a fragment-laden, glasssupported texture resulting from the rapid cooling of the frictional melt. Transmission electron microscopy reveals the presence of glass in which euhedral microcrystals of mullite are locally developed. The compositions of the pseudotachylyte matrix and the characteristics of the unmelted grains and microlites in the matrix suggest that frictional melting occurred in an illite-rich slip zone with a minimum melting temperature of 1100 \u0014C. The viscosities of the frictional melt were calculated from the pseudotachylyte matrix composition as well as from the volume fraction and aspect ratio of the unmelted grains. The viscosities at 1100 \u0014C range from 85 to 290 Pa s, and the corresponding shear resistance along a 1-mm-thick melt layer at a slip rate of 1 m/s was 0.1e0.3 MPa. The formation of a melt layer in an illite-rich slip zone can possibly induce large stress drops, increase the slip rate and enhance rupture propagation, which together could affect the earthquake magnitude in a subduction zone. Ó 2006 Elsevier Ltd. All rights reserved.","DOI":"10.1016/j.jsg.2006.10.012","ISSN":"01918141","language":"en","author":[{"family":"Ujiie","given":"Kohtaro"},{"family":"Yamaguchi","given":"Haruka"},{"family":"Sakaguchi","given":"Arito"},{"family":"Toh","given":"Shoichi"}],"issued":{"date-parts":[["2007",4]]}}},{"id":110,"uris":["http://zotero.org/users/5712877/items/AP8BGCZ3"],"uri":["http://zotero.org/users/5712877/items/AP8BGCZ3"],"itemData":{"id":110,"type":"article-journal","title":"Co-seismic frictional melting along an out-of-sequence thrust in the Shimanto accretionary complex. Implications on the tsunamigenic potential of splay faults in modern subduction zones","container-title":"Earth and Planetary Science Letters","page":"330-343","volume":"245","issue":"1-2","source":"Crossref","abstract":"Out-of-sequence thrusts (OST) play an important role in the thickening of accretionary prisms, formation of forearc basins, and tsunami generation in subduction zones. By detailed investigations of geological and paleogeothermal structures, an ancient seismogenic OST is identified in the Shimanto accretionary complex, southwest Japan. This OST consists of a mappable en echelon fault system developed at a late stage of the accretionary process. The estimated accumulated displacement of 2.5–8.5km and formation depth of 2.5–5.5 km, based on a thermal analysis, indicates much higher fault activities sense of slip with a sinistral slip, and the large displacement was distributed among multiple small faults each with a small offset. Most of the faults in the en echelon fault system recorded repeated brittle failure, and one fault preserves pseudotachylyte, a fault rock indicative of seismic faulting. This is the first report of pseudotachylyte along an OST in an accretionary prism. Repeated fracturing in the same narrow shear zones (each only a few millimeters thick) suggests the OSTs perform as major shear localized zone in the accretionary prism. Shallow estimated formation depth and consequent low normal stress also support the hypothesis by a weak coupling along this fault zone. These findings are in accord with a thrust activity in the shallow portion of the accretionary prism being associated with rupture propagation from the deep seismogenic region. This OST showed high activity and repeated faulting in the shallow portion of the accretionary prism, comparable to that of the submarine tsunamigenic OST in the present Nankai trough.","DOI":"10.1016/j.epsl.2006.02.039","ISSN":"0012821X","language":"en","author":[{"family":"Mukoyoshi","given":"H"},{"family":"Sakaguchi","given":"A"},{"family":"Otsuki","given":"K"},{"family":"Hirono","given":"T"},{"family":"Soh","given":"W"}],"issued":{"date-parts":[["2006",5,15]]}}}],"schema":"https://github.com/citation-style-language/schema/raw/master/csl-citation.json"} </w:instrText>
      </w:r>
      <w:r>
        <w:rPr>
          <w:rFonts w:eastAsiaTheme="minorEastAsia"/>
          <w:lang w:val="en-US"/>
        </w:rPr>
        <w:fldChar w:fldCharType="separate"/>
      </w:r>
      <w:r w:rsidR="00BD095E" w:rsidRPr="00BD095E">
        <w:rPr>
          <w:rFonts w:cs="Times New Roman"/>
          <w:szCs w:val="24"/>
          <w:vertAlign w:val="superscript"/>
          <w:lang w:val="en-US"/>
        </w:rPr>
        <w:t>9,10</w:t>
      </w:r>
      <w:r>
        <w:rPr>
          <w:rFonts w:eastAsiaTheme="minorEastAsia"/>
          <w:lang w:val="en-US"/>
        </w:rPr>
        <w:fldChar w:fldCharType="end"/>
      </w:r>
      <w:r w:rsidR="00D545C4">
        <w:rPr>
          <w:rFonts w:eastAsiaTheme="minorEastAsia"/>
          <w:lang w:val="en-US"/>
        </w:rPr>
        <w:t xml:space="preserve">, melting is achieved very quickly. For example, a temperature as high as </w:t>
      </w:r>
      <w:r w:rsidR="00EF2199">
        <w:rPr>
          <w:rFonts w:eastAsiaTheme="minorEastAsia"/>
          <w:lang w:val="en-US"/>
        </w:rPr>
        <w:t>1400°C is reached after 3.8.10</w:t>
      </w:r>
      <w:r w:rsidR="00EF2199" w:rsidRPr="00EF2199">
        <w:rPr>
          <w:rFonts w:eastAsiaTheme="minorEastAsia"/>
          <w:vertAlign w:val="superscript"/>
          <w:lang w:val="en-US"/>
        </w:rPr>
        <w:t>-2</w:t>
      </w:r>
      <w:r w:rsidR="00EF2199">
        <w:rPr>
          <w:rFonts w:eastAsiaTheme="minorEastAsia"/>
          <w:lang w:val="en-US"/>
        </w:rPr>
        <w:t xml:space="preserve"> s</w:t>
      </w:r>
      <w:r>
        <w:rPr>
          <w:rFonts w:eastAsiaTheme="minorEastAsia"/>
          <w:lang w:val="en-US"/>
        </w:rPr>
        <w:t xml:space="preserve">. </w:t>
      </w:r>
      <w:r w:rsidR="000211F7">
        <w:rPr>
          <w:rFonts w:eastAsiaTheme="minorEastAsia"/>
          <w:lang w:val="en-US"/>
        </w:rPr>
        <w:t>T</w:t>
      </w:r>
      <w:r>
        <w:rPr>
          <w:rFonts w:eastAsiaTheme="minorEastAsia"/>
          <w:lang w:val="en-US"/>
        </w:rPr>
        <w:t xml:space="preserve">he critical distance, that consists in the distance of displacement before </w:t>
      </w:r>
      <w:r w:rsidR="000211F7">
        <w:rPr>
          <w:rFonts w:eastAsiaTheme="minorEastAsia"/>
          <w:lang w:val="en-US"/>
        </w:rPr>
        <w:t xml:space="preserve">melting and </w:t>
      </w:r>
      <w:r>
        <w:rPr>
          <w:rFonts w:eastAsiaTheme="minorEastAsia"/>
          <w:lang w:val="en-US"/>
        </w:rPr>
        <w:t>slip weakening is about 30 cm and is totally comparable with the calculated critical distance for natural earthquake</w:t>
      </w:r>
      <w:r>
        <w:rPr>
          <w:rFonts w:eastAsiaTheme="minorEastAsia"/>
          <w:lang w:val="en-US"/>
        </w:rPr>
        <w:fldChar w:fldCharType="begin"/>
      </w:r>
      <w:r w:rsidR="00BD095E">
        <w:rPr>
          <w:rFonts w:eastAsiaTheme="minorEastAsia"/>
          <w:lang w:val="en-US"/>
        </w:rPr>
        <w:instrText xml:space="preserve"> ADDIN ZOTERO_ITEM CSL_CITATION {"citationID":"gMUkSCHu","properties":{"formattedCitation":"\\super 11\\nosupersub{}","plainCitation":"11","noteIndex":0},"citationItems":[{"id":455,"uris":["http://zotero.org/users/5712877/items/LDR7E6VJ"],"uri":["http://zotero.org/users/5712877/items/LDR7E6VJ"],"itemData":{"id":455,"type":"article-journal","title":"Determination of constitutive relations of fault slip based on seismic wave analysis","container-title":"Journal of Geophysical Research: Solid Earth","page":"27379-27391","volume":"102","issue":"B12","source":"Crossref","abstract":"Constitutivelawsdefinetheboundaryconditionsonfaultplaneandgovernmany aspectsof earthquakfeailure. Althoughseveracl onstitutivleawshavebeenformulatedbasedon laboratorryockexperimenatsndappliedtotheoreticasltudieisn variousfields,noactuarlelation duringa naturael arthquakheasbeendetermined.The 1995Kobeearthquakiessuitablefor detailedkinematicanalysisa,ndthisenablesthefirstevaluationof constitutivreelationsfora naturael arthquake.In thisstudyw, edeterminespatiotemporsallipdistributioonnanassumed faultplaneof the1995Kobeearthquakbeywaveforminversionandthensolveelastodynamic equationussinga finitedifferencemethodtodetermintehestressdistributioanndconstitutive relationsonthefaultplane. An inversionmethodbasedonBayestheoremisemployedtoobtaina spatiotemporsallipdistributiona,ndenablesustoensuretheobjectiveuniquenesosf thesolution withnumeroupsarameterasndsmoothincgonstraints.Thisslipdistributioinsthenusedaspartof theboundaryconditionin thefinitedifferencecalculation. Thetimehistoriesof slipandshear stressobtainedthenprovidea constitutivreelationateachpointonthefaultplane. Theyshow slipweakeninrgelationsalmoset verywheroenthefaultplane,whileslipratedependencisynot clear. Theslipweakeninbgehaviohr asa cleardepthdependencinydicatingthattheslip weakeningrate(dr./du)issmallerin theshallowcrusthanthatin thedeepcrust. Thismaybe associatewdiththepaucityof shallowseismicityobservedin thesourceregionof thisearthquakaes reportedfor manymaturefaultsystems.","DOI":"10.1029/97JB02675","ISSN":"01480227","language":"en","author":[{"family":"Ide","given":"Satoshi"},{"family":"Takeo","given":"Minoru"}],"issued":{"date-parts":[["1997",12,10]]}}}],"schema":"https://github.com/citation-style-language/schema/raw/master/csl-citation.json"} </w:instrText>
      </w:r>
      <w:r>
        <w:rPr>
          <w:rFonts w:eastAsiaTheme="minorEastAsia"/>
          <w:lang w:val="en-US"/>
        </w:rPr>
        <w:fldChar w:fldCharType="separate"/>
      </w:r>
      <w:r w:rsidR="00BD095E" w:rsidRPr="00BD095E">
        <w:rPr>
          <w:rFonts w:cs="Times New Roman"/>
          <w:szCs w:val="24"/>
          <w:vertAlign w:val="superscript"/>
          <w:lang w:val="en-US"/>
        </w:rPr>
        <w:t>11</w:t>
      </w:r>
      <w:r>
        <w:rPr>
          <w:rFonts w:eastAsiaTheme="minorEastAsia"/>
          <w:lang w:val="en-US"/>
        </w:rPr>
        <w:fldChar w:fldCharType="end"/>
      </w:r>
      <w:r>
        <w:rPr>
          <w:rFonts w:eastAsiaTheme="minorEastAsia"/>
          <w:lang w:val="en-US"/>
        </w:rPr>
        <w:t xml:space="preserve">. </w:t>
      </w:r>
      <w:r w:rsidR="000211F7">
        <w:rPr>
          <w:rFonts w:eastAsiaTheme="minorEastAsia"/>
          <w:lang w:val="en-US"/>
        </w:rPr>
        <w:t xml:space="preserve">As a consequence of the very rapid temperature increase, the effect on carbonaceous material is </w:t>
      </w:r>
      <w:r w:rsidR="00E53BBC">
        <w:rPr>
          <w:rFonts w:eastAsiaTheme="minorEastAsia"/>
          <w:lang w:val="en-US"/>
        </w:rPr>
        <w:t>not significant</w:t>
      </w:r>
      <w:r w:rsidR="000211F7">
        <w:rPr>
          <w:rFonts w:eastAsiaTheme="minorEastAsia"/>
          <w:lang w:val="en-US"/>
        </w:rPr>
        <w:t>.</w:t>
      </w:r>
    </w:p>
    <w:p w14:paraId="6CC35695" w14:textId="6B00B2D4" w:rsidR="000211F7" w:rsidRDefault="000211F7" w:rsidP="000A2426">
      <w:pPr>
        <w:pStyle w:val="Paragraphedeliste"/>
        <w:numPr>
          <w:ilvl w:val="1"/>
          <w:numId w:val="9"/>
        </w:numPr>
        <w:rPr>
          <w:lang w:val="en-US"/>
        </w:rPr>
      </w:pPr>
      <w:r w:rsidRPr="00C35D01">
        <w:rPr>
          <w:lang w:val="en-US"/>
        </w:rPr>
        <w:t>Evolution of the system after melting</w:t>
      </w:r>
    </w:p>
    <w:p w14:paraId="14D9688D" w14:textId="49317ADF" w:rsidR="005D2401" w:rsidRPr="005D2401" w:rsidRDefault="005D2401" w:rsidP="005D2401">
      <w:pPr>
        <w:ind w:left="720"/>
        <w:rPr>
          <w:lang w:val="en-US"/>
        </w:rPr>
      </w:pPr>
      <w:r>
        <w:rPr>
          <w:lang w:val="en-US"/>
        </w:rPr>
        <w:t xml:space="preserve">2.1 </w:t>
      </w:r>
      <w:r w:rsidR="00404BA8">
        <w:rPr>
          <w:lang w:val="en-US"/>
        </w:rPr>
        <w:t>Without viscous shear heating</w:t>
      </w:r>
    </w:p>
    <w:p w14:paraId="6BF4C4F7" w14:textId="1B6D71ED" w:rsidR="007051CE" w:rsidRDefault="007051CE" w:rsidP="00C52594">
      <w:pPr>
        <w:rPr>
          <w:lang w:val="en-US"/>
        </w:rPr>
      </w:pPr>
      <w:r>
        <w:rPr>
          <w:lang w:val="en-US"/>
        </w:rPr>
        <w:t>After reaching the melting point thanks to the frictional melting, the next step is to c</w:t>
      </w:r>
      <w:r w:rsidR="00382D2F">
        <w:rPr>
          <w:lang w:val="en-US"/>
        </w:rPr>
        <w:t xml:space="preserve">onsider the heat diffusion </w:t>
      </w:r>
      <w:r w:rsidR="00A56A60">
        <w:rPr>
          <w:lang w:val="en-US"/>
        </w:rPr>
        <w:t xml:space="preserve">from </w:t>
      </w:r>
      <w:r w:rsidR="00382D2F">
        <w:rPr>
          <w:lang w:val="en-US"/>
        </w:rPr>
        <w:t>a</w:t>
      </w:r>
      <w:r>
        <w:rPr>
          <w:lang w:val="en-US"/>
        </w:rPr>
        <w:t xml:space="preserve"> molt</w:t>
      </w:r>
      <w:r w:rsidR="00392E86">
        <w:rPr>
          <w:lang w:val="en-US"/>
        </w:rPr>
        <w:t>en layer</w:t>
      </w:r>
      <w:r w:rsidR="00A56A60">
        <w:rPr>
          <w:lang w:val="en-US"/>
        </w:rPr>
        <w:t xml:space="preserve"> at 1400°C</w:t>
      </w:r>
      <w:r w:rsidR="00DD6B14">
        <w:rPr>
          <w:lang w:val="en-US"/>
        </w:rPr>
        <w:t>, an upper range of reported temperature in literature for experiments</w:t>
      </w:r>
      <w:r w:rsidR="00DD6B14">
        <w:rPr>
          <w:lang w:val="en-US"/>
        </w:rPr>
        <w:fldChar w:fldCharType="begin"/>
      </w:r>
      <w:r w:rsidR="00DD6B14">
        <w:rPr>
          <w:lang w:val="en-US"/>
        </w:rPr>
        <w:instrText xml:space="preserve"> ADDIN ZOTERO_ITEM CSL_CITATION {"citationID":"aNQGmhvL","properties":{"formattedCitation":"\\super 2,12\\nosupersub{}","plainCitation":"2,12","noteIndex":0},"citationItems":[{"id":418,"uris":["http://zotero.org/users/5712877/items/A78JHKYJ"],"uri":["http://zotero.org/users/5712877/items/A78JHKYJ"],"itemData":{"id":418,"type":"chapter","title":"Pseudotachylytes and Earthquake Source Mechanics","container-title":"Fault-Zone Properties and Earthquake Rupture Dynamics","publisher":"Fukuyama, E.","page":"88-133","author":[{"family":"Di Toro","given":"G."},{"family":"Pennacchioni","given":"Giorgio"}],"issued":{"date-parts":[["2009"]]}}},{"id":338,"uris":["http://zotero.org/users/5712877/items/7IW25FDQ"],"uri":["http://zotero.org/users/5712877/items/7IW25FDQ"],"itemData":{"id":338,"type":"article-journal","title":"Pseudotachylyte controversy: Fact or friction?","container-title":"Geology","page":"1119","volume":"23","issue":"12","source":"Crossref","abstract":"High-speed slip experiments performed on Westerly granite using friction welding apparatus reveal that comminution is an essential precursor to melting by friction. Observations of slip surfaces via analytical scanning electron microscopy (SEM) document the following sequence of events occurring in 2 s with increasing velocity (up to 2 m/s): fracture; progressive comminution; surface melting of mineral fragments; fragment-to-fragment adhesion; and, ﬁnally, production of a fragment-laden, melt-supported suspension. Explosive dehydration and melting of the epidote-group mineral allanite indicates that temperatures of at least 1000 ؇C were realized at the interface. This is corroborated by calculation of the temperature rise for the known operating conditions. Contrary to earlier proposals, these results show that comminution and frictional melting are complementary and not mutually exclusive processes. Depending on the velocity–shear stress– displacement relations prevailing during frictional slip, rocks produced in seismogenic zones can be predominantly comminuted wall rock or fragment-melt mixes (pseudotachylytes).","DOI":"10.1130/0091-7613(1995)023&lt;1119:PCFOF&gt;2.3.CO;2","ISSN":"0091-7613","title-short":"Pseudotachylyte controversy","language":"en","author":[{"family":"Spray","given":"John G."}],"issued":{"date-parts":[["1995"]]}}}],"schema":"https://github.com/citation-style-language/schema/raw/master/csl-citation.json"} </w:instrText>
      </w:r>
      <w:r w:rsidR="00DD6B14">
        <w:rPr>
          <w:lang w:val="en-US"/>
        </w:rPr>
        <w:fldChar w:fldCharType="separate"/>
      </w:r>
      <w:r w:rsidR="00DD6B14" w:rsidRPr="00DD6B14">
        <w:rPr>
          <w:rFonts w:cs="Times New Roman"/>
          <w:szCs w:val="24"/>
          <w:vertAlign w:val="superscript"/>
          <w:lang w:val="en-US"/>
        </w:rPr>
        <w:t>2,12</w:t>
      </w:r>
      <w:r w:rsidR="00DD6B14">
        <w:rPr>
          <w:lang w:val="en-US"/>
        </w:rPr>
        <w:fldChar w:fldCharType="end"/>
      </w:r>
      <w:r w:rsidR="00392E86">
        <w:rPr>
          <w:lang w:val="en-US"/>
        </w:rPr>
        <w:t xml:space="preserve">. </w:t>
      </w:r>
      <w:r w:rsidR="00DD6B14">
        <w:rPr>
          <w:lang w:val="en-US"/>
        </w:rPr>
        <w:t>Such a high temperature</w:t>
      </w:r>
      <w:r w:rsidR="00A56A60">
        <w:rPr>
          <w:lang w:val="en-US"/>
        </w:rPr>
        <w:t xml:space="preserve"> is purposefully chosen as to enhance and highlight the possible effect of frictional heating on Raman signal. </w:t>
      </w:r>
      <w:r w:rsidR="002E6DC9">
        <w:rPr>
          <w:lang w:val="en-US"/>
        </w:rPr>
        <w:t>Supplementary</w:t>
      </w:r>
      <w:r w:rsidR="00392E86">
        <w:rPr>
          <w:lang w:val="en-US"/>
        </w:rPr>
        <w:t xml:space="preserve"> Fig</w:t>
      </w:r>
      <w:r w:rsidR="004F0B4A">
        <w:rPr>
          <w:lang w:val="en-US"/>
        </w:rPr>
        <w:t>ure 5c</w:t>
      </w:r>
      <w:r w:rsidR="00392E86">
        <w:rPr>
          <w:lang w:val="en-US"/>
        </w:rPr>
        <w:t xml:space="preserve"> and 5</w:t>
      </w:r>
      <w:r w:rsidR="004F0B4A">
        <w:rPr>
          <w:lang w:val="en-US"/>
        </w:rPr>
        <w:t>d</w:t>
      </w:r>
      <w:r>
        <w:rPr>
          <w:lang w:val="en-US"/>
        </w:rPr>
        <w:t xml:space="preserve"> presents the results obtained for the heat diffusion only</w:t>
      </w:r>
      <w:r w:rsidR="00404BA8">
        <w:rPr>
          <w:lang w:val="en-US"/>
        </w:rPr>
        <w:t>:</w:t>
      </w:r>
      <w:r>
        <w:rPr>
          <w:lang w:val="en-US"/>
        </w:rPr>
        <w:t xml:space="preserve"> </w:t>
      </w:r>
      <w:r w:rsidR="00404BA8">
        <w:rPr>
          <w:lang w:val="en-US"/>
        </w:rPr>
        <w:t>the</w:t>
      </w:r>
      <w:r>
        <w:rPr>
          <w:lang w:val="en-US"/>
        </w:rPr>
        <w:t xml:space="preserve"> temperature drop</w:t>
      </w:r>
      <w:r w:rsidR="00404BA8">
        <w:rPr>
          <w:lang w:val="en-US"/>
        </w:rPr>
        <w:t>s</w:t>
      </w:r>
      <w:r>
        <w:rPr>
          <w:lang w:val="en-US"/>
        </w:rPr>
        <w:t xml:space="preserve"> down very quickly and as a consequence </w:t>
      </w:r>
      <w:r w:rsidR="00404BA8">
        <w:rPr>
          <w:lang w:val="en-US"/>
        </w:rPr>
        <w:t xml:space="preserve">there is </w:t>
      </w:r>
      <w:r w:rsidR="0095657E">
        <w:rPr>
          <w:lang w:val="en-US"/>
        </w:rPr>
        <w:t>a small</w:t>
      </w:r>
      <w:r w:rsidR="00404BA8">
        <w:rPr>
          <w:lang w:val="en-US"/>
        </w:rPr>
        <w:t xml:space="preserve"> </w:t>
      </w:r>
      <w:r>
        <w:rPr>
          <w:lang w:val="en-US"/>
        </w:rPr>
        <w:t xml:space="preserve">evolution of the intensity ratio </w:t>
      </w:r>
      <w:r w:rsidR="00C94234">
        <w:rPr>
          <w:lang w:val="en-US"/>
        </w:rPr>
        <w:t>(0.615</w:t>
      </w:r>
      <w:r w:rsidR="00382D2F">
        <w:rPr>
          <w:lang w:val="en-US"/>
        </w:rPr>
        <w:t xml:space="preserve"> in the core) </w:t>
      </w:r>
      <w:r>
        <w:rPr>
          <w:lang w:val="en-US"/>
        </w:rPr>
        <w:t>inside the molten layer</w:t>
      </w:r>
      <w:r w:rsidR="00382D2F">
        <w:rPr>
          <w:lang w:val="en-US"/>
        </w:rPr>
        <w:t xml:space="preserve">, </w:t>
      </w:r>
      <w:r w:rsidR="0095657E">
        <w:rPr>
          <w:lang w:val="en-US"/>
        </w:rPr>
        <w:t xml:space="preserve">still </w:t>
      </w:r>
      <w:r w:rsidR="00E53BBC">
        <w:rPr>
          <w:lang w:val="en-US"/>
        </w:rPr>
        <w:t xml:space="preserve">much lower </w:t>
      </w:r>
      <w:r w:rsidR="0095657E">
        <w:rPr>
          <w:lang w:val="en-US"/>
        </w:rPr>
        <w:t xml:space="preserve">than </w:t>
      </w:r>
      <w:r w:rsidR="00382D2F">
        <w:rPr>
          <w:lang w:val="en-US"/>
        </w:rPr>
        <w:t>the values measured for the nat</w:t>
      </w:r>
      <w:r w:rsidR="004214BE">
        <w:rPr>
          <w:lang w:val="en-US"/>
        </w:rPr>
        <w:t>ural Black Fault Rocks (0.7 in median</w:t>
      </w:r>
      <w:r w:rsidR="00382D2F">
        <w:rPr>
          <w:lang w:val="en-US"/>
        </w:rPr>
        <w:t xml:space="preserve">). </w:t>
      </w:r>
    </w:p>
    <w:p w14:paraId="1B9607DC" w14:textId="59FDB3DD" w:rsidR="005D2401" w:rsidRDefault="00151F14" w:rsidP="00C52594">
      <w:pPr>
        <w:rPr>
          <w:lang w:val="en-US"/>
        </w:rPr>
      </w:pPr>
      <w:r>
        <w:rPr>
          <w:lang w:val="en-US"/>
        </w:rPr>
        <w:lastRenderedPageBreak/>
        <w:tab/>
      </w:r>
      <w:r w:rsidR="005D2401">
        <w:rPr>
          <w:lang w:val="en-US"/>
        </w:rPr>
        <w:t xml:space="preserve">2.2 </w:t>
      </w:r>
      <w:r w:rsidR="00404BA8">
        <w:rPr>
          <w:lang w:val="en-US"/>
        </w:rPr>
        <w:t xml:space="preserve">With viscous shear heating, </w:t>
      </w:r>
      <w:r w:rsidR="00404BA8">
        <w:rPr>
          <w:rFonts w:eastAsiaTheme="minorEastAsia"/>
          <w:lang w:val="en-US"/>
        </w:rPr>
        <w:t>considering displacement at</w:t>
      </w:r>
      <w:r w:rsidR="005D2401">
        <w:rPr>
          <w:rFonts w:eastAsiaTheme="minorEastAsia"/>
          <w:lang w:val="en-US"/>
        </w:rPr>
        <w:t xml:space="preserve"> 1m/s</w:t>
      </w:r>
    </w:p>
    <w:p w14:paraId="4E79FA06" w14:textId="19BD32C2" w:rsidR="00C52594" w:rsidRDefault="008A266C" w:rsidP="00C52594">
      <w:pPr>
        <w:rPr>
          <w:lang w:val="en-US"/>
        </w:rPr>
      </w:pPr>
      <w:r>
        <w:rPr>
          <w:lang w:val="en-US"/>
        </w:rPr>
        <w:t>N</w:t>
      </w:r>
      <w:r w:rsidR="00541D6B">
        <w:rPr>
          <w:lang w:val="en-US"/>
        </w:rPr>
        <w:t xml:space="preserve">ext step </w:t>
      </w:r>
      <w:r>
        <w:rPr>
          <w:lang w:val="en-US"/>
        </w:rPr>
        <w:t>consisted</w:t>
      </w:r>
      <w:r w:rsidR="00541D6B">
        <w:rPr>
          <w:lang w:val="en-US"/>
        </w:rPr>
        <w:t xml:space="preserve"> to model the </w:t>
      </w:r>
      <w:r w:rsidR="000211F7">
        <w:rPr>
          <w:lang w:val="en-US"/>
        </w:rPr>
        <w:t>temperature field</w:t>
      </w:r>
      <w:r w:rsidR="00541D6B">
        <w:rPr>
          <w:lang w:val="en-US"/>
        </w:rPr>
        <w:t xml:space="preserve"> </w:t>
      </w:r>
      <w:r w:rsidR="000211F7">
        <w:rPr>
          <w:lang w:val="en-US"/>
        </w:rPr>
        <w:t xml:space="preserve">when </w:t>
      </w:r>
      <w:r w:rsidR="00541D6B">
        <w:rPr>
          <w:lang w:val="en-US"/>
        </w:rPr>
        <w:t xml:space="preserve">a </w:t>
      </w:r>
      <w:r w:rsidR="000211F7">
        <w:rPr>
          <w:lang w:val="en-US"/>
        </w:rPr>
        <w:t xml:space="preserve">molten </w:t>
      </w:r>
      <w:r w:rsidR="00541D6B">
        <w:rPr>
          <w:lang w:val="en-US"/>
        </w:rPr>
        <w:t xml:space="preserve">layer of </w:t>
      </w:r>
      <w:r w:rsidR="000211F7">
        <w:rPr>
          <w:lang w:val="en-US"/>
        </w:rPr>
        <w:t xml:space="preserve">the same thickness </w:t>
      </w:r>
      <w:r w:rsidR="00C35D01">
        <w:rPr>
          <w:lang w:val="en-US"/>
        </w:rPr>
        <w:t>(</w:t>
      </w:r>
      <w:r w:rsidR="00BC1B92">
        <w:rPr>
          <w:lang w:val="en-US"/>
        </w:rPr>
        <w:t>h</w:t>
      </w:r>
      <w:r w:rsidR="00C35D01">
        <w:rPr>
          <w:lang w:val="en-US"/>
        </w:rPr>
        <w:t>)</w:t>
      </w:r>
      <w:r w:rsidR="00BC1B92">
        <w:rPr>
          <w:lang w:val="en-US"/>
        </w:rPr>
        <w:t xml:space="preserve"> </w:t>
      </w:r>
      <w:r w:rsidR="000211F7">
        <w:rPr>
          <w:lang w:val="en-US"/>
        </w:rPr>
        <w:t xml:space="preserve">as the Black Fault Rocks (i.e. </w:t>
      </w:r>
      <w:r w:rsidR="00541D6B">
        <w:rPr>
          <w:lang w:val="en-US"/>
        </w:rPr>
        <w:t>1mm</w:t>
      </w:r>
      <w:r w:rsidR="000211F7">
        <w:rPr>
          <w:lang w:val="en-US"/>
        </w:rPr>
        <w:t xml:space="preserve"> in the model) is being sheared</w:t>
      </w:r>
      <w:r w:rsidR="00541D6B">
        <w:rPr>
          <w:lang w:val="en-US"/>
        </w:rPr>
        <w:t xml:space="preserve">. </w:t>
      </w:r>
      <w:r w:rsidR="000211F7">
        <w:rPr>
          <w:lang w:val="en-US"/>
        </w:rPr>
        <w:t>We assume that the field of velocity in the molten layer is given by</w:t>
      </w:r>
      <w:r w:rsidR="00541D6B">
        <w:rPr>
          <w:lang w:val="en-US"/>
        </w:rPr>
        <w:t xml:space="preserve"> the Couette Flow equation</w:t>
      </w:r>
      <w:r w:rsidR="003F1EC7">
        <w:rPr>
          <w:lang w:val="en-US"/>
        </w:rPr>
        <w:fldChar w:fldCharType="begin"/>
      </w:r>
      <w:r w:rsidR="00DD6B14">
        <w:rPr>
          <w:lang w:val="en-US"/>
        </w:rPr>
        <w:instrText xml:space="preserve"> ADDIN ZOTERO_ITEM CSL_CITATION {"citationID":"fmYjYIro","properties":{"formattedCitation":"\\super 13\\nosupersub{}","plainCitation":"13","noteIndex":0},"citationItems":[{"id":422,"uris":["http://zotero.org/users/5712877/items/RM4H33EX"],"uri":["http://zotero.org/users/5712877/items/RM4H33EX"],"itemData":{"id":422,"type":"book","title":"Geodynamics","publisher":"Cambridge","edition":"2nd edition","author":[{"family":"Turcotte","given":"Donald. L."},{"family":"Schubert","given":"Gerald"}],"issued":{"date-parts":[["1982"]]}}}],"schema":"https://github.com/citation-style-language/schema/raw/master/csl-citation.json"} </w:instrText>
      </w:r>
      <w:r w:rsidR="003F1EC7">
        <w:rPr>
          <w:lang w:val="en-US"/>
        </w:rPr>
        <w:fldChar w:fldCharType="separate"/>
      </w:r>
      <w:r w:rsidR="00DD6B14" w:rsidRPr="00DD6B14">
        <w:rPr>
          <w:rFonts w:cs="Times New Roman"/>
          <w:szCs w:val="24"/>
          <w:vertAlign w:val="superscript"/>
          <w:lang w:val="en-US"/>
        </w:rPr>
        <w:t>13</w:t>
      </w:r>
      <w:r w:rsidR="003F1EC7">
        <w:rPr>
          <w:lang w:val="en-US"/>
        </w:rPr>
        <w:fldChar w:fldCharType="end"/>
      </w:r>
      <w:r w:rsidR="000211F7">
        <w:rPr>
          <w:lang w:val="en-US"/>
        </w:rPr>
        <w:t xml:space="preserve"> and that the melt viscosity is uniform and constant in time.</w:t>
      </w:r>
      <w:r w:rsidR="00541D6B">
        <w:rPr>
          <w:lang w:val="en-US"/>
        </w:rPr>
        <w:t xml:space="preserve"> </w:t>
      </w:r>
    </w:p>
    <w:p w14:paraId="38798E59" w14:textId="60C56990" w:rsidR="00C52594" w:rsidRDefault="00C52594" w:rsidP="00C52594">
      <w:pPr>
        <w:rPr>
          <w:lang w:val="en-US"/>
        </w:rPr>
      </w:pPr>
      <w:r>
        <w:rPr>
          <w:noProof/>
          <w:lang w:eastAsia="fr-FR"/>
        </w:rPr>
        <w:drawing>
          <wp:anchor distT="0" distB="0" distL="114300" distR="114300" simplePos="0" relativeHeight="251659264" behindDoc="0" locked="0" layoutInCell="1" allowOverlap="1" wp14:anchorId="24187E76" wp14:editId="2481D3F6">
            <wp:simplePos x="0" y="0"/>
            <wp:positionH relativeFrom="margin">
              <wp:posOffset>1177290</wp:posOffset>
            </wp:positionH>
            <wp:positionV relativeFrom="paragraph">
              <wp:posOffset>53975</wp:posOffset>
            </wp:positionV>
            <wp:extent cx="3793490" cy="2419350"/>
            <wp:effectExtent l="0" t="0" r="0" b="0"/>
            <wp:wrapSquare wrapText="bothSides"/>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793490" cy="2419350"/>
                    </a:xfrm>
                    <a:prstGeom prst="rect">
                      <a:avLst/>
                    </a:prstGeom>
                  </pic:spPr>
                </pic:pic>
              </a:graphicData>
            </a:graphic>
            <wp14:sizeRelH relativeFrom="margin">
              <wp14:pctWidth>0</wp14:pctWidth>
            </wp14:sizeRelH>
            <wp14:sizeRelV relativeFrom="margin">
              <wp14:pctHeight>0</wp14:pctHeight>
            </wp14:sizeRelV>
          </wp:anchor>
        </w:drawing>
      </w:r>
    </w:p>
    <w:p w14:paraId="2A56C1D4" w14:textId="77777777" w:rsidR="00C52594" w:rsidRDefault="00C52594" w:rsidP="00C52594">
      <w:pPr>
        <w:rPr>
          <w:lang w:val="en-US"/>
        </w:rPr>
      </w:pPr>
    </w:p>
    <w:p w14:paraId="5D569F28" w14:textId="77777777" w:rsidR="00C52594" w:rsidRDefault="00C52594" w:rsidP="00C52594">
      <w:pPr>
        <w:rPr>
          <w:lang w:val="en-US"/>
        </w:rPr>
      </w:pPr>
    </w:p>
    <w:p w14:paraId="5F24A3C3" w14:textId="572371F9" w:rsidR="006D41E5" w:rsidRDefault="006D41E5" w:rsidP="00C52594">
      <w:pPr>
        <w:rPr>
          <w:lang w:val="en-US"/>
        </w:rPr>
      </w:pPr>
    </w:p>
    <w:p w14:paraId="4BA5EB85" w14:textId="01BA47C8" w:rsidR="00E53BBC" w:rsidRDefault="00E53BBC" w:rsidP="00C52594">
      <w:pPr>
        <w:rPr>
          <w:lang w:val="en-US"/>
        </w:rPr>
      </w:pPr>
    </w:p>
    <w:p w14:paraId="39881A02" w14:textId="106FA0F1" w:rsidR="00E53BBC" w:rsidRDefault="000C6699" w:rsidP="00C52594">
      <w:pPr>
        <w:rPr>
          <w:lang w:val="en-US"/>
        </w:rPr>
      </w:pPr>
      <w:r>
        <w:rPr>
          <w:noProof/>
          <w:lang w:eastAsia="fr-FR"/>
        </w:rPr>
        <mc:AlternateContent>
          <mc:Choice Requires="wps">
            <w:drawing>
              <wp:anchor distT="0" distB="0" distL="114300" distR="114300" simplePos="0" relativeHeight="251681792" behindDoc="0" locked="0" layoutInCell="1" allowOverlap="1" wp14:anchorId="66B5824B" wp14:editId="6D8D0888">
                <wp:simplePos x="0" y="0"/>
                <wp:positionH relativeFrom="column">
                  <wp:posOffset>118110</wp:posOffset>
                </wp:positionH>
                <wp:positionV relativeFrom="paragraph">
                  <wp:posOffset>269875</wp:posOffset>
                </wp:positionV>
                <wp:extent cx="5770880" cy="635"/>
                <wp:effectExtent l="0" t="0" r="1270" b="0"/>
                <wp:wrapSquare wrapText="bothSides"/>
                <wp:docPr id="7" name="Zone de texte 7"/>
                <wp:cNvGraphicFramePr/>
                <a:graphic xmlns:a="http://schemas.openxmlformats.org/drawingml/2006/main">
                  <a:graphicData uri="http://schemas.microsoft.com/office/word/2010/wordprocessingShape">
                    <wps:wsp>
                      <wps:cNvSpPr txBox="1"/>
                      <wps:spPr>
                        <a:xfrm>
                          <a:off x="0" y="0"/>
                          <a:ext cx="5770880" cy="635"/>
                        </a:xfrm>
                        <a:prstGeom prst="rect">
                          <a:avLst/>
                        </a:prstGeom>
                        <a:solidFill>
                          <a:prstClr val="white"/>
                        </a:solidFill>
                        <a:ln>
                          <a:noFill/>
                        </a:ln>
                      </wps:spPr>
                      <wps:txbx>
                        <w:txbxContent>
                          <w:p w14:paraId="02E2525B" w14:textId="121C5347" w:rsidR="00D46348" w:rsidRPr="00FC53FE" w:rsidRDefault="00D46348" w:rsidP="00FC53FE">
                            <w:pPr>
                              <w:pStyle w:val="Lgende"/>
                              <w:jc w:val="center"/>
                              <w:rPr>
                                <w:rFonts w:ascii="Arial" w:hAnsi="Arial" w:cs="Arial"/>
                                <w:noProof/>
                                <w:sz w:val="14"/>
                                <w:szCs w:val="14"/>
                                <w:lang w:val="en-US"/>
                              </w:rPr>
                            </w:pPr>
                            <w:r w:rsidRPr="00FC53FE">
                              <w:rPr>
                                <w:rFonts w:ascii="Arial" w:hAnsi="Arial" w:cs="Arial"/>
                                <w:b/>
                                <w:sz w:val="14"/>
                                <w:szCs w:val="14"/>
                                <w:lang w:val="en-US"/>
                              </w:rPr>
                              <w:t xml:space="preserve">Note figure </w:t>
                            </w:r>
                            <w:r w:rsidRPr="00FC53FE">
                              <w:rPr>
                                <w:rFonts w:ascii="Arial" w:hAnsi="Arial" w:cs="Arial"/>
                                <w:b/>
                                <w:sz w:val="14"/>
                                <w:szCs w:val="14"/>
                              </w:rPr>
                              <w:fldChar w:fldCharType="begin"/>
                            </w:r>
                            <w:r w:rsidRPr="00FC53FE">
                              <w:rPr>
                                <w:rFonts w:ascii="Arial" w:hAnsi="Arial" w:cs="Arial"/>
                                <w:b/>
                                <w:sz w:val="14"/>
                                <w:szCs w:val="14"/>
                                <w:lang w:val="en-US"/>
                              </w:rPr>
                              <w:instrText xml:space="preserve"> SEQ Figure \* ARABIC </w:instrText>
                            </w:r>
                            <w:r w:rsidRPr="00FC53FE">
                              <w:rPr>
                                <w:rFonts w:ascii="Arial" w:hAnsi="Arial" w:cs="Arial"/>
                                <w:b/>
                                <w:sz w:val="14"/>
                                <w:szCs w:val="14"/>
                              </w:rPr>
                              <w:fldChar w:fldCharType="separate"/>
                            </w:r>
                            <w:r w:rsidRPr="00FC53FE">
                              <w:rPr>
                                <w:rFonts w:ascii="Arial" w:hAnsi="Arial" w:cs="Arial"/>
                                <w:b/>
                                <w:noProof/>
                                <w:sz w:val="14"/>
                                <w:szCs w:val="14"/>
                                <w:lang w:val="en-US"/>
                              </w:rPr>
                              <w:t>1</w:t>
                            </w:r>
                            <w:r w:rsidRPr="00FC53FE">
                              <w:rPr>
                                <w:rFonts w:ascii="Arial" w:hAnsi="Arial" w:cs="Arial"/>
                                <w:b/>
                                <w:sz w:val="14"/>
                                <w:szCs w:val="14"/>
                              </w:rPr>
                              <w:fldChar w:fldCharType="end"/>
                            </w:r>
                            <w:r w:rsidRPr="00FC53FE">
                              <w:rPr>
                                <w:rFonts w:ascii="Arial" w:hAnsi="Arial" w:cs="Arial"/>
                                <w:b/>
                                <w:sz w:val="14"/>
                                <w:szCs w:val="14"/>
                                <w:lang w:val="en-US"/>
                              </w:rPr>
                              <w:t> </w:t>
                            </w:r>
                            <w:r w:rsidRPr="00FC53FE">
                              <w:rPr>
                                <w:rFonts w:ascii="Arial" w:hAnsi="Arial" w:cs="Arial"/>
                                <w:b/>
                                <w:bCs/>
                                <w:sz w:val="14"/>
                                <w:szCs w:val="14"/>
                                <w:lang w:val="en-GB"/>
                              </w:rPr>
                              <w:t>|</w:t>
                            </w:r>
                            <w:r w:rsidRPr="00FC53FE">
                              <w:rPr>
                                <w:rFonts w:ascii="Arial" w:hAnsi="Arial" w:cs="Arial"/>
                                <w:sz w:val="14"/>
                                <w:szCs w:val="14"/>
                                <w:lang w:val="en-US"/>
                              </w:rPr>
                              <w:t xml:space="preserve"> One-dimensional channel flows of a constant viscosity fluid (From Turcotte and Schubert, 1982)</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66B5824B" id="_x0000_t202" coordsize="21600,21600" o:spt="202" path="m,l,21600r21600,l21600,xe">
                <v:stroke joinstyle="miter"/>
                <v:path gradientshapeok="t" o:connecttype="rect"/>
              </v:shapetype>
              <v:shape id="Zone de texte 7" o:spid="_x0000_s1026" type="#_x0000_t202" style="position:absolute;left:0;text-align:left;margin-left:9.3pt;margin-top:21.25pt;width:454.4pt;height:.05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" stroked="f">
                <v:textbox style="mso-fit-shape-to-text:t" inset="0,0,0,0">
                  <w:txbxContent>
                    <w:p w14:paraId="02E2525B" w14:textId="121C5347" w:rsidR="00D46348" w:rsidRPr="00FC53FE" w:rsidRDefault="00D46348" w:rsidP="00FC53FE">
                      <w:pPr>
                        <w:pStyle w:val="Lgende"/>
                        <w:jc w:val="center"/>
                        <w:rPr>
                          <w:rFonts w:ascii="Arial" w:hAnsi="Arial" w:cs="Arial"/>
                          <w:noProof/>
                          <w:sz w:val="14"/>
                          <w:szCs w:val="14"/>
                          <w:lang w:val="en-US"/>
                        </w:rPr>
                      </w:pPr>
                      <w:r w:rsidRPr="00FC53FE">
                        <w:rPr>
                          <w:rFonts w:ascii="Arial" w:hAnsi="Arial" w:cs="Arial"/>
                          <w:b/>
                          <w:sz w:val="14"/>
                          <w:szCs w:val="14"/>
                          <w:lang w:val="en-US"/>
                        </w:rPr>
                        <w:t xml:space="preserve">Note figure </w:t>
                      </w:r>
                      <w:r w:rsidRPr="00FC53FE">
                        <w:rPr>
                          <w:rFonts w:ascii="Arial" w:hAnsi="Arial" w:cs="Arial"/>
                          <w:b/>
                          <w:sz w:val="14"/>
                          <w:szCs w:val="14"/>
                        </w:rPr>
                        <w:fldChar w:fldCharType="begin"/>
                      </w:r>
                      <w:r w:rsidRPr="00FC53FE">
                        <w:rPr>
                          <w:rFonts w:ascii="Arial" w:hAnsi="Arial" w:cs="Arial"/>
                          <w:b/>
                          <w:sz w:val="14"/>
                          <w:szCs w:val="14"/>
                          <w:lang w:val="en-US"/>
                        </w:rPr>
                        <w:instrText xml:space="preserve"> SEQ Figure \* ARABIC </w:instrText>
                      </w:r>
                      <w:r w:rsidRPr="00FC53FE">
                        <w:rPr>
                          <w:rFonts w:ascii="Arial" w:hAnsi="Arial" w:cs="Arial"/>
                          <w:b/>
                          <w:sz w:val="14"/>
                          <w:szCs w:val="14"/>
                        </w:rPr>
                        <w:fldChar w:fldCharType="separate"/>
                      </w:r>
                      <w:r w:rsidRPr="00FC53FE">
                        <w:rPr>
                          <w:rFonts w:ascii="Arial" w:hAnsi="Arial" w:cs="Arial"/>
                          <w:b/>
                          <w:noProof/>
                          <w:sz w:val="14"/>
                          <w:szCs w:val="14"/>
                          <w:lang w:val="en-US"/>
                        </w:rPr>
                        <w:t>1</w:t>
                      </w:r>
                      <w:r w:rsidRPr="00FC53FE">
                        <w:rPr>
                          <w:rFonts w:ascii="Arial" w:hAnsi="Arial" w:cs="Arial"/>
                          <w:b/>
                          <w:sz w:val="14"/>
                          <w:szCs w:val="14"/>
                        </w:rPr>
                        <w:fldChar w:fldCharType="end"/>
                      </w:r>
                      <w:r w:rsidRPr="00FC53FE">
                        <w:rPr>
                          <w:rFonts w:ascii="Arial" w:hAnsi="Arial" w:cs="Arial"/>
                          <w:b/>
                          <w:sz w:val="14"/>
                          <w:szCs w:val="14"/>
                          <w:lang w:val="en-US"/>
                        </w:rPr>
                        <w:t> </w:t>
                      </w:r>
                      <w:r w:rsidRPr="00FC53FE">
                        <w:rPr>
                          <w:rFonts w:ascii="Arial" w:hAnsi="Arial" w:cs="Arial"/>
                          <w:b/>
                          <w:bCs/>
                          <w:sz w:val="14"/>
                          <w:szCs w:val="14"/>
                          <w:lang w:val="en-GB"/>
                        </w:rPr>
                        <w:t>|</w:t>
                      </w:r>
                      <w:r w:rsidRPr="00FC53FE">
                        <w:rPr>
                          <w:rFonts w:ascii="Arial" w:hAnsi="Arial" w:cs="Arial"/>
                          <w:sz w:val="14"/>
                          <w:szCs w:val="14"/>
                          <w:lang w:val="en-US"/>
                        </w:rPr>
                        <w:t xml:space="preserve"> One-dimensional channel flows of a constant viscosity fluid (From Turcotte and Schubert, 1982)</w:t>
                      </w:r>
                    </w:p>
                  </w:txbxContent>
                </v:textbox>
                <w10:wrap type="square"/>
              </v:shape>
            </w:pict>
          </mc:Fallback>
        </mc:AlternateContent>
      </w:r>
    </w:p>
    <w:p w14:paraId="07BA7D25" w14:textId="695605C0" w:rsidR="00E53BBC" w:rsidRDefault="00E53BBC" w:rsidP="00C52594">
      <w:pPr>
        <w:rPr>
          <w:lang w:val="en-US"/>
        </w:rPr>
      </w:pPr>
    </w:p>
    <w:p w14:paraId="1BAB4EB4" w14:textId="6CC975D6" w:rsidR="00C52594" w:rsidRDefault="000211F7" w:rsidP="00C52594">
      <w:pPr>
        <w:rPr>
          <w:lang w:val="en-US"/>
        </w:rPr>
      </w:pPr>
      <w:r>
        <w:rPr>
          <w:lang w:val="en-US"/>
        </w:rPr>
        <w:t>T</w:t>
      </w:r>
      <w:r w:rsidR="00C52594">
        <w:rPr>
          <w:lang w:val="en-US"/>
        </w:rPr>
        <w:t xml:space="preserve">he shear stress </w:t>
      </w:r>
      <w:r>
        <w:rPr>
          <w:lang w:val="en-US"/>
        </w:rPr>
        <w:t>within the molten layer writes as</w:t>
      </w:r>
      <w:r w:rsidR="00C52594">
        <w:rPr>
          <w:lang w:val="en-US"/>
        </w:rPr>
        <w:t xml:space="preserve">: </w:t>
      </w:r>
    </w:p>
    <w:p w14:paraId="15F70139" w14:textId="352E49D1" w:rsidR="00C52594" w:rsidRPr="00226A99" w:rsidRDefault="00D46348" w:rsidP="00C52594">
      <w:pPr>
        <w:rPr>
          <w:rFonts w:eastAsiaTheme="minorEastAsia"/>
          <w:lang w:val="en-US"/>
        </w:rPr>
      </w:pPr>
      <m:oMathPara>
        <m:oMath>
          <m:eqArr>
            <m:eqArrPr>
              <m:maxDist m:val="1"/>
              <m:ctrlPr>
                <w:rPr>
                  <w:rFonts w:ascii="Cambria Math" w:hAnsi="Cambria Math"/>
                  <w:i/>
                  <w:lang w:val="en-US"/>
                </w:rPr>
              </m:ctrlPr>
            </m:eqArrPr>
            <m:e>
              <m:r>
                <w:rPr>
                  <w:rFonts w:ascii="Cambria Math" w:hAnsi="Cambria Math"/>
                  <w:lang w:val="en-US"/>
                </w:rPr>
                <m:t>τ =μ</m:t>
              </m:r>
              <m:f>
                <m:fPr>
                  <m:ctrlPr>
                    <w:rPr>
                      <w:rFonts w:ascii="Cambria Math" w:hAnsi="Cambria Math"/>
                      <w:i/>
                      <w:lang w:val="en-US"/>
                    </w:rPr>
                  </m:ctrlPr>
                </m:fPr>
                <m:num>
                  <m:r>
                    <w:rPr>
                      <w:rFonts w:ascii="Cambria Math" w:hAnsi="Cambria Math"/>
                      <w:lang w:val="en-US"/>
                    </w:rPr>
                    <m:t>d</m:t>
                  </m:r>
                  <m:sSub>
                    <m:sSubPr>
                      <m:ctrlPr>
                        <w:rPr>
                          <w:rFonts w:ascii="Cambria Math" w:hAnsi="Cambria Math"/>
                          <w:i/>
                          <w:lang w:val="en-US"/>
                        </w:rPr>
                      </m:ctrlPr>
                    </m:sSubPr>
                    <m:e>
                      <m:r>
                        <w:rPr>
                          <w:rFonts w:ascii="Cambria Math" w:hAnsi="Cambria Math"/>
                          <w:lang w:val="en-US"/>
                        </w:rPr>
                        <m:t>u</m:t>
                      </m:r>
                    </m:e>
                    <m:sub>
                      <m:r>
                        <w:rPr>
                          <w:rFonts w:ascii="Cambria Math" w:hAnsi="Cambria Math"/>
                          <w:lang w:val="en-US"/>
                        </w:rPr>
                        <m:t>x</m:t>
                      </m:r>
                    </m:sub>
                  </m:sSub>
                </m:num>
                <m:den>
                  <m:r>
                    <w:rPr>
                      <w:rFonts w:ascii="Cambria Math" w:hAnsi="Cambria Math"/>
                      <w:lang w:val="en-US"/>
                    </w:rPr>
                    <m:t>dy</m:t>
                  </m:r>
                </m:den>
              </m:f>
              <m:r>
                <w:rPr>
                  <w:rFonts w:ascii="Cambria Math" w:hAnsi="Cambria Math"/>
                  <w:lang w:val="en-US"/>
                </w:rPr>
                <m:t xml:space="preserve"> #</m:t>
              </m:r>
              <m:d>
                <m:dPr>
                  <m:ctrlPr>
                    <w:rPr>
                      <w:rFonts w:ascii="Cambria Math" w:hAnsi="Cambria Math"/>
                      <w:i/>
                      <w:lang w:val="en-US"/>
                    </w:rPr>
                  </m:ctrlPr>
                </m:dPr>
                <m:e>
                  <m:r>
                    <w:rPr>
                      <w:rFonts w:ascii="Cambria Math" w:hAnsi="Cambria Math"/>
                      <w:lang w:val="en-US"/>
                    </w:rPr>
                    <m:t>2.1</m:t>
                  </m:r>
                </m:e>
              </m:d>
            </m:e>
          </m:eqArr>
        </m:oMath>
      </m:oMathPara>
    </w:p>
    <w:p w14:paraId="3FF6932A" w14:textId="4A00FE5E" w:rsidR="00C52594" w:rsidRDefault="00BC1B92" w:rsidP="00C52594">
      <w:pPr>
        <w:rPr>
          <w:lang w:val="en-US"/>
        </w:rPr>
      </w:pPr>
      <w:r>
        <w:rPr>
          <w:rFonts w:eastAsiaTheme="minorEastAsia"/>
          <w:lang w:val="en-US"/>
        </w:rPr>
        <w:t xml:space="preserve">Where </w:t>
      </w:r>
      <w:r>
        <w:rPr>
          <w:rFonts w:eastAsiaTheme="minorEastAsia" w:cstheme="minorHAnsi"/>
          <w:lang w:val="en-US"/>
        </w:rPr>
        <w:t>µ</w:t>
      </w:r>
      <w:r>
        <w:rPr>
          <w:rFonts w:eastAsiaTheme="minorEastAsia"/>
          <w:lang w:val="en-US"/>
        </w:rPr>
        <w:t xml:space="preserve"> is the viscosity and </w:t>
      </w:r>
      <m:oMath>
        <m:sSub>
          <m:sSubPr>
            <m:ctrlPr>
              <w:rPr>
                <w:rFonts w:ascii="Cambria Math" w:hAnsi="Cambria Math"/>
                <w:i/>
                <w:lang w:val="en-US"/>
              </w:rPr>
            </m:ctrlPr>
          </m:sSubPr>
          <m:e>
            <m:r>
              <w:rPr>
                <w:rFonts w:ascii="Cambria Math" w:hAnsi="Cambria Math"/>
                <w:lang w:val="en-US"/>
              </w:rPr>
              <m:t>u</m:t>
            </m:r>
          </m:e>
          <m:sub>
            <m:r>
              <w:rPr>
                <w:rFonts w:ascii="Cambria Math" w:hAnsi="Cambria Math"/>
                <w:lang w:val="en-US"/>
              </w:rPr>
              <m:t>x</m:t>
            </m:r>
          </m:sub>
        </m:sSub>
      </m:oMath>
      <w:r>
        <w:rPr>
          <w:rFonts w:eastAsiaTheme="minorEastAsia"/>
          <w:lang w:val="en-US"/>
        </w:rPr>
        <w:t xml:space="preserve"> the velocity in the x direction. </w:t>
      </w:r>
      <w:r w:rsidR="00EE3550">
        <w:rPr>
          <w:lang w:val="en-US"/>
        </w:rPr>
        <w:t>Based on the Couette F</w:t>
      </w:r>
      <w:r w:rsidR="00C52594">
        <w:rPr>
          <w:lang w:val="en-US"/>
        </w:rPr>
        <w:t xml:space="preserve">low equation, </w:t>
      </w:r>
      <w:r>
        <w:rPr>
          <w:lang w:val="en-US"/>
        </w:rPr>
        <w:t>for constant viscosity, the heat production (Eq. 3) yields:</w:t>
      </w:r>
      <w:r w:rsidR="00C52594">
        <w:rPr>
          <w:lang w:val="en-US"/>
        </w:rPr>
        <w:t xml:space="preserve"> </w:t>
      </w:r>
    </w:p>
    <w:p w14:paraId="71789995" w14:textId="34823BB3" w:rsidR="00C52594" w:rsidRPr="00226A99" w:rsidRDefault="00D46348" w:rsidP="00C52594">
      <w:pPr>
        <w:rPr>
          <w:rFonts w:eastAsiaTheme="minorEastAsia"/>
          <w:lang w:val="en-US"/>
        </w:rPr>
      </w:pPr>
      <m:oMathPara>
        <m:oMath>
          <m:eqArr>
            <m:eqArrPr>
              <m:maxDist m:val="1"/>
              <m:ctrlPr>
                <w:rPr>
                  <w:rFonts w:ascii="Cambria Math" w:hAnsi="Cambria Math"/>
                  <w:i/>
                  <w:lang w:val="en-US"/>
                </w:rPr>
              </m:ctrlPr>
            </m:eqArrPr>
            <m:e>
              <m:acc>
                <m:accPr>
                  <m:chr m:val="̇"/>
                  <m:ctrlPr>
                    <w:rPr>
                      <w:rFonts w:ascii="Cambria Math" w:hAnsi="Cambria Math"/>
                      <w:i/>
                      <w:lang w:val="en-US"/>
                    </w:rPr>
                  </m:ctrlPr>
                </m:accPr>
                <m:e>
                  <m:r>
                    <w:rPr>
                      <w:rFonts w:ascii="Cambria Math" w:hAnsi="Cambria Math"/>
                      <w:lang w:val="en-US"/>
                    </w:rPr>
                    <m:t>E</m:t>
                  </m:r>
                </m:e>
              </m:acc>
              <m:r>
                <w:rPr>
                  <w:rFonts w:ascii="Cambria Math" w:hAnsi="Cambria Math"/>
                  <w:lang w:val="en-US"/>
                </w:rPr>
                <m:t>= τ .</m:t>
              </m:r>
              <m:acc>
                <m:accPr>
                  <m:chr m:val="̇"/>
                  <m:ctrlPr>
                    <w:rPr>
                      <w:rFonts w:ascii="Cambria Math" w:eastAsiaTheme="minorEastAsia" w:hAnsi="Cambria Math"/>
                      <w:i/>
                      <w:lang w:val="en-US"/>
                    </w:rPr>
                  </m:ctrlPr>
                </m:accPr>
                <m:e>
                  <m:r>
                    <w:rPr>
                      <w:rFonts w:ascii="Cambria Math" w:eastAsiaTheme="minorEastAsia" w:hAnsi="Cambria Math"/>
                      <w:lang w:val="en-US"/>
                    </w:rPr>
                    <m:t>ε</m:t>
                  </m:r>
                </m:e>
              </m:acc>
              <m:r>
                <w:rPr>
                  <w:rFonts w:ascii="Cambria Math" w:hAnsi="Cambria Math"/>
                  <w:lang w:val="en-US"/>
                </w:rPr>
                <m:t xml:space="preserve"> = τ</m:t>
              </m:r>
              <m:f>
                <m:fPr>
                  <m:ctrlPr>
                    <w:rPr>
                      <w:rFonts w:ascii="Cambria Math" w:hAnsi="Cambria Math"/>
                      <w:i/>
                      <w:lang w:val="en-US"/>
                    </w:rPr>
                  </m:ctrlPr>
                </m:fPr>
                <m:num>
                  <m:r>
                    <w:rPr>
                      <w:rFonts w:ascii="Cambria Math" w:hAnsi="Cambria Math"/>
                      <w:lang w:val="en-US"/>
                    </w:rPr>
                    <m:t>d</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u</m:t>
                          </m:r>
                        </m:e>
                        <m:sub>
                          <m:r>
                            <w:rPr>
                              <w:rFonts w:ascii="Cambria Math" w:hAnsi="Cambria Math"/>
                              <w:lang w:val="en-US"/>
                            </w:rPr>
                            <m:t>x</m:t>
                          </m:r>
                        </m:sub>
                      </m:sSub>
                    </m:e>
                  </m:d>
                </m:num>
                <m:den>
                  <m:r>
                    <w:rPr>
                      <w:rFonts w:ascii="Cambria Math" w:hAnsi="Cambria Math"/>
                      <w:lang w:val="en-US"/>
                    </w:rPr>
                    <m:t>dy</m:t>
                  </m:r>
                </m:den>
              </m:f>
              <m:r>
                <w:rPr>
                  <w:rFonts w:ascii="Cambria Math" w:hAnsi="Cambria Math"/>
                  <w:lang w:val="en-US"/>
                </w:rPr>
                <m:t xml:space="preserve">=μ </m:t>
              </m:r>
              <m:sSup>
                <m:sSupPr>
                  <m:ctrlPr>
                    <w:rPr>
                      <w:rFonts w:ascii="Cambria Math" w:hAnsi="Cambria Math"/>
                      <w:i/>
                      <w:lang w:val="en-US"/>
                    </w:rPr>
                  </m:ctrlPr>
                </m:sSupPr>
                <m:e>
                  <m:d>
                    <m:dPr>
                      <m:ctrlPr>
                        <w:rPr>
                          <w:rFonts w:ascii="Cambria Math" w:hAnsi="Cambria Math"/>
                          <w:i/>
                          <w:lang w:val="en-US"/>
                        </w:rPr>
                      </m:ctrlPr>
                    </m:dPr>
                    <m:e>
                      <m:f>
                        <m:fPr>
                          <m:ctrlPr>
                            <w:rPr>
                              <w:rFonts w:ascii="Cambria Math" w:hAnsi="Cambria Math"/>
                              <w:i/>
                              <w:lang w:val="en-US"/>
                            </w:rPr>
                          </m:ctrlPr>
                        </m:fPr>
                        <m:num>
                          <m:r>
                            <w:rPr>
                              <w:rFonts w:ascii="Cambria Math" w:hAnsi="Cambria Math"/>
                              <w:lang w:val="en-US"/>
                            </w:rPr>
                            <m:t>u</m:t>
                          </m:r>
                        </m:num>
                        <m:den>
                          <m:r>
                            <w:rPr>
                              <w:rFonts w:ascii="Cambria Math" w:hAnsi="Cambria Math"/>
                              <w:lang w:val="en-US"/>
                            </w:rPr>
                            <m:t>h</m:t>
                          </m:r>
                        </m:den>
                      </m:f>
                    </m:e>
                  </m:d>
                </m:e>
                <m:sup>
                  <m:r>
                    <w:rPr>
                      <w:rFonts w:ascii="Cambria Math" w:hAnsi="Cambria Math"/>
                      <w:lang w:val="en-US"/>
                    </w:rPr>
                    <m:t>2</m:t>
                  </m:r>
                </m:sup>
              </m:sSup>
              <m:r>
                <w:rPr>
                  <w:rFonts w:ascii="Cambria Math" w:hAnsi="Cambria Math"/>
                  <w:lang w:val="en-US"/>
                </w:rPr>
                <m:t>#</m:t>
              </m:r>
              <m:d>
                <m:dPr>
                  <m:ctrlPr>
                    <w:rPr>
                      <w:rFonts w:ascii="Cambria Math" w:hAnsi="Cambria Math"/>
                      <w:i/>
                      <w:lang w:val="en-US"/>
                    </w:rPr>
                  </m:ctrlPr>
                </m:dPr>
                <m:e>
                  <m:r>
                    <w:rPr>
                      <w:rFonts w:ascii="Cambria Math" w:hAnsi="Cambria Math"/>
                      <w:lang w:val="en-US"/>
                    </w:rPr>
                    <m:t>2.2</m:t>
                  </m:r>
                </m:e>
              </m:d>
            </m:e>
          </m:eqArr>
        </m:oMath>
      </m:oMathPara>
    </w:p>
    <w:p w14:paraId="7C88E91E" w14:textId="540E3640" w:rsidR="00D97CA4" w:rsidRDefault="00BC1B92" w:rsidP="00C52594">
      <w:pPr>
        <w:rPr>
          <w:rFonts w:eastAsiaTheme="minorEastAsia"/>
          <w:lang w:val="en-US"/>
        </w:rPr>
      </w:pPr>
      <w:r>
        <w:rPr>
          <w:rFonts w:eastAsiaTheme="minorEastAsia"/>
          <w:lang w:val="en-US"/>
        </w:rPr>
        <w:t>V</w:t>
      </w:r>
      <w:r w:rsidR="008D442A">
        <w:rPr>
          <w:rFonts w:eastAsiaTheme="minorEastAsia"/>
          <w:lang w:val="en-US"/>
        </w:rPr>
        <w:t xml:space="preserve">iscosity </w:t>
      </w:r>
      <w:r>
        <w:rPr>
          <w:rFonts w:eastAsiaTheme="minorEastAsia"/>
          <w:lang w:val="en-US"/>
        </w:rPr>
        <w:t>of melt for rocks similar to the Black Fault Rocks range</w:t>
      </w:r>
      <w:r w:rsidR="008D442A">
        <w:rPr>
          <w:rFonts w:eastAsiaTheme="minorEastAsia"/>
          <w:lang w:val="en-US"/>
        </w:rPr>
        <w:t xml:space="preserve"> between </w:t>
      </w:r>
      <w:r w:rsidR="00C52594">
        <w:rPr>
          <w:rFonts w:eastAsiaTheme="minorEastAsia"/>
          <w:lang w:val="en-US"/>
        </w:rPr>
        <w:t>10</w:t>
      </w:r>
      <w:r w:rsidR="00C52594" w:rsidRPr="00FE79EE">
        <w:rPr>
          <w:rFonts w:eastAsiaTheme="minorEastAsia"/>
          <w:vertAlign w:val="superscript"/>
          <w:lang w:val="en-US"/>
        </w:rPr>
        <w:t>0</w:t>
      </w:r>
      <w:r w:rsidR="00C52594">
        <w:rPr>
          <w:rFonts w:eastAsiaTheme="minorEastAsia"/>
          <w:lang w:val="en-US"/>
        </w:rPr>
        <w:t xml:space="preserve"> and 10</w:t>
      </w:r>
      <w:r w:rsidR="00C52594" w:rsidRPr="00FE79EE">
        <w:rPr>
          <w:rFonts w:eastAsiaTheme="minorEastAsia"/>
          <w:vertAlign w:val="superscript"/>
          <w:lang w:val="en-US"/>
        </w:rPr>
        <w:t>2</w:t>
      </w:r>
      <w:r w:rsidR="00D5601A">
        <w:rPr>
          <w:rFonts w:eastAsiaTheme="minorEastAsia"/>
          <w:lang w:val="en-US"/>
        </w:rPr>
        <w:t xml:space="preserve"> Pa.s</w:t>
      </w:r>
      <w:r w:rsidR="00C35D01">
        <w:rPr>
          <w:rFonts w:eastAsiaTheme="minorEastAsia"/>
          <w:lang w:val="en-US"/>
        </w:rPr>
        <w:fldChar w:fldCharType="begin"/>
      </w:r>
      <w:r w:rsidR="00BD095E">
        <w:rPr>
          <w:rFonts w:eastAsiaTheme="minorEastAsia"/>
          <w:lang w:val="en-US"/>
        </w:rPr>
        <w:instrText xml:space="preserve"> ADDIN ZOTERO_ITEM CSL_CITATION {"citationID":"latpm84U","properties":{"formattedCitation":"\\super 9\\nosupersub{}","plainCitation":"9","noteIndex":0},"citationItems":[{"id":315,"uris":["http://zotero.org/users/5712877/items/QRAJHXDG"],"uri":["http://zotero.org/users/5712877/items/QRAJHXDG"],"itemData":{"id":315,"type":"article-journal","title":"Pseudotachylytes in an ancient accretionary complex and implications for melt lubrication during subduction zone earthquakes","container-title":"Journal of Structural Geology","page":"599-613","volume":"29","issue":"4","source":"Crossref","abstract":"Pseudotachylyte-bearing fault zones, found in the Shimanto accretionary complex, southwest Japan, developed during subduction or underplating at seismogenic depths. The pseudotachylytes occur in narrow dark veins less than a few millimeters thick that are sharply bounded by foliated cataclasites that originated from a me´lange. The microstructures of pseudotachylytes are represented by a fragment-laden, glasssupported texture resulting from the rapid cooling of the frictional melt. Transmission electron microscopy reveals the presence of glass in which euhedral microcrystals of mullite are locally developed. The compositions of the pseudotachylyte matrix and the characteristics of the unmelted grains and microlites in the matrix suggest that frictional melting occurred in an illite-rich slip zone with a minimum melting temperature of 1100 \u0014C. The viscosities of the frictional melt were calculated from the pseudotachylyte matrix composition as well as from the volume fraction and aspect ratio of the unmelted grains. The viscosities at 1100 \u0014C range from 85 to 290 Pa s, and the corresponding shear resistance along a 1-mm-thick melt layer at a slip rate of 1 m/s was 0.1e0.3 MPa. The formation of a melt layer in an illite-rich slip zone can possibly induce large stress drops, increase the slip rate and enhance rupture propagation, which together could affect the earthquake magnitude in a subduction zone. Ó 2006 Elsevier Ltd. All rights reserved.","DOI":"10.1016/j.jsg.2006.10.012","ISSN":"01918141","language":"en","author":[{"family":"Ujiie","given":"Kohtaro"},{"family":"Yamaguchi","given":"Haruka"},{"family":"Sakaguchi","given":"Arito"},{"family":"Toh","given":"Shoichi"}],"issued":{"date-parts":[["2007",4]]}}}],"schema":"https://github.com/citation-style-language/schema/raw/master/csl-citation.json"} </w:instrText>
      </w:r>
      <w:r w:rsidR="00C35D01">
        <w:rPr>
          <w:rFonts w:eastAsiaTheme="minorEastAsia"/>
          <w:lang w:val="en-US"/>
        </w:rPr>
        <w:fldChar w:fldCharType="separate"/>
      </w:r>
      <w:r w:rsidR="00BD095E" w:rsidRPr="00BD095E">
        <w:rPr>
          <w:rFonts w:cs="Times New Roman"/>
          <w:szCs w:val="24"/>
          <w:vertAlign w:val="superscript"/>
          <w:lang w:val="en-US"/>
        </w:rPr>
        <w:t>9</w:t>
      </w:r>
      <w:r w:rsidR="00C35D01">
        <w:rPr>
          <w:rFonts w:eastAsiaTheme="minorEastAsia"/>
          <w:lang w:val="en-US"/>
        </w:rPr>
        <w:fldChar w:fldCharType="end"/>
      </w:r>
      <w:r w:rsidR="00D5601A">
        <w:rPr>
          <w:rFonts w:eastAsiaTheme="minorEastAsia"/>
          <w:lang w:val="en-US"/>
        </w:rPr>
        <w:t xml:space="preserve">. </w:t>
      </w:r>
      <w:r w:rsidR="008D442A">
        <w:rPr>
          <w:rFonts w:eastAsiaTheme="minorEastAsia"/>
          <w:lang w:val="en-US"/>
        </w:rPr>
        <w:t xml:space="preserve"> </w:t>
      </w:r>
      <w:r w:rsidR="00C52594">
        <w:rPr>
          <w:rFonts w:eastAsiaTheme="minorEastAsia"/>
          <w:lang w:val="en-US"/>
        </w:rPr>
        <w:t>The main factor</w:t>
      </w:r>
      <w:r>
        <w:rPr>
          <w:rFonts w:eastAsiaTheme="minorEastAsia"/>
          <w:lang w:val="en-US"/>
        </w:rPr>
        <w:t xml:space="preserve"> that</w:t>
      </w:r>
      <w:r w:rsidR="00C52594">
        <w:rPr>
          <w:rFonts w:eastAsiaTheme="minorEastAsia"/>
          <w:lang w:val="en-US"/>
        </w:rPr>
        <w:t xml:space="preserve"> </w:t>
      </w:r>
      <w:r w:rsidR="008D442A">
        <w:rPr>
          <w:rFonts w:eastAsiaTheme="minorEastAsia"/>
          <w:lang w:val="en-US"/>
        </w:rPr>
        <w:t>controls</w:t>
      </w:r>
      <w:r w:rsidR="00C52594">
        <w:rPr>
          <w:rFonts w:eastAsiaTheme="minorEastAsia"/>
          <w:lang w:val="en-US"/>
        </w:rPr>
        <w:t xml:space="preserve"> th</w:t>
      </w:r>
      <w:r>
        <w:rPr>
          <w:rFonts w:eastAsiaTheme="minorEastAsia"/>
          <w:lang w:val="en-US"/>
        </w:rPr>
        <w:t>e</w:t>
      </w:r>
      <w:r w:rsidR="00C52594">
        <w:rPr>
          <w:rFonts w:eastAsiaTheme="minorEastAsia"/>
          <w:lang w:val="en-US"/>
        </w:rPr>
        <w:t xml:space="preserve"> amount of </w:t>
      </w:r>
      <w:r>
        <w:rPr>
          <w:rFonts w:eastAsiaTheme="minorEastAsia"/>
          <w:lang w:val="en-US"/>
        </w:rPr>
        <w:t xml:space="preserve">heat production </w:t>
      </w:r>
      <w:r w:rsidR="00C52594">
        <w:rPr>
          <w:rFonts w:eastAsiaTheme="minorEastAsia"/>
          <w:lang w:val="en-US"/>
        </w:rPr>
        <w:t>is the slip velocity</w:t>
      </w:r>
      <w:r w:rsidR="008D442A">
        <w:rPr>
          <w:rFonts w:eastAsiaTheme="minorEastAsia"/>
          <w:lang w:val="en-US"/>
        </w:rPr>
        <w:t xml:space="preserve">. </w:t>
      </w:r>
      <w:r>
        <w:rPr>
          <w:rFonts w:eastAsiaTheme="minorEastAsia"/>
          <w:lang w:val="en-US"/>
        </w:rPr>
        <w:t>Estimates</w:t>
      </w:r>
      <w:r w:rsidR="00C52594">
        <w:rPr>
          <w:rFonts w:eastAsiaTheme="minorEastAsia"/>
          <w:lang w:val="en-US"/>
        </w:rPr>
        <w:t xml:space="preserve"> </w:t>
      </w:r>
      <w:r>
        <w:rPr>
          <w:rFonts w:eastAsiaTheme="minorEastAsia"/>
          <w:lang w:val="en-US"/>
        </w:rPr>
        <w:t>for important earthquake</w:t>
      </w:r>
      <w:r>
        <w:rPr>
          <w:rFonts w:eastAsiaTheme="minorEastAsia"/>
          <w:lang w:val="en-US"/>
        </w:rPr>
        <w:fldChar w:fldCharType="begin"/>
      </w:r>
      <w:r w:rsidR="00BD095E">
        <w:rPr>
          <w:rFonts w:eastAsiaTheme="minorEastAsia"/>
          <w:lang w:val="en-US"/>
        </w:rPr>
        <w:instrText xml:space="preserve"> ADDIN ZOTERO_ITEM CSL_CITATION {"citationID":"YxbTxnLs","properties":{"formattedCitation":"\\super 1,3,4\\nosupersub{}","plainCitation":"1,3,4","noteIndex":0},"citationItems":[{"id":402,"uris":["http://zotero.org/users/5712877/items/B8SSYN44"],"uri":["http://zotero.org/users/5712877/items/B8SSYN44"],"itemData":{"id":402,"type":"book","title":"The Mechanics of Earthquakes and Faulting","publisher":"Cambridge University Press","number-of-pages":"439","edition":"1st edition","URL":"doi:10.1017/CBO9780511818516","author":[{"family":"Scholz","given":"Christopher"}],"issued":{"date-parts":[["1990"]]}}},{"id":420,"uris":["http://zotero.org/users/5712877/items/BBUHAZWG"],"uri":["http://zotero.org/users/5712877/items/BBUHAZWG"],"itemData":{"id":420,"type":"article-journal","title":"Friction falls towards zero in quartz rock as slip velocity approaches seismic rates","container-title":"Nature","page":"436-439","volume":"427","issue":"6973","source":"Crossref","DOI":"10.1038/nature02249","ISSN":"0028-0836, 1476-4687","language":"en","author":[{"family":"Di Toro","given":"Giulio"},{"family":"Goldsby","given":"David L."},{"family":"Tullis","given":"Terry E."}],"issued":{"date-parts":[["2004",1]]}}},{"id":417,"uris":["http://zotero.org/users/5712877/items/ZRKJHNAK"],"uri":["http://zotero.org/users/5712877/items/ZRKJHNAK"],"itemData":{"id":417,"type":"article-journal","title":"Fault lubrication during earthquakes","container-title":"Nature","page":"494-498","volume":"471","issue":"7339","source":"Crossref","DOI":"10.1038/nature09838","ISSN":"0028-0836, 1476-4687","language":"en","author":[{"family":"Di Toro","given":"G."},{"family":"Han","given":"R."},{"family":"Hirose","given":"T."},{"family":"De Paola","given":"N."},{"family":"Nielsen","given":"S."},{"family":"Mizoguchi","given":"K."},{"family":"Ferri","given":"F."},{"family":"Cocco","given":"M."},{"family":"Shimamoto","given":"T."}],"issued":{"date-parts":[["2011",3]]}}}],"schema":"https://github.com/citation-style-language/schema/raw/master/csl-citation.json"} </w:instrText>
      </w:r>
      <w:r>
        <w:rPr>
          <w:rFonts w:eastAsiaTheme="minorEastAsia"/>
          <w:lang w:val="en-US"/>
        </w:rPr>
        <w:fldChar w:fldCharType="separate"/>
      </w:r>
      <w:r w:rsidR="00BD095E" w:rsidRPr="00BD095E">
        <w:rPr>
          <w:rFonts w:cs="Times New Roman"/>
          <w:szCs w:val="24"/>
          <w:vertAlign w:val="superscript"/>
          <w:lang w:val="en-US"/>
        </w:rPr>
        <w:t>1,3,4</w:t>
      </w:r>
      <w:r>
        <w:rPr>
          <w:rFonts w:eastAsiaTheme="minorEastAsia"/>
          <w:lang w:val="en-US"/>
        </w:rPr>
        <w:fldChar w:fldCharType="end"/>
      </w:r>
      <w:r w:rsidR="00C35D01">
        <w:rPr>
          <w:rFonts w:eastAsiaTheme="minorEastAsia"/>
          <w:lang w:val="en-US"/>
        </w:rPr>
        <w:t xml:space="preserve"> </w:t>
      </w:r>
      <w:r w:rsidR="0071028B">
        <w:rPr>
          <w:rFonts w:eastAsiaTheme="minorEastAsia"/>
          <w:lang w:val="en-US"/>
        </w:rPr>
        <w:t>(M&gt;5</w:t>
      </w:r>
      <w:r w:rsidR="004C4797">
        <w:rPr>
          <w:rFonts w:eastAsiaTheme="minorEastAsia"/>
          <w:lang w:val="en-US"/>
        </w:rPr>
        <w:t xml:space="preserve">) </w:t>
      </w:r>
      <w:r w:rsidR="00C52594">
        <w:rPr>
          <w:rFonts w:eastAsiaTheme="minorEastAsia"/>
          <w:lang w:val="en-US"/>
        </w:rPr>
        <w:t>gave slip rate between 1 and 3 m/s</w:t>
      </w:r>
      <w:r w:rsidR="003F1EC7">
        <w:rPr>
          <w:rFonts w:eastAsiaTheme="minorEastAsia"/>
          <w:lang w:val="en-US"/>
        </w:rPr>
        <w:t xml:space="preserve">. </w:t>
      </w:r>
      <w:r w:rsidR="0011120A">
        <w:rPr>
          <w:rFonts w:eastAsiaTheme="minorEastAsia"/>
          <w:lang w:val="en-US"/>
        </w:rPr>
        <w:t>For example</w:t>
      </w:r>
      <w:r>
        <w:rPr>
          <w:rFonts w:eastAsiaTheme="minorEastAsia"/>
          <w:lang w:val="en-US"/>
        </w:rPr>
        <w:t>,</w:t>
      </w:r>
      <w:r w:rsidR="0011120A">
        <w:rPr>
          <w:rFonts w:eastAsiaTheme="minorEastAsia"/>
          <w:lang w:val="en-US"/>
        </w:rPr>
        <w:t xml:space="preserve"> </w:t>
      </w:r>
      <w:r>
        <w:rPr>
          <w:rFonts w:eastAsiaTheme="minorEastAsia"/>
          <w:lang w:val="en-US"/>
        </w:rPr>
        <w:t xml:space="preserve">during </w:t>
      </w:r>
      <w:r w:rsidR="0011120A">
        <w:rPr>
          <w:rFonts w:eastAsiaTheme="minorEastAsia"/>
          <w:lang w:val="en-US"/>
        </w:rPr>
        <w:t xml:space="preserve">the </w:t>
      </w:r>
      <w:r>
        <w:rPr>
          <w:rFonts w:eastAsiaTheme="minorEastAsia"/>
          <w:lang w:val="en-US"/>
        </w:rPr>
        <w:lastRenderedPageBreak/>
        <w:t>mega-</w:t>
      </w:r>
      <w:r w:rsidR="0011120A">
        <w:rPr>
          <w:rFonts w:eastAsiaTheme="minorEastAsia"/>
          <w:lang w:val="en-US"/>
        </w:rPr>
        <w:t>earthquake of Tohoku Oki</w:t>
      </w:r>
      <w:r w:rsidR="00331DA9">
        <w:rPr>
          <w:rFonts w:eastAsiaTheme="minorEastAsia"/>
          <w:lang w:val="en-US"/>
        </w:rPr>
        <w:t>, the maximum estimated slip rate was about 2.5 m/s</w:t>
      </w:r>
      <w:r w:rsidR="009E09CB">
        <w:rPr>
          <w:rFonts w:eastAsiaTheme="minorEastAsia"/>
          <w:lang w:val="en-US"/>
        </w:rPr>
        <w:fldChar w:fldCharType="begin"/>
      </w:r>
      <w:r w:rsidR="00DD6B14">
        <w:rPr>
          <w:rFonts w:eastAsiaTheme="minorEastAsia"/>
          <w:lang w:val="en-US"/>
        </w:rPr>
        <w:instrText xml:space="preserve"> ADDIN ZOTERO_ITEM CSL_CITATION {"citationID":"SZKs2dC2","properties":{"formattedCitation":"\\super 14\\nosupersub{}","plainCitation":"14","noteIndex":0},"citationItems":[{"id":430,"uris":["http://zotero.org/users/5712877/items/Y68MANAU"],"uri":["http://zotero.org/users/5712877/items/Y68MANAU"],"itemData":{"id":430,"type":"article-journal","title":"Sources of shaking and flooding during the Tohoku-Oki earthquake: A mixture of rupture styles","container-title":"Earth and Planetary Science Letters","page":"91-100","volume":"333-334","source":"Crossref","abstract":"Modeling strong ground motions from great subduction zone earthquakes is one of the great challenges of computational seismology. To separate the rupture characteristics from complexities caused by 3D sub-surface geology requires an extraordinary data set such as provided by the recent Mw9.0 TohokuOki earthquake. Here we combine deterministic inversion and dynamically guided forward simulation methods to model over one thousand high-rate GPS and strong motion observations from 0 to 0.25 Hz across the entire Honshu Island. Our results display distinct styles of rupture with a deeper generic interplate event ( $ Mw8.5) transitioning to a shallow tsunamigenic earthquake ($ Mw9.0) at about 25 km depth in a process driven by a strong dynamic weakening mechanism, possibly thermal pressurization. This source model predicts many important features of the broad set of seismic, geodetic and seaﬂoor observations providing a major advance in our understanding of such great natural hazards.","DOI":"10.1016/j.epsl.2012.04.006","ISSN":"0012821X","title-short":"Sources of shaking and flooding during the Tohoku-Oki earthquake","language":"en","author":[{"family":"Wei","given":"Shengji"},{"family":"Graves","given":"Robert"},{"family":"Helmberger","given":"Don"},{"family":"Avouac","given":"Jean-Philippe"},{"family":"Jiang","given":"Junle"}],"issued":{"date-parts":[["2012",6]]}}}],"schema":"https://github.com/citation-style-language/schema/raw/master/csl-citation.json"} </w:instrText>
      </w:r>
      <w:r w:rsidR="009E09CB">
        <w:rPr>
          <w:rFonts w:eastAsiaTheme="minorEastAsia"/>
          <w:lang w:val="en-US"/>
        </w:rPr>
        <w:fldChar w:fldCharType="separate"/>
      </w:r>
      <w:r w:rsidR="00DD6B14" w:rsidRPr="00DD6B14">
        <w:rPr>
          <w:rFonts w:cs="Times New Roman"/>
          <w:szCs w:val="24"/>
          <w:vertAlign w:val="superscript"/>
          <w:lang w:val="en-US"/>
        </w:rPr>
        <w:t>14</w:t>
      </w:r>
      <w:r w:rsidR="009E09CB">
        <w:rPr>
          <w:rFonts w:eastAsiaTheme="minorEastAsia"/>
          <w:lang w:val="en-US"/>
        </w:rPr>
        <w:fldChar w:fldCharType="end"/>
      </w:r>
      <w:r w:rsidR="00331DA9">
        <w:rPr>
          <w:rFonts w:eastAsiaTheme="minorEastAsia"/>
          <w:lang w:val="en-US"/>
        </w:rPr>
        <w:t>.</w:t>
      </w:r>
      <w:r w:rsidR="0011120A">
        <w:rPr>
          <w:rFonts w:eastAsiaTheme="minorEastAsia"/>
          <w:lang w:val="en-US"/>
        </w:rPr>
        <w:t xml:space="preserve"> </w:t>
      </w:r>
      <w:r w:rsidR="007572D1">
        <w:rPr>
          <w:rFonts w:eastAsiaTheme="minorEastAsia"/>
          <w:lang w:val="en-US"/>
        </w:rPr>
        <w:t>T</w:t>
      </w:r>
      <w:r w:rsidR="00C52594">
        <w:rPr>
          <w:rFonts w:eastAsiaTheme="minorEastAsia"/>
          <w:lang w:val="en-US"/>
        </w:rPr>
        <w:t>here is a correlation between the slip rate and the size of the fault</w:t>
      </w:r>
      <w:r w:rsidR="007572D1">
        <w:rPr>
          <w:rFonts w:eastAsiaTheme="minorEastAsia"/>
          <w:lang w:val="en-US"/>
        </w:rPr>
        <w:fldChar w:fldCharType="begin"/>
      </w:r>
      <w:r w:rsidR="00DD6B14">
        <w:rPr>
          <w:rFonts w:eastAsiaTheme="minorEastAsia"/>
          <w:lang w:val="en-US"/>
        </w:rPr>
        <w:instrText xml:space="preserve"> ADDIN ZOTERO_ITEM CSL_CITATION {"citationID":"EQa8jVYL","properties":{"formattedCitation":"\\super 15\\nosupersub{}","plainCitation":"15","noteIndex":0},"citationItems":[{"id":440,"uris":["http://zotero.org/users/5712877/items/49USIB5K"],"uri":["http://zotero.org/users/5712877/items/49USIB5K"],"itemData":{"id":440,"type":"chapter","title":"Microscopic and macroscopic physics of earthquakes","container-title":"Geophysical Monograph Series","publisher":"American Geophysical Union","publisher-place":"Washington, D. C.","page":"147-163","volume":"120","source":"Crossref","event-place":"Washington, D. C.","URL":"http://www.agu.org/books/gm/v120/GM120p0147/GM120p0147.shtml","ISBN":"978-0-87590-978-3","note":"DOI: 10.1029/GM120p0147","language":"en","editor":[{"family":"Rundle","given":"John B."},{"family":"Turcotte","given":"Donald L."},{"family":"Klein","given":"William"}],"author":[{"family":"Kanamori","given":"Hiroo"},{"family":"Heaton","given":"Thomas H."}],"issued":{"date-parts":[["2000"]]},"accessed":{"date-parts":[["2020",10,6]]}}}],"schema":"https://github.com/citation-style-language/schema/raw/master/csl-citation.json"} </w:instrText>
      </w:r>
      <w:r w:rsidR="007572D1">
        <w:rPr>
          <w:rFonts w:eastAsiaTheme="minorEastAsia"/>
          <w:lang w:val="en-US"/>
        </w:rPr>
        <w:fldChar w:fldCharType="separate"/>
      </w:r>
      <w:r w:rsidR="00DD6B14" w:rsidRPr="00DD6B14">
        <w:rPr>
          <w:rFonts w:cs="Times New Roman"/>
          <w:szCs w:val="24"/>
          <w:vertAlign w:val="superscript"/>
          <w:lang w:val="en-US"/>
        </w:rPr>
        <w:t>15</w:t>
      </w:r>
      <w:r w:rsidR="007572D1">
        <w:rPr>
          <w:rFonts w:eastAsiaTheme="minorEastAsia"/>
          <w:lang w:val="en-US"/>
        </w:rPr>
        <w:fldChar w:fldCharType="end"/>
      </w:r>
      <w:r w:rsidR="00C52594">
        <w:rPr>
          <w:rFonts w:eastAsiaTheme="minorEastAsia"/>
          <w:lang w:val="en-US"/>
        </w:rPr>
        <w:t>. Fault zone</w:t>
      </w:r>
      <w:r w:rsidR="00D97CA4">
        <w:rPr>
          <w:rFonts w:eastAsiaTheme="minorEastAsia"/>
          <w:lang w:val="en-US"/>
        </w:rPr>
        <w:t>s</w:t>
      </w:r>
      <w:r w:rsidR="00C52594">
        <w:rPr>
          <w:rFonts w:eastAsiaTheme="minorEastAsia"/>
          <w:lang w:val="en-US"/>
        </w:rPr>
        <w:t xml:space="preserve"> where </w:t>
      </w:r>
      <w:r w:rsidR="008C4EAF">
        <w:rPr>
          <w:rFonts w:eastAsiaTheme="minorEastAsia"/>
          <w:lang w:val="en-US"/>
        </w:rPr>
        <w:t>Black Fault Rocks</w:t>
      </w:r>
      <w:r w:rsidR="00C52594">
        <w:rPr>
          <w:rFonts w:eastAsiaTheme="minorEastAsia"/>
          <w:lang w:val="en-US"/>
        </w:rPr>
        <w:t xml:space="preserve"> are described in the accretionary prism</w:t>
      </w:r>
      <w:r w:rsidR="008D442A">
        <w:rPr>
          <w:rFonts w:eastAsiaTheme="minorEastAsia"/>
          <w:lang w:val="en-US"/>
        </w:rPr>
        <w:t>s</w:t>
      </w:r>
      <w:r w:rsidR="00C52594">
        <w:rPr>
          <w:rFonts w:eastAsiaTheme="minorEastAsia"/>
          <w:lang w:val="en-US"/>
        </w:rPr>
        <w:t xml:space="preserve"> are</w:t>
      </w:r>
      <w:r w:rsidR="00D97CA4" w:rsidRPr="00D97CA4">
        <w:rPr>
          <w:rFonts w:eastAsiaTheme="minorEastAsia"/>
          <w:lang w:val="en-US"/>
        </w:rPr>
        <w:t xml:space="preserve"> </w:t>
      </w:r>
      <w:r w:rsidR="00D97CA4">
        <w:rPr>
          <w:rFonts w:eastAsiaTheme="minorEastAsia"/>
          <w:lang w:val="en-US"/>
        </w:rPr>
        <w:t xml:space="preserve">structures internal to tectonic units, without major gap </w:t>
      </w:r>
      <w:r w:rsidR="00E53BBC">
        <w:rPr>
          <w:rFonts w:eastAsiaTheme="minorEastAsia"/>
          <w:lang w:val="en-US"/>
        </w:rPr>
        <w:t xml:space="preserve">either </w:t>
      </w:r>
      <w:r w:rsidR="00D97CA4">
        <w:rPr>
          <w:rFonts w:eastAsiaTheme="minorEastAsia"/>
          <w:lang w:val="en-US"/>
        </w:rPr>
        <w:t xml:space="preserve">in </w:t>
      </w:r>
      <w:r w:rsidR="00E53BBC">
        <w:rPr>
          <w:rFonts w:eastAsiaTheme="minorEastAsia"/>
          <w:lang w:val="en-US"/>
        </w:rPr>
        <w:t xml:space="preserve">the stratigraphic </w:t>
      </w:r>
      <w:r w:rsidR="00D97CA4">
        <w:rPr>
          <w:rFonts w:eastAsiaTheme="minorEastAsia"/>
          <w:lang w:val="en-US"/>
        </w:rPr>
        <w:t>age</w:t>
      </w:r>
      <w:r w:rsidR="00E53BBC">
        <w:rPr>
          <w:rFonts w:eastAsiaTheme="minorEastAsia"/>
          <w:lang w:val="en-US"/>
        </w:rPr>
        <w:t>s</w:t>
      </w:r>
      <w:r w:rsidR="00D97CA4">
        <w:rPr>
          <w:rFonts w:eastAsiaTheme="minorEastAsia"/>
          <w:lang w:val="en-US"/>
        </w:rPr>
        <w:t xml:space="preserve"> </w:t>
      </w:r>
      <w:r w:rsidR="00E53BBC">
        <w:rPr>
          <w:rFonts w:eastAsiaTheme="minorEastAsia"/>
          <w:lang w:val="en-US"/>
        </w:rPr>
        <w:t xml:space="preserve">or in </w:t>
      </w:r>
      <w:r w:rsidR="00D97CA4">
        <w:rPr>
          <w:rFonts w:eastAsiaTheme="minorEastAsia"/>
          <w:lang w:val="en-US"/>
        </w:rPr>
        <w:t>paleotemperature</w:t>
      </w:r>
      <w:r w:rsidR="00E53BBC">
        <w:rPr>
          <w:rFonts w:eastAsiaTheme="minorEastAsia"/>
          <w:lang w:val="en-US"/>
        </w:rPr>
        <w:t>s</w:t>
      </w:r>
      <w:r w:rsidR="00D97CA4">
        <w:rPr>
          <w:rFonts w:eastAsiaTheme="minorEastAsia"/>
          <w:lang w:val="en-US"/>
        </w:rPr>
        <w:t>.</w:t>
      </w:r>
      <w:r w:rsidR="001859CB">
        <w:rPr>
          <w:rFonts w:eastAsiaTheme="minorEastAsia"/>
          <w:lang w:val="en-US"/>
        </w:rPr>
        <w:t xml:space="preserve"> For the Nobeoka Black Fault Rock, the sample comes from a second-order slip plane below the main slip plane of the Nobeoka Tectonic Line.</w:t>
      </w:r>
      <w:r w:rsidR="00D97CA4">
        <w:rPr>
          <w:rFonts w:eastAsiaTheme="minorEastAsia"/>
          <w:lang w:val="en-US"/>
        </w:rPr>
        <w:t xml:space="preserve"> As a consequence, these faults are second-order structures, with much lower slip rate than earthquakes on major, plate-boundary faults, such as 2011 Tohoku-Oki earthquakes.</w:t>
      </w:r>
    </w:p>
    <w:p w14:paraId="747F3A7D" w14:textId="2D10A30D" w:rsidR="007572D1" w:rsidRDefault="00C52594" w:rsidP="00C52594">
      <w:pPr>
        <w:rPr>
          <w:rFonts w:eastAsiaTheme="minorEastAsia"/>
          <w:lang w:val="en-US"/>
        </w:rPr>
      </w:pPr>
      <w:r>
        <w:rPr>
          <w:rFonts w:eastAsiaTheme="minorEastAsia"/>
          <w:lang w:val="en-US"/>
        </w:rPr>
        <w:t>In add</w:t>
      </w:r>
      <w:r w:rsidR="008D442A">
        <w:rPr>
          <w:rFonts w:eastAsiaTheme="minorEastAsia"/>
          <w:lang w:val="en-US"/>
        </w:rPr>
        <w:t>ition, melt is occurring from 0.</w:t>
      </w:r>
      <w:r>
        <w:rPr>
          <w:rFonts w:eastAsiaTheme="minorEastAsia"/>
          <w:lang w:val="en-US"/>
        </w:rPr>
        <w:t>1m/s based on natural example</w:t>
      </w:r>
      <w:r w:rsidR="003F1EC7">
        <w:rPr>
          <w:rFonts w:eastAsiaTheme="minorEastAsia"/>
          <w:lang w:val="en-US"/>
        </w:rPr>
        <w:fldChar w:fldCharType="begin"/>
      </w:r>
      <w:r w:rsidR="00DD6B14">
        <w:rPr>
          <w:rFonts w:eastAsiaTheme="minorEastAsia"/>
          <w:lang w:val="en-US"/>
        </w:rPr>
        <w:instrText xml:space="preserve"> ADDIN ZOTERO_ITEM CSL_CITATION {"citationID":"GJXj2oiA","properties":{"formattedCitation":"\\super 16\\nosupersub{}","plainCitation":"16","noteIndex":0},"citationItems":[{"id":263,"uris":["http://zotero.org/users/5712877/items/ECBHGW5D"],"uri":["http://zotero.org/users/5712877/items/ECBHGW5D"],"itemData":{"id":263,"type":"article-journal","title":"Generation of Pseudotachylyte by Ancient Seismic Faulting","container-title":"Geophysical Journal International","page":"775-794","volume":"43","issue":"3","source":"Crossref","DOI":"10.1111/j.1365-246X.1975.tb06195.x","ISSN":"0956-540X, 1365-246X","language":"en","author":[{"family":"Sibson","given":"Richard H."}],"issued":{"date-parts":[["1975",12]]}}}],"schema":"https://github.com/citation-style-language/schema/raw/master/csl-citation.json"} </w:instrText>
      </w:r>
      <w:r w:rsidR="003F1EC7">
        <w:rPr>
          <w:rFonts w:eastAsiaTheme="minorEastAsia"/>
          <w:lang w:val="en-US"/>
        </w:rPr>
        <w:fldChar w:fldCharType="separate"/>
      </w:r>
      <w:r w:rsidR="00DD6B14" w:rsidRPr="00DD6B14">
        <w:rPr>
          <w:rFonts w:cs="Times New Roman"/>
          <w:szCs w:val="24"/>
          <w:vertAlign w:val="superscript"/>
          <w:lang w:val="en-US"/>
        </w:rPr>
        <w:t>16</w:t>
      </w:r>
      <w:r w:rsidR="003F1EC7">
        <w:rPr>
          <w:rFonts w:eastAsiaTheme="minorEastAsia"/>
          <w:lang w:val="en-US"/>
        </w:rPr>
        <w:fldChar w:fldCharType="end"/>
      </w:r>
      <w:r w:rsidR="003F1EC7">
        <w:rPr>
          <w:rFonts w:eastAsiaTheme="minorEastAsia"/>
          <w:lang w:val="en-US"/>
        </w:rPr>
        <w:t xml:space="preserve"> </w:t>
      </w:r>
      <w:r w:rsidR="00B94C92">
        <w:rPr>
          <w:rFonts w:eastAsiaTheme="minorEastAsia"/>
          <w:lang w:val="en-US"/>
        </w:rPr>
        <w:t>and from 0.</w:t>
      </w:r>
      <w:r>
        <w:rPr>
          <w:rFonts w:eastAsiaTheme="minorEastAsia"/>
          <w:lang w:val="en-US"/>
        </w:rPr>
        <w:t>4m/s on experimental example</w:t>
      </w:r>
      <w:r w:rsidR="00B94C92">
        <w:rPr>
          <w:rFonts w:eastAsiaTheme="minorEastAsia"/>
          <w:lang w:val="en-US"/>
        </w:rPr>
        <w:t>s</w:t>
      </w:r>
      <w:r w:rsidR="003F1EC7">
        <w:rPr>
          <w:rFonts w:eastAsiaTheme="minorEastAsia"/>
          <w:lang w:val="en-US"/>
        </w:rPr>
        <w:fldChar w:fldCharType="begin"/>
      </w:r>
      <w:r w:rsidR="00DD6B14">
        <w:rPr>
          <w:rFonts w:eastAsiaTheme="minorEastAsia"/>
          <w:lang w:val="en-US"/>
        </w:rPr>
        <w:instrText xml:space="preserve"> ADDIN ZOTERO_ITEM CSL_CITATION {"citationID":"j2nPqIbI","properties":{"formattedCitation":"\\super 17\\nosupersub{}","plainCitation":"17","noteIndex":0},"citationItems":[{"id":424,"uris":["http://zotero.org/users/5712877/items/E5E3CXBP"],"uri":["http://zotero.org/users/5712877/items/E5E3CXBP"],"itemData":{"id":424,"type":"article-journal","title":"High-velocity frictional properties of gabbro","container-title":"Geophysical Research Letters","page":"699-702","volume":"24","issue":"6","source":"Crossref","abstract":"High-velocity friction experim~ts have been performed on a pair of hollow-cylindrical specimens of gabbro initially at room temperature, at slip rates fr6rn 7.5 mm/s to l.8 mis, with total circumferential displacements of 125 to 174 m, and a-t normal stresses to 5 tv1Pa, using a rotary-shear high-speed friction testing machine. Steady-state friction increases slightly with increasing slip rate at slip rates to about J00 mm/s (velocity strengthening) and it decreases markedly . with increasing slip rate at higher velocities (velocity weakening). Steady-state friction in the velocity weakening regime is lower for the non-melting case than the frictional melting case, due perhaps to severe thermal fracturing. A very large peak friction is always recognized upon the initiation of visible frictional melting, presumably owing to the welding of fault surfaces upon the solidification of melt patches. Frictional properties thus change dramatically with increasing displacement at high velocities, and such a non-linear effect must be incorporated into the analysis of earthquake initiation processes.","DOI":"10.1029/97GL00503","ISSN":"00948276","language":"en","author":[{"family":"Tsutsumi","given":"Akito"},{"family":"Shimamoto","given":"Toshihiko"}],"issued":{"date-parts":[["1997",3,15]]}}}],"schema":"https://github.com/citation-style-language/schema/raw/master/csl-citation.json"} </w:instrText>
      </w:r>
      <w:r w:rsidR="003F1EC7">
        <w:rPr>
          <w:rFonts w:eastAsiaTheme="minorEastAsia"/>
          <w:lang w:val="en-US"/>
        </w:rPr>
        <w:fldChar w:fldCharType="separate"/>
      </w:r>
      <w:r w:rsidR="00DD6B14" w:rsidRPr="00DD6B14">
        <w:rPr>
          <w:rFonts w:cs="Times New Roman"/>
          <w:szCs w:val="24"/>
          <w:vertAlign w:val="superscript"/>
          <w:lang w:val="en-US"/>
        </w:rPr>
        <w:t>17</w:t>
      </w:r>
      <w:r w:rsidR="003F1EC7">
        <w:rPr>
          <w:rFonts w:eastAsiaTheme="minorEastAsia"/>
          <w:lang w:val="en-US"/>
        </w:rPr>
        <w:fldChar w:fldCharType="end"/>
      </w:r>
      <w:r>
        <w:rPr>
          <w:rFonts w:eastAsiaTheme="minorEastAsia"/>
          <w:lang w:val="en-US"/>
        </w:rPr>
        <w:t xml:space="preserve">. According to these results, and in order to be consistent with studies </w:t>
      </w:r>
      <w:r w:rsidR="007572D1">
        <w:rPr>
          <w:rFonts w:eastAsiaTheme="minorEastAsia"/>
          <w:lang w:val="en-US"/>
        </w:rPr>
        <w:t>focused on Black Fault Rocks</w:t>
      </w:r>
      <w:r w:rsidR="00D97CA4">
        <w:rPr>
          <w:rFonts w:eastAsiaTheme="minorEastAsia"/>
          <w:lang w:val="en-US"/>
        </w:rPr>
        <w:t xml:space="preserve"> in accretionary complexes</w:t>
      </w:r>
      <w:r w:rsidR="008D442A">
        <w:rPr>
          <w:rFonts w:eastAsiaTheme="minorEastAsia"/>
          <w:lang w:val="en-US"/>
        </w:rPr>
        <w:t>,</w:t>
      </w:r>
      <w:r>
        <w:rPr>
          <w:rFonts w:eastAsiaTheme="minorEastAsia"/>
          <w:lang w:val="en-US"/>
        </w:rPr>
        <w:t xml:space="preserve"> we consider </w:t>
      </w:r>
      <w:r w:rsidR="00D97CA4">
        <w:rPr>
          <w:rFonts w:eastAsiaTheme="minorEastAsia"/>
          <w:lang w:val="en-US"/>
        </w:rPr>
        <w:t>here</w:t>
      </w:r>
      <w:r>
        <w:rPr>
          <w:rFonts w:eastAsiaTheme="minorEastAsia"/>
          <w:lang w:val="en-US"/>
        </w:rPr>
        <w:t xml:space="preserve"> slip rate</w:t>
      </w:r>
      <w:r w:rsidR="00A56A60">
        <w:rPr>
          <w:rFonts w:eastAsiaTheme="minorEastAsia"/>
          <w:lang w:val="en-US"/>
        </w:rPr>
        <w:t>s</w:t>
      </w:r>
      <w:r>
        <w:rPr>
          <w:rFonts w:eastAsiaTheme="minorEastAsia"/>
          <w:lang w:val="en-US"/>
        </w:rPr>
        <w:t xml:space="preserve"> </w:t>
      </w:r>
      <w:r w:rsidR="00A56A60">
        <w:rPr>
          <w:rFonts w:eastAsiaTheme="minorEastAsia"/>
          <w:lang w:val="en-US"/>
        </w:rPr>
        <w:t xml:space="preserve">ranging </w:t>
      </w:r>
      <w:r>
        <w:rPr>
          <w:rFonts w:eastAsiaTheme="minorEastAsia"/>
          <w:lang w:val="en-US"/>
        </w:rPr>
        <w:t>from 0.1m/s to 1m/s.</w:t>
      </w:r>
    </w:p>
    <w:p w14:paraId="3144A454" w14:textId="41CA9117" w:rsidR="0011120A" w:rsidRDefault="0011120A" w:rsidP="00C52594">
      <w:pPr>
        <w:rPr>
          <w:rFonts w:eastAsiaTheme="minorEastAsia"/>
          <w:lang w:val="en-US"/>
        </w:rPr>
      </w:pPr>
      <w:r>
        <w:rPr>
          <w:rFonts w:eastAsiaTheme="minorEastAsia"/>
          <w:lang w:val="en-US"/>
        </w:rPr>
        <w:t xml:space="preserve">Another way to obtain the </w:t>
      </w:r>
      <w:r w:rsidR="00E0653A">
        <w:rPr>
          <w:rFonts w:eastAsiaTheme="minorEastAsia"/>
          <w:lang w:val="en-US"/>
        </w:rPr>
        <w:t xml:space="preserve">average </w:t>
      </w:r>
      <w:r>
        <w:rPr>
          <w:rFonts w:eastAsiaTheme="minorEastAsia"/>
          <w:lang w:val="en-US"/>
        </w:rPr>
        <w:t xml:space="preserve">slip rate is to use the modelling function </w:t>
      </w:r>
      <w:r w:rsidR="00B94C92">
        <w:rPr>
          <w:rFonts w:eastAsiaTheme="minorEastAsia"/>
          <w:lang w:val="en-US"/>
        </w:rPr>
        <w:t xml:space="preserve">proposed by </w:t>
      </w:r>
      <w:r>
        <w:rPr>
          <w:rFonts w:eastAsiaTheme="minorEastAsia"/>
          <w:lang w:val="en-US"/>
        </w:rPr>
        <w:t>Madariaga and Olsen</w:t>
      </w:r>
      <w:r w:rsidR="003C2678">
        <w:rPr>
          <w:rFonts w:eastAsiaTheme="minorEastAsia"/>
          <w:lang w:val="en-US"/>
        </w:rPr>
        <w:fldChar w:fldCharType="begin"/>
      </w:r>
      <w:r w:rsidR="00DD6B14">
        <w:rPr>
          <w:rFonts w:eastAsiaTheme="minorEastAsia"/>
          <w:lang w:val="en-US"/>
        </w:rPr>
        <w:instrText xml:space="preserve"> ADDIN ZOTERO_ITEM CSL_CITATION {"citationID":"h9IyTVRT","properties":{"formattedCitation":"\\super 18\\nosupersub{}","plainCitation":"18","noteIndex":0},"citationItems":[{"id":428,"uris":["http://zotero.org/users/5712877/items/YZP7LWBH"],"uri":["http://zotero.org/users/5712877/items/YZP7LWBH"],"itemData":{"id":428,"type":"book","title":"Earthquake dynamics, International handbook of earthquake and engineering seismology","publisher":"Elsevier","volume":"81A","number-of-pages":"1-20","author":[{"family":"Madariaga","given":"R."},{"family":"Olsen","given":"K.B."}],"issued":{"date-parts":[["2012"]]}}}],"schema":"https://github.com/citation-style-language/schema/raw/master/csl-citation.json"} </w:instrText>
      </w:r>
      <w:r w:rsidR="003C2678">
        <w:rPr>
          <w:rFonts w:eastAsiaTheme="minorEastAsia"/>
          <w:lang w:val="en-US"/>
        </w:rPr>
        <w:fldChar w:fldCharType="separate"/>
      </w:r>
      <w:r w:rsidR="00DD6B14" w:rsidRPr="00DD6B14">
        <w:rPr>
          <w:rFonts w:cs="Times New Roman"/>
          <w:szCs w:val="24"/>
          <w:vertAlign w:val="superscript"/>
          <w:lang w:val="en-US"/>
        </w:rPr>
        <w:t>18</w:t>
      </w:r>
      <w:r w:rsidR="003C2678">
        <w:rPr>
          <w:rFonts w:eastAsiaTheme="minorEastAsia"/>
          <w:lang w:val="en-US"/>
        </w:rPr>
        <w:fldChar w:fldCharType="end"/>
      </w:r>
      <w:r w:rsidR="003C2678" w:rsidRPr="003C2678">
        <w:rPr>
          <w:rFonts w:eastAsiaTheme="minorEastAsia"/>
          <w:lang w:val="en-US"/>
        </w:rPr>
        <w:t>.</w:t>
      </w:r>
      <w:r>
        <w:rPr>
          <w:rFonts w:eastAsiaTheme="minorEastAsia"/>
          <w:lang w:val="en-US"/>
        </w:rPr>
        <w:t xml:space="preserve"> </w:t>
      </w:r>
    </w:p>
    <w:p w14:paraId="31610076" w14:textId="49B2E71F" w:rsidR="0011120A" w:rsidRPr="0011120A" w:rsidRDefault="00D46348" w:rsidP="00C52594">
      <w:pPr>
        <w:rPr>
          <w:rFonts w:eastAsiaTheme="minorEastAsia"/>
          <w:lang w:val="en-US"/>
        </w:rPr>
      </w:pPr>
      <m:oMathPara>
        <m:oMath>
          <m:eqArr>
            <m:eqArrPr>
              <m:maxDist m:val="1"/>
              <m:ctrlPr>
                <w:rPr>
                  <w:rFonts w:ascii="Cambria Math" w:eastAsiaTheme="minorEastAsia" w:hAnsi="Cambria Math"/>
                  <w:i/>
                  <w:lang w:val="en-US"/>
                </w:rPr>
              </m:ctrlPr>
            </m:eqArrPr>
            <m:e>
              <m:r>
                <w:rPr>
                  <w:rFonts w:ascii="Cambria Math" w:eastAsiaTheme="minorEastAsia" w:hAnsi="Cambria Math"/>
                  <w:lang w:val="en-US"/>
                </w:rPr>
                <m:t xml:space="preserve">Slip rate=u= </m:t>
              </m:r>
              <m:f>
                <m:fPr>
                  <m:ctrlPr>
                    <w:rPr>
                      <w:rFonts w:ascii="Cambria Math" w:eastAsiaTheme="minorEastAsia" w:hAnsi="Cambria Math"/>
                      <w:i/>
                      <w:lang w:val="en-US"/>
                    </w:rPr>
                  </m:ctrlPr>
                </m:fPr>
                <m:num>
                  <m:r>
                    <w:rPr>
                      <w:rFonts w:ascii="Cambria Math" w:eastAsiaTheme="minorEastAsia" w:hAnsi="Cambria Math"/>
                      <w:lang w:val="en-US"/>
                    </w:rPr>
                    <m:t>∆σ</m:t>
                  </m:r>
                </m:num>
                <m:den>
                  <m:r>
                    <w:rPr>
                      <w:rFonts w:ascii="Cambria Math" w:eastAsiaTheme="minorEastAsia" w:hAnsi="Cambria Math"/>
                      <w:lang w:val="en-US"/>
                    </w:rPr>
                    <m:t>G</m:t>
                  </m:r>
                </m:den>
              </m:f>
              <m:r>
                <w:rPr>
                  <w:rFonts w:ascii="Cambria Math" w:eastAsiaTheme="minorEastAsia" w:hAnsi="Cambria Math"/>
                  <w:lang w:val="en-US"/>
                </w:rPr>
                <m:t xml:space="preserve"> β #(3)</m:t>
              </m:r>
            </m:e>
          </m:eqArr>
        </m:oMath>
      </m:oMathPara>
    </w:p>
    <w:p w14:paraId="715B6F74" w14:textId="248BD177" w:rsidR="00C52594" w:rsidRDefault="0011120A" w:rsidP="00C52594">
      <w:pPr>
        <w:rPr>
          <w:rFonts w:eastAsiaTheme="minorEastAsia"/>
          <w:lang w:val="en-US"/>
        </w:rPr>
      </w:pPr>
      <w:r>
        <w:rPr>
          <w:rFonts w:eastAsiaTheme="minorEastAsia"/>
          <w:lang w:val="en-US"/>
        </w:rPr>
        <w:t>The stress drop (</w:t>
      </w:r>
      <m:oMath>
        <m:r>
          <w:rPr>
            <w:rFonts w:ascii="Cambria Math" w:eastAsiaTheme="minorEastAsia" w:hAnsi="Cambria Math"/>
            <w:lang w:val="en-US"/>
          </w:rPr>
          <m:t>∆σ)</m:t>
        </m:r>
      </m:oMath>
      <w:r>
        <w:rPr>
          <w:rFonts w:eastAsiaTheme="minorEastAsia"/>
          <w:lang w:val="en-US"/>
        </w:rPr>
        <w:t xml:space="preserve">, the modulus of rigidity (G) and the </w:t>
      </w:r>
      <w:r w:rsidR="00331DA9">
        <w:rPr>
          <w:rFonts w:eastAsiaTheme="minorEastAsia"/>
          <w:lang w:val="en-US"/>
        </w:rPr>
        <w:t>shear wave speed (</w:t>
      </w:r>
      <w:r w:rsidR="00331DA9">
        <w:rPr>
          <w:rFonts w:eastAsiaTheme="minorEastAsia" w:cs="Times New Roman"/>
          <w:lang w:val="en-US"/>
        </w:rPr>
        <w:t>β</w:t>
      </w:r>
      <w:r w:rsidR="00331DA9">
        <w:rPr>
          <w:rFonts w:eastAsiaTheme="minorEastAsia"/>
          <w:lang w:val="en-US"/>
        </w:rPr>
        <w:t>) are estimated at 1 to 10MPa, 3.0.10</w:t>
      </w:r>
      <w:r w:rsidR="00331DA9" w:rsidRPr="00331DA9">
        <w:rPr>
          <w:rFonts w:eastAsiaTheme="minorEastAsia"/>
          <w:vertAlign w:val="superscript"/>
          <w:lang w:val="en-US"/>
        </w:rPr>
        <w:t>4</w:t>
      </w:r>
      <w:r w:rsidR="00331DA9">
        <w:rPr>
          <w:rFonts w:eastAsiaTheme="minorEastAsia"/>
          <w:lang w:val="en-US"/>
        </w:rPr>
        <w:t>MPa and 3500 m/s</w:t>
      </w:r>
      <w:r w:rsidR="003C2678">
        <w:rPr>
          <w:rFonts w:eastAsiaTheme="minorEastAsia"/>
          <w:lang w:val="en-US"/>
        </w:rPr>
        <w:fldChar w:fldCharType="begin"/>
      </w:r>
      <w:r w:rsidR="00DD6B14">
        <w:rPr>
          <w:rFonts w:eastAsiaTheme="minorEastAsia"/>
          <w:lang w:val="en-US"/>
        </w:rPr>
        <w:instrText xml:space="preserve"> ADDIN ZOTERO_ITEM CSL_CITATION {"citationID":"gbjbnIwU","properties":{"formattedCitation":"\\super 19\\nosupersub{}","plainCitation":"19","noteIndex":0},"citationItems":[{"id":426,"uris":["http://zotero.org/users/5712877/items/8F6WW9V9"],"uri":["http://zotero.org/users/5712877/items/8F6WW9V9"],"itemData":{"id":426,"type":"article-journal","title":"The physics of earthquakes","container-title":"Reports on Progress in Physics","page":"1429-1496","volume":"67","issue":"8","source":"Crossref","abstract":"Earthquakes occur as a result of global plate motion. However, this simple picture is far from complete. Some plate boundaries glide past each other smoothly, while others are punctuated by catastrophic failures. Some earthquakes stop after only a few hundred metres while others continue rupturing for a thousand kilometres. Earthquakes are sometimes triggered by other large earthquakes thousands of kilometres away. We address these questions by dissecting the observable phenomena and separating out the quantiﬁable features for comparison across events. We begin with a discussion of stress in the crust followed by an overview of earthquake phenomenology, focusing on the parameters that are readily measured by current seismic techniques. We brieﬂy discuss how these parameters are related to the amplitude and frequencies of the elastic waves measured by seismometers as well as direct geodetic measurements of the Earth’s deformation. We then review the major processes thought to be active during the rupture and discuss their relation to the observable parameters. We then take a longer range view by discussing how earthquakes interact as a complex system. Finally, we combine subjects to approach the key issue of earthquake initiation. This concluding discussion will require using the processes introduced in the study of rupture as well as some novel mechanisms. As our observational database improves, our computational ability accelerates and our laboratories become more reﬁned, the next few decades promise to bring more insights on earthquakes and perhaps some answers.","DOI":"10.1088/0034-4885/67/8/R03","ISSN":"0034-4885, 1361-6633","language":"en","author":[{"family":"Kanamori","given":"Hiroo"},{"family":"Brodsky","given":"Emily E"}],"issued":{"date-parts":[["2004",8,1]]}}}],"schema":"https://github.com/citation-style-language/schema/raw/master/csl-citation.json"} </w:instrText>
      </w:r>
      <w:r w:rsidR="003C2678">
        <w:rPr>
          <w:rFonts w:eastAsiaTheme="minorEastAsia"/>
          <w:lang w:val="en-US"/>
        </w:rPr>
        <w:fldChar w:fldCharType="separate"/>
      </w:r>
      <w:r w:rsidR="00DD6B14" w:rsidRPr="00DD6B14">
        <w:rPr>
          <w:rFonts w:cs="Times New Roman"/>
          <w:szCs w:val="24"/>
          <w:vertAlign w:val="superscript"/>
          <w:lang w:val="en-US"/>
        </w:rPr>
        <w:t>19</w:t>
      </w:r>
      <w:r w:rsidR="003C2678">
        <w:rPr>
          <w:rFonts w:eastAsiaTheme="minorEastAsia"/>
          <w:lang w:val="en-US"/>
        </w:rPr>
        <w:fldChar w:fldCharType="end"/>
      </w:r>
      <w:r w:rsidR="00331DA9">
        <w:rPr>
          <w:rFonts w:eastAsiaTheme="minorEastAsia"/>
          <w:lang w:val="en-US"/>
        </w:rPr>
        <w:t xml:space="preserve">, respectively. </w:t>
      </w:r>
      <w:r w:rsidR="007572D1">
        <w:rPr>
          <w:rFonts w:eastAsiaTheme="minorEastAsia"/>
          <w:lang w:val="en-US"/>
        </w:rPr>
        <w:t>V</w:t>
      </w:r>
      <w:r w:rsidR="003C2678">
        <w:rPr>
          <w:rFonts w:eastAsiaTheme="minorEastAsia"/>
          <w:lang w:val="en-US"/>
        </w:rPr>
        <w:t xml:space="preserve">alues </w:t>
      </w:r>
      <w:r w:rsidR="007572D1">
        <w:rPr>
          <w:rFonts w:eastAsiaTheme="minorEastAsia"/>
          <w:lang w:val="en-US"/>
        </w:rPr>
        <w:t xml:space="preserve">obtained </w:t>
      </w:r>
      <w:r w:rsidR="003C2678">
        <w:rPr>
          <w:rFonts w:eastAsiaTheme="minorEastAsia"/>
          <w:lang w:val="en-US"/>
        </w:rPr>
        <w:t xml:space="preserve">for </w:t>
      </w:r>
      <w:r w:rsidR="00A322EA">
        <w:rPr>
          <w:rFonts w:eastAsiaTheme="minorEastAsia"/>
          <w:lang w:val="en-US"/>
        </w:rPr>
        <w:t xml:space="preserve">the </w:t>
      </w:r>
      <w:r w:rsidR="00E40894">
        <w:rPr>
          <w:rFonts w:eastAsiaTheme="minorEastAsia"/>
          <w:lang w:val="en-US"/>
        </w:rPr>
        <w:t>equation</w:t>
      </w:r>
      <w:r w:rsidR="008E4D1B">
        <w:rPr>
          <w:rFonts w:eastAsiaTheme="minorEastAsia"/>
          <w:lang w:val="en-US"/>
        </w:rPr>
        <w:t xml:space="preserve"> (3</w:t>
      </w:r>
      <w:r w:rsidR="00A322EA">
        <w:rPr>
          <w:rFonts w:eastAsiaTheme="minorEastAsia"/>
          <w:lang w:val="en-US"/>
        </w:rPr>
        <w:t>)</w:t>
      </w:r>
      <w:r w:rsidR="003C2678">
        <w:rPr>
          <w:rFonts w:eastAsiaTheme="minorEastAsia"/>
          <w:lang w:val="en-US"/>
        </w:rPr>
        <w:t xml:space="preserve"> are the same as previous</w:t>
      </w:r>
      <w:r w:rsidR="007572D1">
        <w:rPr>
          <w:rFonts w:eastAsiaTheme="minorEastAsia"/>
          <w:lang w:val="en-US"/>
        </w:rPr>
        <w:t>ly</w:t>
      </w:r>
      <w:r w:rsidR="003C2678">
        <w:rPr>
          <w:rFonts w:eastAsiaTheme="minorEastAsia"/>
          <w:lang w:val="en-US"/>
        </w:rPr>
        <w:t xml:space="preserve"> found in the literature</w:t>
      </w:r>
      <w:r w:rsidR="00B86A1C">
        <w:rPr>
          <w:rFonts w:eastAsiaTheme="minorEastAsia"/>
          <w:lang w:val="en-US"/>
        </w:rPr>
        <w:t xml:space="preserve">, </w:t>
      </w:r>
      <w:r w:rsidR="007572D1">
        <w:rPr>
          <w:rFonts w:eastAsiaTheme="minorEastAsia"/>
          <w:lang w:val="en-US"/>
        </w:rPr>
        <w:t xml:space="preserve">as </w:t>
      </w:r>
      <w:r w:rsidR="00B86A1C">
        <w:rPr>
          <w:rFonts w:eastAsiaTheme="minorEastAsia"/>
          <w:lang w:val="en-US"/>
        </w:rPr>
        <w:t xml:space="preserve">the slip rate calculated </w:t>
      </w:r>
      <w:r w:rsidR="007572D1">
        <w:rPr>
          <w:rFonts w:eastAsiaTheme="minorEastAsia"/>
          <w:lang w:val="en-US"/>
        </w:rPr>
        <w:t xml:space="preserve">ranges </w:t>
      </w:r>
      <w:r w:rsidR="00B86A1C">
        <w:rPr>
          <w:rFonts w:eastAsiaTheme="minorEastAsia"/>
          <w:lang w:val="en-US"/>
        </w:rPr>
        <w:t xml:space="preserve">between 0.2 and 1.2m/s. </w:t>
      </w:r>
      <w:r w:rsidR="00C52594">
        <w:rPr>
          <w:rFonts w:eastAsiaTheme="minorEastAsia"/>
          <w:lang w:val="en-US"/>
        </w:rPr>
        <w:t>In order to consider the maximum</w:t>
      </w:r>
      <w:r w:rsidR="007572D1">
        <w:rPr>
          <w:rFonts w:eastAsiaTheme="minorEastAsia"/>
          <w:lang w:val="en-US"/>
        </w:rPr>
        <w:t xml:space="preserve"> heat production, we consider an upper bound on </w:t>
      </w:r>
      <w:r w:rsidR="00E40894">
        <w:rPr>
          <w:rFonts w:eastAsiaTheme="minorEastAsia"/>
          <w:lang w:val="en-US"/>
        </w:rPr>
        <w:t xml:space="preserve">slip rate </w:t>
      </w:r>
      <w:r w:rsidR="007572D1">
        <w:rPr>
          <w:rFonts w:eastAsiaTheme="minorEastAsia"/>
          <w:lang w:val="en-US"/>
        </w:rPr>
        <w:t>as</w:t>
      </w:r>
      <w:r w:rsidR="00E40894">
        <w:rPr>
          <w:rFonts w:eastAsiaTheme="minorEastAsia"/>
          <w:lang w:val="en-US"/>
        </w:rPr>
        <w:t xml:space="preserve"> 1m/</w:t>
      </w:r>
      <w:r w:rsidR="00C52594">
        <w:rPr>
          <w:rFonts w:eastAsiaTheme="minorEastAsia"/>
          <w:lang w:val="en-US"/>
        </w:rPr>
        <w:t xml:space="preserve">s. The last parameter is the </w:t>
      </w:r>
      <w:r w:rsidR="00A568CE">
        <w:rPr>
          <w:rFonts w:eastAsiaTheme="minorEastAsia"/>
          <w:lang w:val="en-US"/>
        </w:rPr>
        <w:t xml:space="preserve">thickness </w:t>
      </w:r>
      <w:r w:rsidR="00C52594">
        <w:rPr>
          <w:rFonts w:eastAsiaTheme="minorEastAsia"/>
          <w:lang w:val="en-US"/>
        </w:rPr>
        <w:t xml:space="preserve">of the </w:t>
      </w:r>
      <w:r w:rsidR="008C4EAF">
        <w:rPr>
          <w:rFonts w:eastAsiaTheme="minorEastAsia"/>
          <w:lang w:val="en-US"/>
        </w:rPr>
        <w:t>molten layer</w:t>
      </w:r>
      <w:r w:rsidR="00626356">
        <w:rPr>
          <w:rFonts w:eastAsiaTheme="minorEastAsia"/>
          <w:lang w:val="en-US"/>
        </w:rPr>
        <w:t>,</w:t>
      </w:r>
      <w:r w:rsidR="00C52594">
        <w:rPr>
          <w:rFonts w:eastAsiaTheme="minorEastAsia"/>
          <w:lang w:val="en-US"/>
        </w:rPr>
        <w:t xml:space="preserve"> which </w:t>
      </w:r>
      <w:r w:rsidR="00D97CA4">
        <w:rPr>
          <w:rFonts w:eastAsiaTheme="minorEastAsia"/>
          <w:lang w:val="en-US"/>
        </w:rPr>
        <w:t>is of the order of</w:t>
      </w:r>
      <w:r w:rsidR="00C52594">
        <w:rPr>
          <w:rFonts w:eastAsiaTheme="minorEastAsia"/>
          <w:lang w:val="en-US"/>
        </w:rPr>
        <w:t xml:space="preserve"> 1mm </w:t>
      </w:r>
      <w:r w:rsidR="00D97CA4">
        <w:rPr>
          <w:rFonts w:eastAsiaTheme="minorEastAsia"/>
          <w:lang w:val="en-US"/>
        </w:rPr>
        <w:t>on the Black Fault Rocks studied</w:t>
      </w:r>
      <w:r w:rsidR="00C52594">
        <w:rPr>
          <w:rFonts w:eastAsiaTheme="minorEastAsia"/>
          <w:lang w:val="en-US"/>
        </w:rPr>
        <w:t xml:space="preserve">. Based on these parameters we can estimate the </w:t>
      </w:r>
      <w:r w:rsidR="002B2743">
        <w:rPr>
          <w:rFonts w:eastAsiaTheme="minorEastAsia"/>
          <w:lang w:val="en-US"/>
        </w:rPr>
        <w:t xml:space="preserve">maximum </w:t>
      </w:r>
      <w:r w:rsidR="00C52594">
        <w:rPr>
          <w:rFonts w:eastAsiaTheme="minorEastAsia"/>
          <w:lang w:val="en-US"/>
        </w:rPr>
        <w:t>shear heating energy around 1.0e10</w:t>
      </w:r>
      <w:r w:rsidR="00C52594" w:rsidRPr="00FE79EE">
        <w:rPr>
          <w:rFonts w:eastAsiaTheme="minorEastAsia"/>
          <w:vertAlign w:val="superscript"/>
          <w:lang w:val="en-US"/>
        </w:rPr>
        <w:t>8</w:t>
      </w:r>
      <w:r w:rsidR="00C52594">
        <w:rPr>
          <w:rFonts w:eastAsiaTheme="minorEastAsia"/>
          <w:vertAlign w:val="superscript"/>
          <w:lang w:val="en-US"/>
        </w:rPr>
        <w:t xml:space="preserve"> </w:t>
      </w:r>
      <w:r w:rsidR="00C52594">
        <w:rPr>
          <w:rFonts w:eastAsiaTheme="minorEastAsia"/>
          <w:lang w:val="en-US"/>
        </w:rPr>
        <w:t>J/m</w:t>
      </w:r>
      <w:r w:rsidR="00C52594" w:rsidRPr="00FE79EE">
        <w:rPr>
          <w:rFonts w:eastAsiaTheme="minorEastAsia"/>
          <w:vertAlign w:val="superscript"/>
          <w:lang w:val="en-US"/>
        </w:rPr>
        <w:t>3</w:t>
      </w:r>
      <w:r w:rsidR="00C52594">
        <w:rPr>
          <w:rFonts w:eastAsiaTheme="minorEastAsia"/>
          <w:lang w:val="en-US"/>
        </w:rPr>
        <w:t xml:space="preserve">/s. </w:t>
      </w:r>
    </w:p>
    <w:p w14:paraId="35E5DF13" w14:textId="26A038E6" w:rsidR="00504F59" w:rsidRDefault="0037305C" w:rsidP="00C52594">
      <w:pPr>
        <w:rPr>
          <w:rFonts w:eastAsiaTheme="minorEastAsia"/>
          <w:lang w:val="en-US"/>
        </w:rPr>
      </w:pPr>
      <w:r>
        <w:rPr>
          <w:rFonts w:eastAsiaTheme="minorEastAsia"/>
          <w:lang w:val="en-US"/>
        </w:rPr>
        <w:lastRenderedPageBreak/>
        <w:t>The last parameter to specify is the duration</w:t>
      </w:r>
      <w:r w:rsidR="006510BA">
        <w:rPr>
          <w:rFonts w:eastAsiaTheme="minorEastAsia"/>
          <w:lang w:val="en-US"/>
        </w:rPr>
        <w:t xml:space="preserve"> of </w:t>
      </w:r>
      <w:r>
        <w:rPr>
          <w:rFonts w:eastAsiaTheme="minorEastAsia"/>
          <w:lang w:val="en-US"/>
        </w:rPr>
        <w:t xml:space="preserve">viscous </w:t>
      </w:r>
      <w:r w:rsidR="006510BA">
        <w:rPr>
          <w:rFonts w:eastAsiaTheme="minorEastAsia"/>
          <w:lang w:val="en-US"/>
        </w:rPr>
        <w:t xml:space="preserve">shear-heating </w:t>
      </w:r>
      <w:r>
        <w:rPr>
          <w:rFonts w:eastAsiaTheme="minorEastAsia"/>
          <w:lang w:val="en-US"/>
        </w:rPr>
        <w:t>of the molten layer</w:t>
      </w:r>
      <w:r w:rsidR="006510BA">
        <w:rPr>
          <w:rFonts w:eastAsiaTheme="minorEastAsia"/>
          <w:lang w:val="en-US"/>
        </w:rPr>
        <w:t xml:space="preserve">. </w:t>
      </w:r>
      <w:r>
        <w:rPr>
          <w:rFonts w:eastAsiaTheme="minorEastAsia"/>
          <w:lang w:val="en-US"/>
        </w:rPr>
        <w:t>Considering an upper bound on slip rate as 1m/s, as explained above, then shear heating duration can be estimated from the total displacement during the earthquake</w:t>
      </w:r>
      <w:r w:rsidR="00504F59">
        <w:rPr>
          <w:rFonts w:eastAsiaTheme="minorEastAsia"/>
          <w:lang w:val="en-US"/>
        </w:rPr>
        <w:t xml:space="preserve">. </w:t>
      </w:r>
      <w:r w:rsidR="008F16AB">
        <w:rPr>
          <w:rFonts w:eastAsiaTheme="minorEastAsia"/>
          <w:lang w:val="en-US"/>
        </w:rPr>
        <w:t xml:space="preserve">For pseudotachylytes bearing faults, the total </w:t>
      </w:r>
      <w:r w:rsidR="00A568CE">
        <w:rPr>
          <w:rFonts w:eastAsiaTheme="minorEastAsia"/>
          <w:lang w:val="en-US"/>
        </w:rPr>
        <w:t xml:space="preserve">displacement </w:t>
      </w:r>
      <w:r w:rsidR="008F16AB">
        <w:rPr>
          <w:rFonts w:eastAsiaTheme="minorEastAsia"/>
          <w:lang w:val="en-US"/>
        </w:rPr>
        <w:t>of slip is estimated from 0.1 to 4 meters for earthquakes from M</w:t>
      </w:r>
      <w:r w:rsidR="008F16AB" w:rsidRPr="00B4391F">
        <w:rPr>
          <w:rFonts w:eastAsiaTheme="minorEastAsia"/>
          <w:vertAlign w:val="subscript"/>
          <w:lang w:val="en-US"/>
        </w:rPr>
        <w:t>5</w:t>
      </w:r>
      <w:r w:rsidR="008F16AB">
        <w:rPr>
          <w:rFonts w:eastAsiaTheme="minorEastAsia"/>
          <w:lang w:val="en-US"/>
        </w:rPr>
        <w:t xml:space="preserve"> to M</w:t>
      </w:r>
      <w:r w:rsidR="008F16AB" w:rsidRPr="00B4391F">
        <w:rPr>
          <w:rFonts w:eastAsiaTheme="minorEastAsia"/>
          <w:vertAlign w:val="subscript"/>
          <w:lang w:val="en-US"/>
        </w:rPr>
        <w:t>8</w:t>
      </w:r>
      <w:r w:rsidR="008F16AB">
        <w:rPr>
          <w:rFonts w:eastAsiaTheme="minorEastAsia"/>
          <w:vertAlign w:val="subscript"/>
          <w:lang w:val="en-US"/>
        </w:rPr>
        <w:fldChar w:fldCharType="begin"/>
      </w:r>
      <w:r w:rsidR="00DD6B14">
        <w:rPr>
          <w:rFonts w:eastAsiaTheme="minorEastAsia"/>
          <w:vertAlign w:val="subscript"/>
          <w:lang w:val="en-US"/>
        </w:rPr>
        <w:instrText xml:space="preserve"> ADDIN ZOTERO_ITEM CSL_CITATION {"citationID":"9rQx8LdL","properties":{"formattedCitation":"\\super 20\\nosupersub{}","plainCitation":"20","noteIndex":0},"citationItems":[{"id":433,"uris":["http://zotero.org/users/5712877/items/7M9UFSN2"],"uri":["http://zotero.org/users/5712877/items/7M9UFSN2"],"itemData":{"id":433,"type":"article-journal","title":"Earthquake faulting as a structural process","container-title":"Journal of Structural Geology","page":"1-14","volume":"11","issue":"1-2","source":"Crossref","abstract":"Structural geology is concerned with the history of movement in the Earth's crust and the processes by which displacements occur. In the upper one third to one half of deforming continental crust, displacement is accommodated largely by seismic slip increments on existing faults. It follows that earthquakes and related processes are an integral part of structural geology. Traditionally, structural geologists have been preoccupied with the complexity of the finite deformation within fault zones and with the stress states prevailing at the initiation of faults in intact crust. Future structural work should be directed more towards understanding the dynamic character of fault reactivation during incrementalslip, and related effects. Questions of interest include rheological and geometrical controls on the initiation, perturbation and termination of ruptures; directivity effects associated with rupture propagation; the recognition of structures resulting from repeated stress cycling within seismogeniccrust; and identificationof structural features diagnosticof shear stress levelsduringfaulting. Structures arising from the inter-relationships between slip episodes and induced fluid flow are of special importance, because these dynamic fault processes appear influentialin the development of much fault-hosted mineralization.","DOI":"10.1016/0191-8141(89)90032-1","ISSN":"01918141","language":"en","author":[{"family":"Sibson","given":"Richard H"}],"issued":{"date-parts":[["1989",1]]}},"locator":"89"}],"schema":"https://github.com/citation-style-language/schema/raw/master/csl-citation.json"} </w:instrText>
      </w:r>
      <w:r w:rsidR="008F16AB">
        <w:rPr>
          <w:rFonts w:eastAsiaTheme="minorEastAsia"/>
          <w:vertAlign w:val="subscript"/>
          <w:lang w:val="en-US"/>
        </w:rPr>
        <w:fldChar w:fldCharType="separate"/>
      </w:r>
      <w:r w:rsidR="00DD6B14" w:rsidRPr="00DD6B14">
        <w:rPr>
          <w:rFonts w:cs="Times New Roman"/>
          <w:szCs w:val="24"/>
          <w:vertAlign w:val="superscript"/>
          <w:lang w:val="en-US"/>
        </w:rPr>
        <w:t>20</w:t>
      </w:r>
      <w:r w:rsidR="008F16AB">
        <w:rPr>
          <w:rFonts w:eastAsiaTheme="minorEastAsia"/>
          <w:vertAlign w:val="subscript"/>
          <w:lang w:val="en-US"/>
        </w:rPr>
        <w:fldChar w:fldCharType="end"/>
      </w:r>
      <w:r w:rsidR="008F16AB">
        <w:rPr>
          <w:rFonts w:eastAsiaTheme="minorEastAsia"/>
          <w:lang w:val="en-US"/>
        </w:rPr>
        <w:t>. According to Hasegawa</w:t>
      </w:r>
      <w:r w:rsidR="008F16AB">
        <w:rPr>
          <w:rFonts w:eastAsiaTheme="minorEastAsia"/>
          <w:lang w:val="en-US"/>
        </w:rPr>
        <w:fldChar w:fldCharType="begin"/>
      </w:r>
      <w:r w:rsidR="00DD6B14">
        <w:rPr>
          <w:rFonts w:eastAsiaTheme="minorEastAsia"/>
          <w:lang w:val="en-US"/>
        </w:rPr>
        <w:instrText xml:space="preserve"> ADDIN ZOTERO_ITEM CSL_CITATION {"citationID":"XcZY0lNU","properties":{"formattedCitation":"\\super 21\\nosupersub{}","plainCitation":"21","noteIndex":0},"citationItems":[{"id":340,"uris":["http://zotero.org/users/5712877/items/F25W5NN5"],"uri":["http://zotero.org/users/5712877/items/F25W5NN5"],"itemData":{"id":340,"type":"article-journal","title":"Postseismic fluid discharge chemically recorded in altered pseudotachylyte discovered from an ancient megasplay fault: an example from the Nobeoka Thrust in the Shimanto accretionary complex, SW Japan","container-title":"Progress in Earth and Planetary Science","volume":"6","issue":"1","source":"Crossref","abstract":"Megasplay fault branching from plate boundaries of subduction zones is thought to be important sources of earthquakes and tsunamis. In this study, we performed structural and geochemical analyses on a fossilized megasplay fault (the Nobeoka Thrust of the Shimanto accretionary complex) to understand fluid-rock interaction and how the splay fault plays a role in fluid flow in the seismogenic zone. As a result of structural observations, we report that the principal slip zone (PSZ) of the Nobeoka Thrust is composed of foliated cataclasite originating from a sandstone-shale mélange and includes a thin (~ 1.5 mm thick) pseudotachylyte layer. Major and trace element composition analysis and EPMA element mapping revealed that the pseudotachylyte is enriched in Li and Cs within the PSZ, as well as in the slip zone of a minor fault in the footwall. Li and Cs enrichment in pseudotachylyte is interpreted as a result of fluid-rock interaction in the postseismic stage, because such an anomaly only results from a large fluid/rock ratio (R &gt; 512–24 at 250–350 °C) under the influence of Li- and Cs-enriched fluids. The amount of fluid that reacted with the pseudotachylyte is estimated to be 1.78 × 100 to 7.61 × 103 m3.","URL":"https://progearthplanetsci.springeropen.com/articles/10.1186/s40645-019-0281-2","DOI":"10.1186/s40645-019-0281-2","ISSN":"2197-4284","title-short":"Postseismic fluid discharge chemically recorded in altered pseudotachylyte discovered from an ancient megasplay fault","language":"en","author":[{"family":"Hasegawa","given":"Ryota"},{"family":"Yamaguchi","given":"Asuka"},{"family":"Fukuchi","given":"Rina"},{"family":"Hamada","given":"Yohei"},{"family":"Ogawa","given":"Nobuhiro"},{"family":"Kitamura","given":"Yujin"},{"family":"Kimura","given":"Gaku"},{"family":"Ashi","given":"Juichiro"},{"family":"Ishikawa","given":"Tsuyoshi"}],"issued":{"date-parts":[["2019",12]]},"accessed":{"date-parts":[["2020",9,22]]}}}],"schema":"https://github.com/citation-style-language/schema/raw/master/csl-citation.json"} </w:instrText>
      </w:r>
      <w:r w:rsidR="008F16AB">
        <w:rPr>
          <w:rFonts w:eastAsiaTheme="minorEastAsia"/>
          <w:lang w:val="en-US"/>
        </w:rPr>
        <w:fldChar w:fldCharType="separate"/>
      </w:r>
      <w:r w:rsidR="00DD6B14" w:rsidRPr="00DD6B14">
        <w:rPr>
          <w:rFonts w:cs="Times New Roman"/>
          <w:szCs w:val="24"/>
          <w:vertAlign w:val="superscript"/>
          <w:lang w:val="en-US"/>
        </w:rPr>
        <w:t>21</w:t>
      </w:r>
      <w:r w:rsidR="008F16AB">
        <w:rPr>
          <w:rFonts w:eastAsiaTheme="minorEastAsia"/>
          <w:lang w:val="en-US"/>
        </w:rPr>
        <w:fldChar w:fldCharType="end"/>
      </w:r>
      <w:r w:rsidR="008F16AB">
        <w:rPr>
          <w:rFonts w:eastAsiaTheme="minorEastAsia"/>
          <w:lang w:val="en-US"/>
        </w:rPr>
        <w:t>, and based on the thickness of the fault core similar to the one measured on the Gole Larghe fault in Italy, we can estimate the total displacement from 0.2 to 1.2 meters for a single tectonic event</w:t>
      </w:r>
      <w:r w:rsidR="008F16AB">
        <w:rPr>
          <w:rFonts w:eastAsiaTheme="minorEastAsia"/>
          <w:lang w:val="en-US"/>
        </w:rPr>
        <w:fldChar w:fldCharType="begin"/>
      </w:r>
      <w:r w:rsidR="00DD6B14">
        <w:rPr>
          <w:rFonts w:eastAsiaTheme="minorEastAsia"/>
          <w:lang w:val="en-US"/>
        </w:rPr>
        <w:instrText xml:space="preserve"> ADDIN ZOTERO_ITEM CSL_CITATION {"citationID":"BbWKEiby","properties":{"formattedCitation":"\\super 22\\nosupersub{}","plainCitation":"22","noteIndex":0},"citationItems":[{"id":437,"uris":["http://zotero.org/users/5712877/items/VTJAEK78"],"uri":["http://zotero.org/users/5712877/items/VTJAEK78"],"itemData":{"id":437,"type":"article-journal","title":"Fault plane processes and mesoscopic structure of a strong-type seismogenic fault in tonalites (Adamello batholith, Southern Alps)","container-title":"Tectonophysics","page":"55-80","volume":"402","issue":"1-4","source":"Crossref","abstract":"The Gole Larghe Fault is an exhumed paleoseismic fault crosscutting the Adamello tonalites (Italian Southern Alps). Ambient conditions of faulting were 9–11 km in depth and 250–300 8C. In the study area the fault accommodates ~ 1100 m of dextral strike-slip over a fault thickness of 550 m. Displacement is partitioned into three hierarchically different sets of discrete subparallel cataclastic horizons (faults1–2–3). Fault displacement is in the range of few centimeters (faults3) to a maximum of a few tens of meters in major faults1. Faults1–2 nucleated on pre-existing joints, whereas faults3 are newly generated fractures produced during slip along faults1–2. Each fault within the Gole Larghe Fault records the same evolution with development of indurated cataclasites precursory to pseudotachylyte production. Pseudotachylytes are usually generated at the host rock/ cataclasite boundary and within cataclasites the mean clast size decreases getting closer to pseudotachylyte fault veins. Pseudotachylytes and cataclasites have a similar chemical composition which is enriched in Loss On Ignition, K, Rb, Ba, U and Fe3+ compared to host rock.","DOI":"10.1016/j.tecto.2004.12.036","ISSN":"00401951","language":"en","author":[{"family":"Di Toro","given":"Giulio"},{"family":"Pennacchioni","given":"Giorgio"}],"issued":{"date-parts":[["2005",6]]}}}],"schema":"https://github.com/citation-style-language/schema/raw/master/csl-citation.json"} </w:instrText>
      </w:r>
      <w:r w:rsidR="008F16AB">
        <w:rPr>
          <w:rFonts w:eastAsiaTheme="minorEastAsia"/>
          <w:lang w:val="en-US"/>
        </w:rPr>
        <w:fldChar w:fldCharType="separate"/>
      </w:r>
      <w:r w:rsidR="00DD6B14" w:rsidRPr="00DD6B14">
        <w:rPr>
          <w:rFonts w:cs="Times New Roman"/>
          <w:szCs w:val="24"/>
          <w:vertAlign w:val="superscript"/>
          <w:lang w:val="en-US"/>
        </w:rPr>
        <w:t>22</w:t>
      </w:r>
      <w:r w:rsidR="008F16AB">
        <w:rPr>
          <w:rFonts w:eastAsiaTheme="minorEastAsia"/>
          <w:lang w:val="en-US"/>
        </w:rPr>
        <w:fldChar w:fldCharType="end"/>
      </w:r>
      <w:r w:rsidR="008F16AB">
        <w:rPr>
          <w:rFonts w:eastAsiaTheme="minorEastAsia"/>
          <w:lang w:val="en-US"/>
        </w:rPr>
        <w:t xml:space="preserve">. Some earthquakes can generate bigger slip displacement, like </w:t>
      </w:r>
      <w:r w:rsidR="00A56A60">
        <w:rPr>
          <w:rFonts w:eastAsiaTheme="minorEastAsia"/>
          <w:lang w:val="en-US"/>
        </w:rPr>
        <w:t>~8</w:t>
      </w:r>
      <w:r w:rsidR="008F16AB">
        <w:rPr>
          <w:rFonts w:eastAsiaTheme="minorEastAsia"/>
          <w:lang w:val="en-US"/>
        </w:rPr>
        <w:t xml:space="preserve"> meter</w:t>
      </w:r>
      <w:r w:rsidR="00A568CE">
        <w:rPr>
          <w:rFonts w:eastAsiaTheme="minorEastAsia"/>
          <w:lang w:val="en-US"/>
        </w:rPr>
        <w:t>s</w:t>
      </w:r>
      <w:r w:rsidR="008F16AB">
        <w:rPr>
          <w:rFonts w:eastAsiaTheme="minorEastAsia"/>
          <w:lang w:val="en-US"/>
        </w:rPr>
        <w:t xml:space="preserve"> for the Chi-Chi earthquake</w:t>
      </w:r>
      <w:r w:rsidR="008F16AB">
        <w:rPr>
          <w:rFonts w:eastAsiaTheme="minorEastAsia"/>
          <w:lang w:val="en-US"/>
        </w:rPr>
        <w:fldChar w:fldCharType="begin"/>
      </w:r>
      <w:r w:rsidR="00DD6B14">
        <w:rPr>
          <w:rFonts w:eastAsiaTheme="minorEastAsia"/>
          <w:lang w:val="en-US"/>
        </w:rPr>
        <w:instrText xml:space="preserve"> ADDIN ZOTERO_ITEM CSL_CITATION {"citationID":"oPOJ6tSB","properties":{"formattedCitation":"\\super 23\\nosupersub{}","plainCitation":"23","noteIndex":0},"citationItems":[{"id":435,"uris":["http://zotero.org/users/5712877/items/F84QAK3I"],"uri":["http://zotero.org/users/5712877/items/F84QAK3I"],"itemData":{"id":435,"type":"article-journal","title":"Slip zone and energetics of a large earthquake from the Taiwan Chelungpu-fault Drilling Project","container-title":"Nature","page":"473-476","volume":"444","issue":"7118","source":"Crossref","DOI":"10.1038/nature05253","ISSN":"0028-0836, 1476-4687","language":"en","author":[{"family":"Ma","given":"Kuo-Fong"},{"family":"Tanaka","given":"Hidemi"},{"family":"Song","given":"Sheng-Rong"},{"family":"Wang","given":"Chien-Ying"},{"family":"Hung","given":"Jih-Hao"},{"family":"Tsai","given":"Yi-Ben"},{"family":"Mori","given":"Jim"},{"family":"Song","given":"Yen-Fang"},{"family":"Yeh","given":"Eh-Chao"},{"family":"Soh","given":"Wonn"},{"family":"Sone","given":"Hiroki"},{"family":"Kuo","given":"Li-Wei"},{"family":"Wu","given":"Hung-Yu"}],"issued":{"date-parts":[["2006",11]]}}}],"schema":"https://github.com/citation-style-language/schema/raw/master/csl-citation.json"} </w:instrText>
      </w:r>
      <w:r w:rsidR="008F16AB">
        <w:rPr>
          <w:rFonts w:eastAsiaTheme="minorEastAsia"/>
          <w:lang w:val="en-US"/>
        </w:rPr>
        <w:fldChar w:fldCharType="separate"/>
      </w:r>
      <w:r w:rsidR="00DD6B14" w:rsidRPr="00DD6B14">
        <w:rPr>
          <w:rFonts w:cs="Times New Roman"/>
          <w:szCs w:val="24"/>
          <w:vertAlign w:val="superscript"/>
          <w:lang w:val="en-US"/>
        </w:rPr>
        <w:t>23</w:t>
      </w:r>
      <w:r w:rsidR="008F16AB">
        <w:rPr>
          <w:rFonts w:eastAsiaTheme="minorEastAsia"/>
          <w:lang w:val="en-US"/>
        </w:rPr>
        <w:fldChar w:fldCharType="end"/>
      </w:r>
      <w:r w:rsidR="008F16AB">
        <w:rPr>
          <w:rFonts w:eastAsiaTheme="minorEastAsia"/>
          <w:lang w:val="en-US"/>
        </w:rPr>
        <w:t xml:space="preserve"> or in extreme case</w:t>
      </w:r>
      <w:r w:rsidR="00A568CE">
        <w:rPr>
          <w:rFonts w:eastAsiaTheme="minorEastAsia"/>
          <w:lang w:val="en-US"/>
        </w:rPr>
        <w:t xml:space="preserve">, displacements as large as </w:t>
      </w:r>
      <w:r w:rsidR="008F16AB">
        <w:rPr>
          <w:rFonts w:eastAsiaTheme="minorEastAsia"/>
          <w:lang w:val="en-US"/>
        </w:rPr>
        <w:t>50 meters for the M</w:t>
      </w:r>
      <w:r w:rsidR="008F16AB" w:rsidRPr="0063675D">
        <w:rPr>
          <w:rFonts w:eastAsiaTheme="minorEastAsia"/>
          <w:vertAlign w:val="subscript"/>
          <w:lang w:val="en-US"/>
        </w:rPr>
        <w:t>9</w:t>
      </w:r>
      <w:r w:rsidR="008F16AB">
        <w:rPr>
          <w:rFonts w:eastAsiaTheme="minorEastAsia"/>
          <w:lang w:val="en-US"/>
        </w:rPr>
        <w:t xml:space="preserve"> Tohuko Oki earthquake in 2011</w:t>
      </w:r>
      <w:r w:rsidR="008F16AB">
        <w:rPr>
          <w:rFonts w:eastAsiaTheme="minorEastAsia"/>
          <w:lang w:val="en-US"/>
        </w:rPr>
        <w:fldChar w:fldCharType="begin"/>
      </w:r>
      <w:r w:rsidR="00DD6B14">
        <w:rPr>
          <w:rFonts w:eastAsiaTheme="minorEastAsia"/>
          <w:lang w:val="en-US"/>
        </w:rPr>
        <w:instrText xml:space="preserve"> ADDIN ZOTERO_ITEM CSL_CITATION {"citationID":"FnnzSYlg","properties":{"formattedCitation":"\\super 14\\nosupersub{}","plainCitation":"14","noteIndex":0},"citationItems":[{"id":430,"uris":["http://zotero.org/users/5712877/items/Y68MANAU"],"uri":["http://zotero.org/users/5712877/items/Y68MANAU"],"itemData":{"id":430,"type":"article-journal","title":"Sources of shaking and flooding during the Tohoku-Oki earthquake: A mixture of rupture styles","container-title":"Earth and Planetary Science Letters","page":"91-100","volume":"333-334","source":"Crossref","abstract":"Modeling strong ground motions from great subduction zone earthquakes is one of the great challenges of computational seismology. To separate the rupture characteristics from complexities caused by 3D sub-surface geology requires an extraordinary data set such as provided by the recent Mw9.0 TohokuOki earthquake. Here we combine deterministic inversion and dynamically guided forward simulation methods to model over one thousand high-rate GPS and strong motion observations from 0 to 0.25 Hz across the entire Honshu Island. Our results display distinct styles of rupture with a deeper generic interplate event ( $ Mw8.5) transitioning to a shallow tsunamigenic earthquake ($ Mw9.0) at about 25 km depth in a process driven by a strong dynamic weakening mechanism, possibly thermal pressurization. This source model predicts many important features of the broad set of seismic, geodetic and seaﬂoor observations providing a major advance in our understanding of such great natural hazards.","DOI":"10.1016/j.epsl.2012.04.006","ISSN":"0012821X","title-short":"Sources of shaking and flooding during the Tohoku-Oki earthquake","language":"en","author":[{"family":"Wei","given":"Shengji"},{"family":"Graves","given":"Robert"},{"family":"Helmberger","given":"Don"},{"family":"Avouac","given":"Jean-Philippe"},{"family":"Jiang","given":"Junle"}],"issued":{"date-parts":[["2012",6]]}}}],"schema":"https://github.com/citation-style-language/schema/raw/master/csl-citation.json"} </w:instrText>
      </w:r>
      <w:r w:rsidR="008F16AB">
        <w:rPr>
          <w:rFonts w:eastAsiaTheme="minorEastAsia"/>
          <w:lang w:val="en-US"/>
        </w:rPr>
        <w:fldChar w:fldCharType="separate"/>
      </w:r>
      <w:r w:rsidR="00DD6B14" w:rsidRPr="00DD6B14">
        <w:rPr>
          <w:rFonts w:cs="Times New Roman"/>
          <w:szCs w:val="24"/>
          <w:vertAlign w:val="superscript"/>
        </w:rPr>
        <w:t>14</w:t>
      </w:r>
      <w:r w:rsidR="008F16AB">
        <w:rPr>
          <w:rFonts w:eastAsiaTheme="minorEastAsia"/>
          <w:lang w:val="en-US"/>
        </w:rPr>
        <w:fldChar w:fldCharType="end"/>
      </w:r>
      <w:r w:rsidR="008F16AB">
        <w:rPr>
          <w:rFonts w:eastAsiaTheme="minorEastAsia"/>
          <w:lang w:val="en-US"/>
        </w:rPr>
        <w:t xml:space="preserve">. However, </w:t>
      </w:r>
      <w:r w:rsidR="00BF6FE1">
        <w:rPr>
          <w:rFonts w:eastAsiaTheme="minorEastAsia"/>
          <w:lang w:val="en-US"/>
        </w:rPr>
        <w:t xml:space="preserve">as discussed above, these earthquakes occurred on major tectonic faults, at the scale of tectonic plates, which do not compare to the much smaller faults hosting the Black Fault Rocks considered here. We consider therefore that ~ 5 meters for a single event is a more appropriate </w:t>
      </w:r>
      <w:r>
        <w:rPr>
          <w:rFonts w:eastAsiaTheme="minorEastAsia"/>
          <w:lang w:val="en-US"/>
        </w:rPr>
        <w:t xml:space="preserve">upper bound </w:t>
      </w:r>
      <w:r w:rsidR="002657C8">
        <w:rPr>
          <w:rFonts w:eastAsiaTheme="minorEastAsia"/>
          <w:lang w:val="en-US"/>
        </w:rPr>
        <w:t>for the Black Fault Rocks</w:t>
      </w:r>
      <w:r w:rsidR="008F16AB">
        <w:rPr>
          <w:rFonts w:eastAsiaTheme="minorEastAsia"/>
          <w:lang w:val="en-US"/>
        </w:rPr>
        <w:fldChar w:fldCharType="begin"/>
      </w:r>
      <w:r w:rsidR="00DD6B14">
        <w:rPr>
          <w:rFonts w:eastAsiaTheme="minorEastAsia"/>
          <w:lang w:val="en-US"/>
        </w:rPr>
        <w:instrText xml:space="preserve"> ADDIN ZOTERO_ITEM CSL_CITATION {"citationID":"yycKMOyZ","properties":{"formattedCitation":"\\super 9,21,24\\nosupersub{}","plainCitation":"9,21,24","noteIndex":0},"citationItems":[{"id":315,"uris":["http://zotero.org/users/5712877/items/QRAJHXDG"],"uri":["http://zotero.org/users/5712877/items/QRAJHXDG"],"itemData":{"id":315,"type":"article-journal","title":"Pseudotachylytes in an ancient accretionary complex and implications for melt lubrication during subduction zone earthquakes","container-title":"Journal of Structural Geology","page":"599-613","volume":"29","issue":"4","source":"Crossref","abstract":"Pseudotachylyte-bearing fault zones, found in the Shimanto accretionary complex, southwest Japan, developed during subduction or underplating at seismogenic depths. The pseudotachylytes occur in narrow dark veins less than a few millimeters thick that are sharply bounded by foliated cataclasites that originated from a me´lange. The microstructures of pseudotachylytes are represented by a fragment-laden, glasssupported texture resulting from the rapid cooling of the frictional melt. Transmission electron microscopy reveals the presence of glass in which euhedral microcrystals of mullite are locally developed. The compositions of the pseudotachylyte matrix and the characteristics of the unmelted grains and microlites in the matrix suggest that frictional melting occurred in an illite-rich slip zone with a minimum melting temperature of 1100 \u0014C. The viscosities of the frictional melt were calculated from the pseudotachylyte matrix composition as well as from the volume fraction and aspect ratio of the unmelted grains. The viscosities at 1100 \u0014C range from 85 to 290 Pa s, and the corresponding shear resistance along a 1-mm-thick melt layer at a slip rate of 1 m/s was 0.1e0.3 MPa. The formation of a melt layer in an illite-rich slip zone can possibly induce large stress drops, increase the slip rate and enhance rupture propagation, which together could affect the earthquake magnitude in a subduction zone. Ó 2006 Elsevier Ltd. All rights reserved.","DOI":"10.1016/j.jsg.2006.10.012","ISSN":"01918141","language":"en","author":[{"family":"Ujiie","given":"Kohtaro"},{"family":"Yamaguchi","given":"Haruka"},{"family":"Sakaguchi","given":"Arito"},{"family":"Toh","given":"Shoichi"}],"issued":{"date-parts":[["2007",4]]}}},{"id":340,"uris":["http://zotero.org/users/5712877/items/F25W5NN5"],"uri":["http://zotero.org/users/5712877/items/F25W5NN5"],"itemData":{"id":340,"type":"article-journal","title":"Postseismic fluid discharge chemically recorded in altered pseudotachylyte discovered from an ancient megasplay fault: an example from the Nobeoka Thrust in the Shimanto accretionary complex, SW Japan","container-title":"Progress in Earth and Planetary Science","volume":"6","issue":"1","source":"Crossref","abstract":"Megasplay fault branching from plate boundaries of subduction zones is thought to be important sources of earthquakes and tsunamis. In this study, we performed structural and geochemical analyses on a fossilized megasplay fault (the Nobeoka Thrust of the Shimanto accretionary complex) to understand fluid-rock interaction and how the splay fault plays a role in fluid flow in the seismogenic zone. As a result of structural observations, we report that the principal slip zone (PSZ) of the Nobeoka Thrust is composed of foliated cataclasite originating from a sandstone-shale mélange and includes a thin (~ 1.5 mm thick) pseudotachylyte layer. Major and trace element composition analysis and EPMA element mapping revealed that the pseudotachylyte is enriched in Li and Cs within the PSZ, as well as in the slip zone of a minor fault in the footwall. Li and Cs enrichment in pseudotachylyte is interpreted as a result of fluid-rock interaction in the postseismic stage, because such an anomaly only results from a large fluid/rock ratio (R &gt; 512–24 at 250–350 °C) under the influence of Li- and Cs-enriched fluids. The amount of fluid that reacted with the pseudotachylyte is estimated to be 1.78 × 100 to 7.61 × 103 m3.","URL":"https://progearthplanetsci.springeropen.com/articles/10.1186/s40645-019-0281-2","DOI":"10.1186/s40645-019-0281-2","ISSN":"2197-4284","title-short":"Postseismic fluid discharge chemically recorded in altered pseudotachylyte discovered from an ancient megasplay fault","language":"en","author":[{"family":"Hasegawa","given":"Ryota"},{"family":"Yamaguchi","given":"Asuka"},{"family":"Fukuchi","given":"Rina"},{"family":"Hamada","given":"Yohei"},{"family":"Ogawa","given":"Nobuhiro"},{"family":"Kitamura","given":"Yujin"},{"family":"Kimura","given":"Gaku"},{"family":"Ashi","given":"Juichiro"},{"family":"Ishikawa","given":"Tsuyoshi"}],"issued":{"date-parts":[["2019",12]]},"accessed":{"date-parts":[["2020",9,22]]}}},{"id":317,"uris":["http://zotero.org/users/5712877/items/XU58MY3A"],"uri":["http://zotero.org/users/5712877/items/XU58MY3A"],"itemData":{"id":317,"type":"article-journal","title":"Earthquake faulting in subduction zones: insights from fault rocks in accretionary prisms","container-title":"Progress in Earth and Planetary Science","page":"7","volume":"1","issue":"1","source":"Crossref","abstract":"Subduction earthquakes on plate-boundary megathrusts accommodate most of the global seismic moment release, frequently resulting in devastating damage by ground shaking and tsunamis. As many earthquakes occur in deep-sea regions, the dynamics of earthquake faulting in subduction zones is poorly understood. However, the Integrated Ocean Drilling Program (IODP) Nankai Trough Seismogenic Zone Experiment (NanTroSEIZE) and fault rock studies in accretionary prisms exhumed from source depths of subduction earthquakes have greatly improved our understanding of earthquake faulting in subduction zones. Here, we review key advances that have been made over the last decade in the studies of fault rocks and in laboratory experiments using fault zone materials, with a particular focus on the Nankai Trough subduction zone and its on-land analog, the Shimanto accretionary complex in Japan. New insights into earthquake faulting in subduction zones are summarized in terms of the following: (1) the occurrence of seismic slip along velocity-strengthening materials both at shallow and deep depths; (2) dynamic weakening of faults by melt lubrication and fluidization, and possible factors controlling coseismic deformation mechanisms; (3) fluid-rock interactions and mineralogical and geochemical changes during earthquakes; and (4) geological and experimental aspects of slow earthquakes.","DOI":"10.1186/2197-4284-1-7","ISSN":"2197-4284","title-short":"Earthquake faulting in subduction zones","language":"en","author":[{"family":"Ujiie","given":"Kohtaro"},{"family":"Kimura","given":"Gaku"}],"issued":{"date-parts":[["2014"]]}}}],"schema":"https://github.com/citation-style-language/schema/raw/master/csl-citation.json"} </w:instrText>
      </w:r>
      <w:r w:rsidR="008F16AB">
        <w:rPr>
          <w:rFonts w:eastAsiaTheme="minorEastAsia"/>
          <w:lang w:val="en-US"/>
        </w:rPr>
        <w:fldChar w:fldCharType="separate"/>
      </w:r>
      <w:r w:rsidR="00DD6B14" w:rsidRPr="00DD6B14">
        <w:rPr>
          <w:rFonts w:cs="Times New Roman"/>
          <w:szCs w:val="24"/>
          <w:vertAlign w:val="superscript"/>
        </w:rPr>
        <w:t>9,21,24</w:t>
      </w:r>
      <w:r w:rsidR="008F16AB">
        <w:rPr>
          <w:rFonts w:eastAsiaTheme="minorEastAsia"/>
          <w:lang w:val="en-US"/>
        </w:rPr>
        <w:fldChar w:fldCharType="end"/>
      </w:r>
      <w:r w:rsidR="00BF6FE1">
        <w:rPr>
          <w:rFonts w:eastAsiaTheme="minorEastAsia"/>
          <w:lang w:val="en-US"/>
        </w:rPr>
        <w:t>.</w:t>
      </w:r>
      <w:r w:rsidR="00E40894">
        <w:rPr>
          <w:rFonts w:eastAsiaTheme="minorEastAsia"/>
          <w:lang w:val="en-US"/>
        </w:rPr>
        <w:t xml:space="preserve"> </w:t>
      </w:r>
      <w:r w:rsidR="00BF6FE1">
        <w:rPr>
          <w:rFonts w:eastAsiaTheme="minorEastAsia"/>
          <w:lang w:val="en-US"/>
        </w:rPr>
        <w:t>Consequently, for</w:t>
      </w:r>
      <w:r w:rsidR="008F16AB">
        <w:rPr>
          <w:rFonts w:eastAsiaTheme="minorEastAsia"/>
          <w:lang w:val="en-US"/>
        </w:rPr>
        <w:t xml:space="preserve"> a maximum fault displacement of 5</w:t>
      </w:r>
      <w:r w:rsidR="00504F59">
        <w:rPr>
          <w:rFonts w:eastAsiaTheme="minorEastAsia"/>
          <w:lang w:val="en-US"/>
        </w:rPr>
        <w:t xml:space="preserve"> meter</w:t>
      </w:r>
      <w:r w:rsidR="008A266C">
        <w:rPr>
          <w:rFonts w:eastAsiaTheme="minorEastAsia"/>
          <w:lang w:val="en-US"/>
        </w:rPr>
        <w:t>s</w:t>
      </w:r>
      <w:r w:rsidR="00504F59">
        <w:rPr>
          <w:rFonts w:eastAsiaTheme="minorEastAsia"/>
          <w:lang w:val="en-US"/>
        </w:rPr>
        <w:t xml:space="preserve"> with a slip rate at 1m/</w:t>
      </w:r>
      <w:r w:rsidR="008F16AB">
        <w:rPr>
          <w:rFonts w:eastAsiaTheme="minorEastAsia"/>
          <w:lang w:val="en-US"/>
        </w:rPr>
        <w:t>s we obtain a slip duration of 5</w:t>
      </w:r>
      <w:r w:rsidR="003F21D8">
        <w:rPr>
          <w:rFonts w:eastAsiaTheme="minorEastAsia"/>
          <w:lang w:val="en-US"/>
        </w:rPr>
        <w:t xml:space="preserve"> second.</w:t>
      </w:r>
      <w:r w:rsidR="00817A56">
        <w:rPr>
          <w:rFonts w:eastAsiaTheme="minorEastAsia"/>
          <w:lang w:val="en-US"/>
        </w:rPr>
        <w:t xml:space="preserve"> We also consider that the viscous shear is effective during 5 second and drop</w:t>
      </w:r>
      <w:r w:rsidR="0095657E">
        <w:rPr>
          <w:rFonts w:eastAsiaTheme="minorEastAsia"/>
          <w:lang w:val="en-US"/>
        </w:rPr>
        <w:t>s</w:t>
      </w:r>
      <w:r w:rsidR="00817A56">
        <w:rPr>
          <w:rFonts w:eastAsiaTheme="minorEastAsia"/>
          <w:lang w:val="en-US"/>
        </w:rPr>
        <w:t xml:space="preserve"> to 0 after this duration.</w:t>
      </w:r>
      <w:r w:rsidR="00392E86">
        <w:rPr>
          <w:rFonts w:eastAsiaTheme="minorEastAsia"/>
          <w:lang w:val="en-US"/>
        </w:rPr>
        <w:t xml:space="preserve"> </w:t>
      </w:r>
      <w:r w:rsidR="002E6DC9">
        <w:rPr>
          <w:rFonts w:eastAsiaTheme="minorEastAsia"/>
          <w:lang w:val="en-US"/>
        </w:rPr>
        <w:t>Supplementary</w:t>
      </w:r>
      <w:r w:rsidR="00392E86">
        <w:rPr>
          <w:rFonts w:eastAsiaTheme="minorEastAsia"/>
          <w:lang w:val="en-US"/>
        </w:rPr>
        <w:t xml:space="preserve"> Figure 5</w:t>
      </w:r>
      <w:r w:rsidR="002567E0">
        <w:rPr>
          <w:rFonts w:eastAsiaTheme="minorEastAsia"/>
          <w:lang w:val="en-US"/>
        </w:rPr>
        <w:t xml:space="preserve">e and </w:t>
      </w:r>
      <w:r w:rsidR="00392E86">
        <w:rPr>
          <w:rFonts w:eastAsiaTheme="minorEastAsia"/>
          <w:lang w:val="en-US"/>
        </w:rPr>
        <w:t>5</w:t>
      </w:r>
      <w:r w:rsidR="002567E0">
        <w:rPr>
          <w:rFonts w:eastAsiaTheme="minorEastAsia"/>
          <w:lang w:val="en-US"/>
        </w:rPr>
        <w:t>f</w:t>
      </w:r>
      <w:r w:rsidR="00504F59">
        <w:rPr>
          <w:rFonts w:eastAsiaTheme="minorEastAsia"/>
          <w:lang w:val="en-US"/>
        </w:rPr>
        <w:t xml:space="preserve"> report</w:t>
      </w:r>
      <w:r w:rsidR="003A7D4B">
        <w:rPr>
          <w:rFonts w:eastAsiaTheme="minorEastAsia"/>
          <w:lang w:val="en-US"/>
        </w:rPr>
        <w:t>s</w:t>
      </w:r>
      <w:r w:rsidR="00504F59">
        <w:rPr>
          <w:rFonts w:eastAsiaTheme="minorEastAsia"/>
          <w:lang w:val="en-US"/>
        </w:rPr>
        <w:t xml:space="preserve"> the result</w:t>
      </w:r>
      <w:r>
        <w:rPr>
          <w:rFonts w:eastAsiaTheme="minorEastAsia"/>
          <w:lang w:val="en-US"/>
        </w:rPr>
        <w:t>s</w:t>
      </w:r>
      <w:r w:rsidR="00504F59">
        <w:rPr>
          <w:rFonts w:eastAsiaTheme="minorEastAsia"/>
          <w:lang w:val="en-US"/>
        </w:rPr>
        <w:t xml:space="preserve"> obtain</w:t>
      </w:r>
      <w:r>
        <w:rPr>
          <w:rFonts w:eastAsiaTheme="minorEastAsia"/>
          <w:lang w:val="en-US"/>
        </w:rPr>
        <w:t>ed</w:t>
      </w:r>
      <w:r w:rsidR="00504F59">
        <w:rPr>
          <w:rFonts w:eastAsiaTheme="minorEastAsia"/>
          <w:lang w:val="en-US"/>
        </w:rPr>
        <w:t xml:space="preserve"> for the </w:t>
      </w:r>
      <w:r w:rsidR="006510BA">
        <w:rPr>
          <w:rFonts w:eastAsiaTheme="minorEastAsia"/>
          <w:lang w:val="en-US"/>
        </w:rPr>
        <w:t xml:space="preserve">modelling considering the viscous shear heating with a slip rate at 1m/s. However, </w:t>
      </w:r>
      <w:r w:rsidR="00504F59">
        <w:rPr>
          <w:rFonts w:eastAsiaTheme="minorEastAsia"/>
          <w:lang w:val="en-US"/>
        </w:rPr>
        <w:t xml:space="preserve">no </w:t>
      </w:r>
      <w:r>
        <w:rPr>
          <w:rFonts w:eastAsiaTheme="minorEastAsia"/>
          <w:lang w:val="en-US"/>
        </w:rPr>
        <w:t xml:space="preserve">significant difference can </w:t>
      </w:r>
      <w:r w:rsidR="00504F59">
        <w:rPr>
          <w:rFonts w:eastAsiaTheme="minorEastAsia"/>
          <w:lang w:val="en-US"/>
        </w:rPr>
        <w:t xml:space="preserve">be observed </w:t>
      </w:r>
      <w:r>
        <w:rPr>
          <w:rFonts w:eastAsiaTheme="minorEastAsia"/>
          <w:lang w:val="en-US"/>
        </w:rPr>
        <w:t xml:space="preserve">in </w:t>
      </w:r>
      <w:r w:rsidR="00504F59">
        <w:rPr>
          <w:rFonts w:eastAsiaTheme="minorEastAsia"/>
          <w:lang w:val="en-US"/>
        </w:rPr>
        <w:t xml:space="preserve">comparison with the </w:t>
      </w:r>
      <w:r>
        <w:rPr>
          <w:rFonts w:eastAsiaTheme="minorEastAsia"/>
          <w:lang w:val="en-US"/>
        </w:rPr>
        <w:t>model wi</w:t>
      </w:r>
      <w:r w:rsidR="004F0B4A">
        <w:rPr>
          <w:rFonts w:eastAsiaTheme="minorEastAsia"/>
          <w:lang w:val="en-US"/>
        </w:rPr>
        <w:t>thout viscous shear heating (2</w:t>
      </w:r>
      <w:r>
        <w:rPr>
          <w:rFonts w:eastAsiaTheme="minorEastAsia"/>
          <w:lang w:val="en-US"/>
        </w:rPr>
        <w:t>.1)</w:t>
      </w:r>
      <w:r w:rsidR="006510BA">
        <w:rPr>
          <w:rFonts w:eastAsiaTheme="minorEastAsia"/>
          <w:lang w:val="en-US"/>
        </w:rPr>
        <w:t xml:space="preserve">. </w:t>
      </w:r>
    </w:p>
    <w:p w14:paraId="38FED77B" w14:textId="00073501" w:rsidR="005D2401" w:rsidRDefault="00151F14" w:rsidP="00C52594">
      <w:pPr>
        <w:rPr>
          <w:rFonts w:eastAsiaTheme="minorEastAsia"/>
          <w:lang w:val="en-US"/>
        </w:rPr>
      </w:pPr>
      <w:r>
        <w:rPr>
          <w:rFonts w:eastAsiaTheme="minorEastAsia"/>
          <w:lang w:val="en-US"/>
        </w:rPr>
        <w:tab/>
      </w:r>
      <w:r w:rsidR="005D2401">
        <w:rPr>
          <w:rFonts w:eastAsiaTheme="minorEastAsia"/>
          <w:lang w:val="en-US"/>
        </w:rPr>
        <w:t xml:space="preserve">2.3 </w:t>
      </w:r>
      <w:r w:rsidR="00374813">
        <w:rPr>
          <w:rFonts w:eastAsiaTheme="minorEastAsia"/>
          <w:lang w:val="en-US"/>
        </w:rPr>
        <w:t>Budget of energy: cooling down vs. shear heating</w:t>
      </w:r>
      <w:r w:rsidR="005D2401">
        <w:rPr>
          <w:rFonts w:eastAsiaTheme="minorEastAsia"/>
          <w:lang w:val="en-US"/>
        </w:rPr>
        <w:t xml:space="preserve"> </w:t>
      </w:r>
    </w:p>
    <w:p w14:paraId="22860556" w14:textId="2D0E4BF6" w:rsidR="004F79AD" w:rsidRDefault="004F0B4A" w:rsidP="00C52594">
      <w:pPr>
        <w:rPr>
          <w:rFonts w:eastAsiaTheme="minorEastAsia"/>
          <w:lang w:val="en-US"/>
        </w:rPr>
      </w:pPr>
      <w:r>
        <w:rPr>
          <w:rFonts w:eastAsiaTheme="minorEastAsia"/>
          <w:lang w:val="en-US"/>
        </w:rPr>
        <w:t>The case study (2.</w:t>
      </w:r>
      <w:r w:rsidR="00EA4CC1">
        <w:rPr>
          <w:rFonts w:eastAsiaTheme="minorEastAsia"/>
          <w:lang w:val="en-US"/>
        </w:rPr>
        <w:t xml:space="preserve">1), where no viscous shear heating occurs, leads to variation in intensity ratio that are </w:t>
      </w:r>
      <w:r w:rsidR="0095657E">
        <w:rPr>
          <w:rFonts w:eastAsiaTheme="minorEastAsia"/>
          <w:lang w:val="en-US"/>
        </w:rPr>
        <w:t>small</w:t>
      </w:r>
      <w:r w:rsidR="00EA4CC1">
        <w:rPr>
          <w:rFonts w:eastAsiaTheme="minorEastAsia"/>
          <w:lang w:val="en-US"/>
        </w:rPr>
        <w:t xml:space="preserve"> with respect to measurements in natural Black Fault Rocks (</w:t>
      </w:r>
      <w:r w:rsidR="002E6DC9">
        <w:rPr>
          <w:rFonts w:eastAsiaTheme="minorEastAsia"/>
          <w:lang w:val="en-US"/>
        </w:rPr>
        <w:t>Supplementary</w:t>
      </w:r>
      <w:r w:rsidR="00392E86">
        <w:rPr>
          <w:rFonts w:eastAsiaTheme="minorEastAsia"/>
          <w:lang w:val="en-US"/>
        </w:rPr>
        <w:t xml:space="preserve"> Figure</w:t>
      </w:r>
      <w:r w:rsidR="00EA4CC1">
        <w:rPr>
          <w:rFonts w:eastAsiaTheme="minorEastAsia"/>
          <w:lang w:val="en-US"/>
        </w:rPr>
        <w:t xml:space="preserve"> </w:t>
      </w:r>
      <w:r w:rsidR="00392E86">
        <w:rPr>
          <w:rFonts w:eastAsiaTheme="minorEastAsia"/>
          <w:lang w:val="en-US"/>
        </w:rPr>
        <w:t>5</w:t>
      </w:r>
      <w:r w:rsidR="00EA4CC1">
        <w:rPr>
          <w:rFonts w:eastAsiaTheme="minorEastAsia"/>
          <w:lang w:val="en-US"/>
        </w:rPr>
        <w:t xml:space="preserve">c and </w:t>
      </w:r>
      <w:r w:rsidR="00392E86">
        <w:rPr>
          <w:rFonts w:eastAsiaTheme="minorEastAsia"/>
          <w:lang w:val="en-US"/>
        </w:rPr>
        <w:t>5</w:t>
      </w:r>
      <w:r w:rsidR="00EA4CC1">
        <w:rPr>
          <w:rFonts w:eastAsiaTheme="minorEastAsia"/>
          <w:lang w:val="en-US"/>
        </w:rPr>
        <w:t>d). Considering viscous shear h</w:t>
      </w:r>
      <w:r>
        <w:rPr>
          <w:rFonts w:eastAsiaTheme="minorEastAsia"/>
          <w:lang w:val="en-US"/>
        </w:rPr>
        <w:t>eating for 5s at 1m/s (case 2.</w:t>
      </w:r>
      <w:r w:rsidR="00EA4CC1">
        <w:rPr>
          <w:rFonts w:eastAsiaTheme="minorEastAsia"/>
          <w:lang w:val="en-US"/>
        </w:rPr>
        <w:t xml:space="preserve">2) does not result in significant difference, because the production of heat is not sufficient. One can therefore wonder what conditions of slip might induce enough shear heating as to influence the intensity ratio of the carbonaceous matter. </w:t>
      </w:r>
    </w:p>
    <w:p w14:paraId="362C6DA8" w14:textId="64018522" w:rsidR="00817A56" w:rsidRPr="00016B95" w:rsidRDefault="00A56A60" w:rsidP="00C52594">
      <w:pPr>
        <w:rPr>
          <w:rFonts w:eastAsiaTheme="minorEastAsia"/>
          <w:lang w:val="en-US"/>
        </w:rPr>
      </w:pPr>
      <w:r>
        <w:rPr>
          <w:rFonts w:eastAsiaTheme="minorEastAsia"/>
          <w:lang w:val="en-US"/>
        </w:rPr>
        <w:lastRenderedPageBreak/>
        <w:t xml:space="preserve">In a </w:t>
      </w:r>
      <w:r w:rsidR="004F79AD">
        <w:rPr>
          <w:rFonts w:eastAsiaTheme="minorEastAsia"/>
          <w:lang w:val="en-US"/>
        </w:rPr>
        <w:t>first approach to this issue</w:t>
      </w:r>
      <w:r>
        <w:rPr>
          <w:rFonts w:eastAsiaTheme="minorEastAsia"/>
          <w:lang w:val="en-US"/>
        </w:rPr>
        <w:t>, one</w:t>
      </w:r>
      <w:r w:rsidR="004F79AD">
        <w:rPr>
          <w:rFonts w:eastAsiaTheme="minorEastAsia"/>
          <w:lang w:val="en-US"/>
        </w:rPr>
        <w:t xml:space="preserve"> can simply consider the budget of heat associated with the cooling of the molten layer </w:t>
      </w:r>
      <w:r w:rsidR="00374813">
        <w:rPr>
          <w:rFonts w:eastAsiaTheme="minorEastAsia"/>
          <w:lang w:val="en-US"/>
        </w:rPr>
        <w:t>of 1mm of thickness, initially at T</w:t>
      </w:r>
      <w:r w:rsidR="00374813" w:rsidRPr="002B4935">
        <w:rPr>
          <w:rFonts w:eastAsiaTheme="minorEastAsia"/>
          <w:vertAlign w:val="subscript"/>
          <w:lang w:val="en-US"/>
        </w:rPr>
        <w:t>melt</w:t>
      </w:r>
      <w:r w:rsidR="00374813">
        <w:rPr>
          <w:rFonts w:eastAsiaTheme="minorEastAsia"/>
          <w:lang w:val="en-US"/>
        </w:rPr>
        <w:t xml:space="preserve"> and cooling down to the </w:t>
      </w:r>
      <w:r w:rsidR="00A568CE">
        <w:rPr>
          <w:rFonts w:eastAsiaTheme="minorEastAsia"/>
          <w:lang w:val="en-US"/>
        </w:rPr>
        <w:t>host-</w:t>
      </w:r>
      <w:r w:rsidR="00374813">
        <w:rPr>
          <w:rFonts w:eastAsiaTheme="minorEastAsia"/>
          <w:lang w:val="en-US"/>
        </w:rPr>
        <w:t>rock temperature T</w:t>
      </w:r>
      <w:r w:rsidR="00374813" w:rsidRPr="002B4935">
        <w:rPr>
          <w:rFonts w:eastAsiaTheme="minorEastAsia"/>
          <w:vertAlign w:val="subscript"/>
          <w:lang w:val="en-US"/>
        </w:rPr>
        <w:t>host</w:t>
      </w:r>
      <w:r w:rsidR="00374813">
        <w:rPr>
          <w:rFonts w:eastAsiaTheme="minorEastAsia"/>
          <w:lang w:val="en-US"/>
        </w:rPr>
        <w:t>:</w:t>
      </w:r>
      <w:r w:rsidR="00016B95">
        <w:rPr>
          <w:rFonts w:eastAsiaTheme="minorEastAsia"/>
          <w:lang w:val="en-US"/>
        </w:rPr>
        <w:t xml:space="preserve"> </w:t>
      </w:r>
    </w:p>
    <w:p w14:paraId="2C3A0DC4" w14:textId="461E616F" w:rsidR="00D01B3D" w:rsidRPr="00D01B3D" w:rsidRDefault="00D46348" w:rsidP="00C52594">
      <w:pPr>
        <w:rPr>
          <w:rFonts w:eastAsiaTheme="minorEastAsia"/>
          <w:lang w:val="en-US"/>
        </w:rPr>
      </w:pPr>
      <m:oMathPara>
        <m:oMath>
          <m:eqArr>
            <m:eqArrPr>
              <m:maxDist m:val="1"/>
              <m:ctrlPr>
                <w:rPr>
                  <w:rFonts w:ascii="Cambria Math" w:eastAsiaTheme="minorEastAsia" w:hAnsi="Cambria Math"/>
                  <w:i/>
                  <w:lang w:val="en-US"/>
                </w:rPr>
              </m:ctrlPr>
            </m:eqArrPr>
            <m:e>
              <m:sSub>
                <m:sSubPr>
                  <m:ctrlPr>
                    <w:rPr>
                      <w:rFonts w:ascii="Cambria Math" w:eastAsiaTheme="minorEastAsia" w:hAnsi="Cambria Math"/>
                      <w:i/>
                      <w:lang w:val="en-US"/>
                    </w:rPr>
                  </m:ctrlPr>
                </m:sSubPr>
                <m:e>
                  <m:r>
                    <w:rPr>
                      <w:rFonts w:ascii="Cambria Math" w:eastAsiaTheme="minorEastAsia" w:hAnsi="Cambria Math"/>
                      <w:lang w:val="en-US"/>
                    </w:rPr>
                    <m:t>E</m:t>
                  </m:r>
                </m:e>
                <m:sub>
                  <m:r>
                    <w:rPr>
                      <w:rFonts w:ascii="Cambria Math" w:eastAsiaTheme="minorEastAsia" w:hAnsi="Cambria Math"/>
                      <w:lang w:val="en-US"/>
                    </w:rPr>
                    <m:t>n</m:t>
                  </m:r>
                </m:sub>
              </m:sSub>
              <m:r>
                <w:rPr>
                  <w:rFonts w:ascii="Cambria Math" w:eastAsiaTheme="minorEastAsia" w:hAnsi="Cambria Math"/>
                  <w:lang w:val="en-US"/>
                </w:rPr>
                <m:t xml:space="preserve">=Cp . ρ . h . Surf . </m:t>
              </m:r>
              <m:d>
                <m:dPr>
                  <m:ctrlPr>
                    <w:rPr>
                      <w:rFonts w:ascii="Cambria Math" w:eastAsiaTheme="minorEastAsia" w:hAnsi="Cambria Math"/>
                      <w:i/>
                      <w:lang w:val="en-US"/>
                    </w:rPr>
                  </m:ctrlPr>
                </m:dPr>
                <m:e>
                  <m:r>
                    <w:rPr>
                      <w:rFonts w:ascii="Cambria Math" w:eastAsiaTheme="minorEastAsia" w:hAnsi="Cambria Math"/>
                      <w:lang w:val="en-US"/>
                    </w:rPr>
                    <m:t>Tmelt-Thost</m:t>
                  </m:r>
                </m:e>
              </m:d>
              <m:r>
                <w:rPr>
                  <w:rFonts w:ascii="Cambria Math" w:eastAsiaTheme="minorEastAsia" w:hAnsi="Cambria Math"/>
                  <w:lang w:val="en-US"/>
                </w:rPr>
                <m:t>#(4)</m:t>
              </m:r>
            </m:e>
          </m:eqArr>
        </m:oMath>
      </m:oMathPara>
    </w:p>
    <w:p w14:paraId="5EA47FC6" w14:textId="5E86D09E" w:rsidR="00016B95" w:rsidRDefault="00D01B3D" w:rsidP="00C52594">
      <w:pPr>
        <w:rPr>
          <w:rFonts w:eastAsiaTheme="minorEastAsia"/>
          <w:lang w:val="en-US"/>
        </w:rPr>
      </w:pPr>
      <w:r>
        <w:rPr>
          <w:rFonts w:eastAsiaTheme="minorEastAsia"/>
          <w:lang w:val="en-US"/>
        </w:rPr>
        <w:t xml:space="preserve">For a </w:t>
      </w:r>
      <w:r w:rsidR="00A568CE">
        <w:rPr>
          <w:rFonts w:eastAsiaTheme="minorEastAsia"/>
          <w:lang w:val="en-US"/>
        </w:rPr>
        <w:t xml:space="preserve">square </w:t>
      </w:r>
      <w:r>
        <w:rPr>
          <w:rFonts w:eastAsiaTheme="minorEastAsia"/>
          <w:lang w:val="en-US"/>
        </w:rPr>
        <w:t xml:space="preserve">meter </w:t>
      </w:r>
      <w:r w:rsidR="00A56A60">
        <w:rPr>
          <w:rFonts w:eastAsiaTheme="minorEastAsia"/>
          <w:lang w:val="en-US"/>
        </w:rPr>
        <w:t xml:space="preserve">of </w:t>
      </w:r>
      <w:r w:rsidR="00016B95">
        <w:rPr>
          <w:rFonts w:eastAsiaTheme="minorEastAsia"/>
          <w:lang w:val="en-US"/>
        </w:rPr>
        <w:t>surface,</w:t>
      </w:r>
      <w:r>
        <w:rPr>
          <w:rFonts w:eastAsiaTheme="minorEastAsia"/>
          <w:lang w:val="en-US"/>
        </w:rPr>
        <w:t xml:space="preserve"> we obtain a </w:t>
      </w:r>
      <w:r w:rsidR="00374813">
        <w:rPr>
          <w:rFonts w:eastAsiaTheme="minorEastAsia"/>
          <w:lang w:val="en-US"/>
        </w:rPr>
        <w:t>total energy budget of</w:t>
      </w:r>
      <w:r>
        <w:rPr>
          <w:rFonts w:eastAsiaTheme="minorEastAsia"/>
          <w:lang w:val="en-US"/>
        </w:rPr>
        <w:t xml:space="preserve"> </w:t>
      </w:r>
      <w:r w:rsidRPr="002B4935">
        <w:rPr>
          <w:rFonts w:eastAsiaTheme="minorEastAsia"/>
          <w:lang w:val="en-US"/>
        </w:rPr>
        <w:t>3.76</w:t>
      </w:r>
      <w:r w:rsidR="00504F59" w:rsidRPr="002B4935">
        <w:rPr>
          <w:rFonts w:eastAsiaTheme="minorEastAsia"/>
          <w:lang w:val="en-US"/>
        </w:rPr>
        <w:t>e</w:t>
      </w:r>
      <w:r w:rsidRPr="002B4935">
        <w:rPr>
          <w:rFonts w:eastAsiaTheme="minorEastAsia"/>
          <w:lang w:val="en-US"/>
        </w:rPr>
        <w:t>10</w:t>
      </w:r>
      <w:r w:rsidRPr="002B4935">
        <w:rPr>
          <w:rFonts w:eastAsiaTheme="minorEastAsia"/>
          <w:vertAlign w:val="superscript"/>
          <w:lang w:val="en-US"/>
        </w:rPr>
        <w:t xml:space="preserve">6 </w:t>
      </w:r>
      <w:r w:rsidRPr="002B4935">
        <w:rPr>
          <w:rFonts w:eastAsiaTheme="minorEastAsia"/>
          <w:lang w:val="en-US"/>
        </w:rPr>
        <w:t>Joules</w:t>
      </w:r>
      <w:r>
        <w:rPr>
          <w:rFonts w:eastAsiaTheme="minorEastAsia"/>
          <w:lang w:val="en-US"/>
        </w:rPr>
        <w:t xml:space="preserve">. </w:t>
      </w:r>
    </w:p>
    <w:p w14:paraId="04593512" w14:textId="45F63489" w:rsidR="008A266C" w:rsidRDefault="00374813" w:rsidP="00C52594">
      <w:pPr>
        <w:rPr>
          <w:rFonts w:eastAsiaTheme="minorEastAsia"/>
          <w:lang w:val="en-US"/>
        </w:rPr>
      </w:pPr>
      <w:r>
        <w:rPr>
          <w:rFonts w:eastAsiaTheme="minorEastAsia"/>
          <w:lang w:val="en-US"/>
        </w:rPr>
        <w:t xml:space="preserve">This budget can be compared </w:t>
      </w:r>
      <w:r w:rsidR="00A568CE">
        <w:rPr>
          <w:rFonts w:eastAsiaTheme="minorEastAsia"/>
          <w:lang w:val="en-US"/>
        </w:rPr>
        <w:t xml:space="preserve">with </w:t>
      </w:r>
      <w:r>
        <w:rPr>
          <w:rFonts w:eastAsiaTheme="minorEastAsia"/>
          <w:lang w:val="en-US"/>
        </w:rPr>
        <w:t>the</w:t>
      </w:r>
      <w:r w:rsidR="00016B95">
        <w:rPr>
          <w:rFonts w:eastAsiaTheme="minorEastAsia"/>
          <w:lang w:val="en-US"/>
        </w:rPr>
        <w:t xml:space="preserve"> amount of energy that can be produce</w:t>
      </w:r>
      <w:r w:rsidR="0037305C">
        <w:rPr>
          <w:rFonts w:eastAsiaTheme="minorEastAsia"/>
          <w:lang w:val="en-US"/>
        </w:rPr>
        <w:t>d</w:t>
      </w:r>
      <w:r w:rsidR="00016B95">
        <w:rPr>
          <w:rFonts w:eastAsiaTheme="minorEastAsia"/>
          <w:lang w:val="en-US"/>
        </w:rPr>
        <w:t xml:space="preserve"> by viscous shear heating. </w:t>
      </w:r>
      <w:r w:rsidR="008E4D1B">
        <w:rPr>
          <w:rFonts w:eastAsiaTheme="minorEastAsia"/>
          <w:lang w:val="en-US"/>
        </w:rPr>
        <w:t>Based on the equation (2</w:t>
      </w:r>
      <w:r>
        <w:rPr>
          <w:rFonts w:eastAsiaTheme="minorEastAsia"/>
          <w:lang w:val="en-US"/>
        </w:rPr>
        <w:t>.2), the heat production scales with the square of slip velocity. An upper bound on heat production can be obtained using extreme slip velocity, of the order of  10 m/s</w:t>
      </w:r>
      <w:r>
        <w:rPr>
          <w:rFonts w:eastAsiaTheme="minorEastAsia"/>
          <w:lang w:val="en-US"/>
        </w:rPr>
        <w:fldChar w:fldCharType="begin"/>
      </w:r>
      <w:r w:rsidR="00DD6B14">
        <w:rPr>
          <w:rFonts w:eastAsiaTheme="minorEastAsia"/>
          <w:lang w:val="en-US"/>
        </w:rPr>
        <w:instrText xml:space="preserve"> ADDIN ZOTERO_ITEM CSL_CITATION {"citationID":"cWKbRvB8","properties":{"formattedCitation":"\\super 14\\nosupersub{}","plainCitation":"14","noteIndex":0},"citationItems":[{"id":430,"uris":["http://zotero.org/users/5712877/items/Y68MANAU"],"uri":["http://zotero.org/users/5712877/items/Y68MANAU"],"itemData":{"id":430,"type":"article-journal","title":"Sources of shaking and flooding during the Tohoku-Oki earthquake: A mixture of rupture styles","container-title":"Earth and Planetary Science Letters","page":"91-100","volume":"333-334","source":"Crossref","abstract":"Modeling strong ground motions from great subduction zone earthquakes is one of the great challenges of computational seismology. To separate the rupture characteristics from complexities caused by 3D sub-surface geology requires an extraordinary data set such as provided by the recent Mw9.0 TohokuOki earthquake. Here we combine deterministic inversion and dynamically guided forward simulation methods to model over one thousand high-rate GPS and strong motion observations from 0 to 0.25 Hz across the entire Honshu Island. Our results display distinct styles of rupture with a deeper generic interplate event ( $ Mw8.5) transitioning to a shallow tsunamigenic earthquake ($ Mw9.0) at about 25 km depth in a process driven by a strong dynamic weakening mechanism, possibly thermal pressurization. This source model predicts many important features of the broad set of seismic, geodetic and seaﬂoor observations providing a major advance in our understanding of such great natural hazards.","DOI":"10.1016/j.epsl.2012.04.006","ISSN":"0012821X","title-short":"Sources of shaking and flooding during the Tohoku-Oki earthquake","language":"en","author":[{"family":"Wei","given":"Shengji"},{"family":"Graves","given":"Robert"},{"family":"Helmberger","given":"Don"},{"family":"Avouac","given":"Jean-Philippe"},{"family":"Jiang","given":"Junle"}],"issued":{"date-parts":[["2012",6]]}}}],"schema":"https://github.com/citation-style-language/schema/raw/master/csl-citation.json"} </w:instrText>
      </w:r>
      <w:r>
        <w:rPr>
          <w:rFonts w:eastAsiaTheme="minorEastAsia"/>
          <w:lang w:val="en-US"/>
        </w:rPr>
        <w:fldChar w:fldCharType="separate"/>
      </w:r>
      <w:r w:rsidR="00DD6B14" w:rsidRPr="00DD6B14">
        <w:rPr>
          <w:rFonts w:cs="Times New Roman"/>
          <w:szCs w:val="24"/>
          <w:vertAlign w:val="superscript"/>
          <w:lang w:val="en-US"/>
        </w:rPr>
        <w:t>14</w:t>
      </w:r>
      <w:r>
        <w:rPr>
          <w:rFonts w:eastAsiaTheme="minorEastAsia"/>
          <w:lang w:val="en-US"/>
        </w:rPr>
        <w:fldChar w:fldCharType="end"/>
      </w:r>
      <w:r>
        <w:rPr>
          <w:rFonts w:eastAsiaTheme="minorEastAsia"/>
          <w:lang w:val="en-US"/>
        </w:rPr>
        <w:t>. Using eq</w:t>
      </w:r>
      <w:r w:rsidR="002B4935">
        <w:rPr>
          <w:rFonts w:eastAsiaTheme="minorEastAsia"/>
          <w:lang w:val="en-US"/>
        </w:rPr>
        <w:t>uation (</w:t>
      </w:r>
      <w:r w:rsidR="008E4D1B">
        <w:rPr>
          <w:rFonts w:eastAsiaTheme="minorEastAsia"/>
          <w:lang w:val="en-US"/>
        </w:rPr>
        <w:t>2</w:t>
      </w:r>
      <w:r>
        <w:rPr>
          <w:rFonts w:eastAsiaTheme="minorEastAsia"/>
          <w:lang w:val="en-US"/>
        </w:rPr>
        <w:t>.2</w:t>
      </w:r>
      <w:r w:rsidR="002B4935">
        <w:rPr>
          <w:rFonts w:eastAsiaTheme="minorEastAsia"/>
          <w:lang w:val="en-US"/>
        </w:rPr>
        <w:t>)</w:t>
      </w:r>
      <w:r>
        <w:rPr>
          <w:rFonts w:eastAsiaTheme="minorEastAsia"/>
          <w:lang w:val="en-US"/>
        </w:rPr>
        <w:t xml:space="preserve">, we </w:t>
      </w:r>
      <w:r w:rsidR="00090EDC">
        <w:rPr>
          <w:rFonts w:eastAsiaTheme="minorEastAsia"/>
          <w:lang w:val="en-US"/>
        </w:rPr>
        <w:t xml:space="preserve">can calculate the amount of </w:t>
      </w:r>
      <w:r>
        <w:rPr>
          <w:rFonts w:eastAsiaTheme="minorEastAsia"/>
          <w:lang w:val="en-US"/>
        </w:rPr>
        <w:t xml:space="preserve">energy produced by </w:t>
      </w:r>
      <w:r w:rsidR="00090EDC">
        <w:rPr>
          <w:rFonts w:eastAsiaTheme="minorEastAsia"/>
          <w:lang w:val="en-US"/>
        </w:rPr>
        <w:t xml:space="preserve">shear heating for slip duration </w:t>
      </w:r>
      <w:r>
        <w:rPr>
          <w:rFonts w:eastAsiaTheme="minorEastAsia"/>
          <w:lang w:val="en-US"/>
        </w:rPr>
        <w:t xml:space="preserve">in the range </w:t>
      </w:r>
      <w:r w:rsidR="00090EDC">
        <w:rPr>
          <w:rFonts w:eastAsiaTheme="minorEastAsia"/>
          <w:lang w:val="en-US"/>
        </w:rPr>
        <w:t xml:space="preserve">0.1s </w:t>
      </w:r>
      <w:r>
        <w:rPr>
          <w:rFonts w:eastAsiaTheme="minorEastAsia"/>
          <w:lang w:val="en-US"/>
        </w:rPr>
        <w:t xml:space="preserve">to </w:t>
      </w:r>
      <w:r w:rsidR="00090EDC">
        <w:rPr>
          <w:rFonts w:eastAsiaTheme="minorEastAsia"/>
          <w:lang w:val="en-US"/>
        </w:rPr>
        <w:t>1s</w:t>
      </w:r>
      <w:r>
        <w:rPr>
          <w:rFonts w:eastAsiaTheme="minorEastAsia"/>
          <w:lang w:val="en-US"/>
        </w:rPr>
        <w:t xml:space="preserve"> and</w:t>
      </w:r>
      <w:r w:rsidR="00090EDC">
        <w:rPr>
          <w:rFonts w:eastAsiaTheme="minorEastAsia"/>
          <w:lang w:val="en-US"/>
        </w:rPr>
        <w:t xml:space="preserve"> for slip rates </w:t>
      </w:r>
      <w:r>
        <w:rPr>
          <w:rFonts w:eastAsiaTheme="minorEastAsia"/>
          <w:lang w:val="en-US"/>
        </w:rPr>
        <w:t xml:space="preserve">in the range </w:t>
      </w:r>
      <w:r w:rsidR="00090EDC">
        <w:rPr>
          <w:rFonts w:eastAsiaTheme="minorEastAsia"/>
          <w:lang w:val="en-US"/>
        </w:rPr>
        <w:t xml:space="preserve">1 m/s </w:t>
      </w:r>
      <w:r>
        <w:rPr>
          <w:rFonts w:eastAsiaTheme="minorEastAsia"/>
          <w:lang w:val="en-US"/>
        </w:rPr>
        <w:t xml:space="preserve">to </w:t>
      </w:r>
      <w:r w:rsidR="00090EDC">
        <w:rPr>
          <w:rFonts w:eastAsiaTheme="minorEastAsia"/>
          <w:lang w:val="en-US"/>
        </w:rPr>
        <w:t>10 m/s</w:t>
      </w:r>
      <w:r>
        <w:rPr>
          <w:rFonts w:eastAsiaTheme="minorEastAsia"/>
          <w:lang w:val="en-US"/>
        </w:rPr>
        <w:t>, on a volume of V = h . Surf</w:t>
      </w:r>
      <w:r w:rsidR="000C6699">
        <w:rPr>
          <w:rFonts w:eastAsiaTheme="minorEastAsia"/>
          <w:lang w:val="en-US"/>
        </w:rPr>
        <w:t xml:space="preserve"> </w:t>
      </w:r>
      <w:r>
        <w:rPr>
          <w:rFonts w:eastAsiaTheme="minorEastAsia"/>
          <w:lang w:val="en-US"/>
        </w:rPr>
        <w:t>=1mm.1m</w:t>
      </w:r>
      <w:r w:rsidRPr="002B4935">
        <w:rPr>
          <w:rFonts w:eastAsiaTheme="minorEastAsia"/>
          <w:vertAlign w:val="superscript"/>
          <w:lang w:val="en-US"/>
        </w:rPr>
        <w:t>2</w:t>
      </w:r>
      <w:r>
        <w:rPr>
          <w:rFonts w:eastAsiaTheme="minorEastAsia"/>
          <w:lang w:val="en-US"/>
        </w:rPr>
        <w:t xml:space="preserve"> (in Joules)</w:t>
      </w:r>
      <w:r w:rsidR="00090EDC">
        <w:rPr>
          <w:rFonts w:eastAsiaTheme="minorEastAsia"/>
          <w:lang w:val="en-US"/>
        </w:rPr>
        <w:t xml:space="preserve">: </w:t>
      </w:r>
    </w:p>
    <w:p w14:paraId="359B6A3E" w14:textId="5E685180" w:rsidR="000C6699" w:rsidRPr="00FC53FE" w:rsidRDefault="000C6699" w:rsidP="00FC53FE">
      <w:pPr>
        <w:pStyle w:val="Lgende"/>
        <w:keepNext/>
        <w:jc w:val="center"/>
        <w:rPr>
          <w:rFonts w:ascii="Arial" w:hAnsi="Arial" w:cs="Arial"/>
          <w:sz w:val="14"/>
          <w:szCs w:val="14"/>
          <w:lang w:val="en-US"/>
        </w:rPr>
      </w:pPr>
      <w:r w:rsidRPr="00FC53FE">
        <w:rPr>
          <w:rFonts w:ascii="Arial" w:hAnsi="Arial" w:cs="Arial"/>
          <w:b/>
          <w:sz w:val="14"/>
          <w:szCs w:val="14"/>
          <w:lang w:val="en-US"/>
        </w:rPr>
        <w:t xml:space="preserve">Note table </w:t>
      </w:r>
      <w:r w:rsidRPr="00FC53FE">
        <w:rPr>
          <w:rFonts w:ascii="Arial" w:hAnsi="Arial" w:cs="Arial"/>
          <w:b/>
          <w:sz w:val="14"/>
          <w:szCs w:val="14"/>
        </w:rPr>
        <w:fldChar w:fldCharType="begin"/>
      </w:r>
      <w:r w:rsidRPr="00FC53FE">
        <w:rPr>
          <w:rFonts w:ascii="Arial" w:hAnsi="Arial" w:cs="Arial"/>
          <w:b/>
          <w:sz w:val="14"/>
          <w:szCs w:val="14"/>
          <w:lang w:val="en-US"/>
        </w:rPr>
        <w:instrText xml:space="preserve"> SEQ Table \* ARABIC </w:instrText>
      </w:r>
      <w:r w:rsidRPr="00FC53FE">
        <w:rPr>
          <w:rFonts w:ascii="Arial" w:hAnsi="Arial" w:cs="Arial"/>
          <w:b/>
          <w:sz w:val="14"/>
          <w:szCs w:val="14"/>
        </w:rPr>
        <w:fldChar w:fldCharType="separate"/>
      </w:r>
      <w:r w:rsidRPr="00FC53FE">
        <w:rPr>
          <w:rFonts w:ascii="Arial" w:hAnsi="Arial" w:cs="Arial"/>
          <w:b/>
          <w:noProof/>
          <w:sz w:val="14"/>
          <w:szCs w:val="14"/>
          <w:lang w:val="en-US"/>
        </w:rPr>
        <w:t>1</w:t>
      </w:r>
      <w:r w:rsidRPr="00FC53FE">
        <w:rPr>
          <w:rFonts w:ascii="Arial" w:hAnsi="Arial" w:cs="Arial"/>
          <w:b/>
          <w:sz w:val="14"/>
          <w:szCs w:val="14"/>
        </w:rPr>
        <w:fldChar w:fldCharType="end"/>
      </w:r>
      <w:r w:rsidR="00FC53FE" w:rsidRPr="00FC53FE">
        <w:rPr>
          <w:rFonts w:ascii="Arial" w:hAnsi="Arial" w:cs="Arial"/>
          <w:b/>
          <w:sz w:val="14"/>
          <w:szCs w:val="14"/>
          <w:lang w:val="en-US"/>
        </w:rPr>
        <w:t xml:space="preserve"> </w:t>
      </w:r>
      <w:r w:rsidR="00FC53FE" w:rsidRPr="00FC53FE">
        <w:rPr>
          <w:rFonts w:ascii="Arial" w:hAnsi="Arial" w:cs="Arial"/>
          <w:b/>
          <w:bCs/>
          <w:sz w:val="14"/>
          <w:szCs w:val="14"/>
          <w:lang w:val="en-GB"/>
        </w:rPr>
        <w:t>|</w:t>
      </w:r>
      <w:r w:rsidRPr="00FC53FE">
        <w:rPr>
          <w:rFonts w:ascii="Arial" w:hAnsi="Arial" w:cs="Arial"/>
          <w:sz w:val="14"/>
          <w:szCs w:val="14"/>
          <w:lang w:val="en-US"/>
        </w:rPr>
        <w:t xml:space="preserve">  Energy produced by shear heating in Joules for various slip duration and rate</w:t>
      </w:r>
    </w:p>
    <w:tbl>
      <w:tblPr>
        <w:tblStyle w:val="TableauGrille1Clair"/>
        <w:tblW w:w="0" w:type="auto"/>
        <w:jc w:val="center"/>
        <w:tblLook w:val="04A0" w:firstRow="1" w:lastRow="0" w:firstColumn="1" w:lastColumn="0" w:noHBand="0" w:noVBand="1"/>
      </w:tblPr>
      <w:tblGrid>
        <w:gridCol w:w="1814"/>
        <w:gridCol w:w="1814"/>
        <w:gridCol w:w="1814"/>
      </w:tblGrid>
      <w:tr w:rsidR="00090EDC" w14:paraId="6726A8F6" w14:textId="77777777" w:rsidTr="00090EDC">
        <w:trPr>
          <w:cnfStyle w:val="100000000000" w:firstRow="1" w:lastRow="0" w:firstColumn="0" w:lastColumn="0" w:oddVBand="0" w:evenVBand="0" w:oddHBand="0"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1814" w:type="dxa"/>
          </w:tcPr>
          <w:p w14:paraId="6D55AAE9" w14:textId="77777777" w:rsidR="00090EDC" w:rsidRDefault="00090EDC" w:rsidP="00090EDC">
            <w:pPr>
              <w:jc w:val="center"/>
              <w:rPr>
                <w:rFonts w:eastAsiaTheme="minorEastAsia"/>
                <w:lang w:val="en-US"/>
              </w:rPr>
            </w:pPr>
            <w:r>
              <w:rPr>
                <w:rFonts w:eastAsiaTheme="minorEastAsia"/>
                <w:lang w:val="en-US"/>
              </w:rPr>
              <w:t xml:space="preserve"> </w:t>
            </w:r>
          </w:p>
        </w:tc>
        <w:tc>
          <w:tcPr>
            <w:tcW w:w="1814" w:type="dxa"/>
          </w:tcPr>
          <w:p w14:paraId="0A8A8F67" w14:textId="77777777" w:rsidR="00090EDC" w:rsidRDefault="00090EDC" w:rsidP="00090EDC">
            <w:pPr>
              <w:jc w:val="center"/>
              <w:cnfStyle w:val="100000000000" w:firstRow="1" w:lastRow="0" w:firstColumn="0" w:lastColumn="0" w:oddVBand="0" w:evenVBand="0" w:oddHBand="0" w:evenHBand="0" w:firstRowFirstColumn="0" w:firstRowLastColumn="0" w:lastRowFirstColumn="0" w:lastRowLastColumn="0"/>
              <w:rPr>
                <w:rFonts w:eastAsiaTheme="minorEastAsia"/>
                <w:lang w:val="en-US"/>
              </w:rPr>
            </w:pPr>
            <w:r>
              <w:rPr>
                <w:rFonts w:eastAsiaTheme="minorEastAsia"/>
                <w:lang w:val="en-US"/>
              </w:rPr>
              <w:t>1 m/s</w:t>
            </w:r>
          </w:p>
        </w:tc>
        <w:tc>
          <w:tcPr>
            <w:tcW w:w="1814" w:type="dxa"/>
          </w:tcPr>
          <w:p w14:paraId="00AC257C" w14:textId="77777777" w:rsidR="00090EDC" w:rsidRDefault="00090EDC" w:rsidP="00090EDC">
            <w:pPr>
              <w:jc w:val="center"/>
              <w:cnfStyle w:val="100000000000" w:firstRow="1" w:lastRow="0" w:firstColumn="0" w:lastColumn="0" w:oddVBand="0" w:evenVBand="0" w:oddHBand="0" w:evenHBand="0" w:firstRowFirstColumn="0" w:firstRowLastColumn="0" w:lastRowFirstColumn="0" w:lastRowLastColumn="0"/>
              <w:rPr>
                <w:rFonts w:eastAsiaTheme="minorEastAsia"/>
                <w:lang w:val="en-US"/>
              </w:rPr>
            </w:pPr>
            <w:r>
              <w:rPr>
                <w:rFonts w:eastAsiaTheme="minorEastAsia"/>
                <w:lang w:val="en-US"/>
              </w:rPr>
              <w:t>10 m/s</w:t>
            </w:r>
          </w:p>
        </w:tc>
      </w:tr>
      <w:tr w:rsidR="00090EDC" w14:paraId="1E920BD2" w14:textId="77777777" w:rsidTr="00504F59">
        <w:trPr>
          <w:trHeight w:val="552"/>
          <w:jc w:val="center"/>
        </w:trPr>
        <w:tc>
          <w:tcPr>
            <w:cnfStyle w:val="001000000000" w:firstRow="0" w:lastRow="0" w:firstColumn="1" w:lastColumn="0" w:oddVBand="0" w:evenVBand="0" w:oddHBand="0" w:evenHBand="0" w:firstRowFirstColumn="0" w:firstRowLastColumn="0" w:lastRowFirstColumn="0" w:lastRowLastColumn="0"/>
            <w:tcW w:w="1814" w:type="dxa"/>
          </w:tcPr>
          <w:p w14:paraId="512CD7EF" w14:textId="77777777" w:rsidR="00090EDC" w:rsidRDefault="00090EDC" w:rsidP="00090EDC">
            <w:pPr>
              <w:jc w:val="center"/>
              <w:rPr>
                <w:rFonts w:eastAsiaTheme="minorEastAsia"/>
                <w:lang w:val="en-US"/>
              </w:rPr>
            </w:pPr>
            <w:r>
              <w:rPr>
                <w:rFonts w:eastAsiaTheme="minorEastAsia"/>
                <w:lang w:val="en-US"/>
              </w:rPr>
              <w:t>0.1 s</w:t>
            </w:r>
          </w:p>
        </w:tc>
        <w:tc>
          <w:tcPr>
            <w:tcW w:w="1814" w:type="dxa"/>
            <w:vAlign w:val="center"/>
          </w:tcPr>
          <w:p w14:paraId="4064C6B6" w14:textId="77777777" w:rsidR="00090EDC" w:rsidRDefault="00090EDC" w:rsidP="00504F59">
            <w:pPr>
              <w:jc w:val="center"/>
              <w:cnfStyle w:val="000000000000" w:firstRow="0" w:lastRow="0" w:firstColumn="0" w:lastColumn="0" w:oddVBand="0" w:evenVBand="0" w:oddHBand="0" w:evenHBand="0" w:firstRowFirstColumn="0" w:firstRowLastColumn="0" w:lastRowFirstColumn="0" w:lastRowLastColumn="0"/>
              <w:rPr>
                <w:rFonts w:eastAsiaTheme="minorEastAsia"/>
                <w:lang w:val="en-US"/>
              </w:rPr>
            </w:pPr>
            <w:r>
              <w:rPr>
                <w:rFonts w:eastAsiaTheme="minorEastAsia"/>
                <w:lang w:val="en-US"/>
              </w:rPr>
              <w:t>1.0e10</w:t>
            </w:r>
            <w:r w:rsidRPr="00090EDC">
              <w:rPr>
                <w:rFonts w:eastAsiaTheme="minorEastAsia"/>
                <w:vertAlign w:val="superscript"/>
                <w:lang w:val="en-US"/>
              </w:rPr>
              <w:t>4</w:t>
            </w:r>
          </w:p>
        </w:tc>
        <w:tc>
          <w:tcPr>
            <w:tcW w:w="1814" w:type="dxa"/>
            <w:vAlign w:val="center"/>
          </w:tcPr>
          <w:p w14:paraId="75281A9E" w14:textId="77777777" w:rsidR="00090EDC" w:rsidRDefault="00090EDC" w:rsidP="00504F59">
            <w:pPr>
              <w:jc w:val="center"/>
              <w:cnfStyle w:val="000000000000" w:firstRow="0" w:lastRow="0" w:firstColumn="0" w:lastColumn="0" w:oddVBand="0" w:evenVBand="0" w:oddHBand="0" w:evenHBand="0" w:firstRowFirstColumn="0" w:firstRowLastColumn="0" w:lastRowFirstColumn="0" w:lastRowLastColumn="0"/>
              <w:rPr>
                <w:rFonts w:eastAsiaTheme="minorEastAsia"/>
                <w:lang w:val="en-US"/>
              </w:rPr>
            </w:pPr>
            <w:r>
              <w:rPr>
                <w:rFonts w:eastAsiaTheme="minorEastAsia"/>
                <w:lang w:val="en-US"/>
              </w:rPr>
              <w:t>1.0e10</w:t>
            </w:r>
            <w:r w:rsidRPr="00090EDC">
              <w:rPr>
                <w:rFonts w:eastAsiaTheme="minorEastAsia"/>
                <w:vertAlign w:val="superscript"/>
                <w:lang w:val="en-US"/>
              </w:rPr>
              <w:t>6</w:t>
            </w:r>
          </w:p>
        </w:tc>
      </w:tr>
      <w:tr w:rsidR="00090EDC" w14:paraId="3E054836" w14:textId="77777777" w:rsidTr="00504F59">
        <w:trPr>
          <w:trHeight w:val="552"/>
          <w:jc w:val="center"/>
        </w:trPr>
        <w:tc>
          <w:tcPr>
            <w:cnfStyle w:val="001000000000" w:firstRow="0" w:lastRow="0" w:firstColumn="1" w:lastColumn="0" w:oddVBand="0" w:evenVBand="0" w:oddHBand="0" w:evenHBand="0" w:firstRowFirstColumn="0" w:firstRowLastColumn="0" w:lastRowFirstColumn="0" w:lastRowLastColumn="0"/>
            <w:tcW w:w="1814" w:type="dxa"/>
          </w:tcPr>
          <w:p w14:paraId="63DC4AD5" w14:textId="77777777" w:rsidR="00090EDC" w:rsidRDefault="00090EDC" w:rsidP="00090EDC">
            <w:pPr>
              <w:jc w:val="center"/>
              <w:rPr>
                <w:rFonts w:eastAsiaTheme="minorEastAsia"/>
                <w:lang w:val="en-US"/>
              </w:rPr>
            </w:pPr>
            <w:r>
              <w:rPr>
                <w:rFonts w:eastAsiaTheme="minorEastAsia"/>
                <w:lang w:val="en-US"/>
              </w:rPr>
              <w:t>1 s</w:t>
            </w:r>
          </w:p>
        </w:tc>
        <w:tc>
          <w:tcPr>
            <w:tcW w:w="1814" w:type="dxa"/>
            <w:vAlign w:val="center"/>
          </w:tcPr>
          <w:p w14:paraId="152FBB87" w14:textId="77777777" w:rsidR="00090EDC" w:rsidRDefault="00090EDC" w:rsidP="00504F59">
            <w:pPr>
              <w:jc w:val="center"/>
              <w:cnfStyle w:val="000000000000" w:firstRow="0" w:lastRow="0" w:firstColumn="0" w:lastColumn="0" w:oddVBand="0" w:evenVBand="0" w:oddHBand="0" w:evenHBand="0" w:firstRowFirstColumn="0" w:firstRowLastColumn="0" w:lastRowFirstColumn="0" w:lastRowLastColumn="0"/>
              <w:rPr>
                <w:rFonts w:eastAsiaTheme="minorEastAsia"/>
                <w:lang w:val="en-US"/>
              </w:rPr>
            </w:pPr>
            <w:r>
              <w:rPr>
                <w:rFonts w:eastAsiaTheme="minorEastAsia"/>
                <w:lang w:val="en-US"/>
              </w:rPr>
              <w:t>1.0e10</w:t>
            </w:r>
            <w:r w:rsidRPr="00090EDC">
              <w:rPr>
                <w:rFonts w:eastAsiaTheme="minorEastAsia"/>
                <w:vertAlign w:val="superscript"/>
                <w:lang w:val="en-US"/>
              </w:rPr>
              <w:t>5</w:t>
            </w:r>
          </w:p>
        </w:tc>
        <w:tc>
          <w:tcPr>
            <w:tcW w:w="1814" w:type="dxa"/>
            <w:vAlign w:val="center"/>
          </w:tcPr>
          <w:p w14:paraId="6339DDF7" w14:textId="77777777" w:rsidR="00090EDC" w:rsidRDefault="00090EDC" w:rsidP="000C6699">
            <w:pPr>
              <w:keepNext/>
              <w:jc w:val="center"/>
              <w:cnfStyle w:val="000000000000" w:firstRow="0" w:lastRow="0" w:firstColumn="0" w:lastColumn="0" w:oddVBand="0" w:evenVBand="0" w:oddHBand="0" w:evenHBand="0" w:firstRowFirstColumn="0" w:firstRowLastColumn="0" w:lastRowFirstColumn="0" w:lastRowLastColumn="0"/>
              <w:rPr>
                <w:rFonts w:eastAsiaTheme="minorEastAsia"/>
                <w:lang w:val="en-US"/>
              </w:rPr>
            </w:pPr>
            <w:r>
              <w:rPr>
                <w:rFonts w:eastAsiaTheme="minorEastAsia"/>
                <w:lang w:val="en-US"/>
              </w:rPr>
              <w:t>1.0e10</w:t>
            </w:r>
            <w:r w:rsidRPr="00090EDC">
              <w:rPr>
                <w:rFonts w:eastAsiaTheme="minorEastAsia"/>
                <w:vertAlign w:val="superscript"/>
                <w:lang w:val="en-US"/>
              </w:rPr>
              <w:t>7</w:t>
            </w:r>
          </w:p>
        </w:tc>
      </w:tr>
    </w:tbl>
    <w:p w14:paraId="1B559CB0" w14:textId="77777777" w:rsidR="000C6699" w:rsidRDefault="000C6699" w:rsidP="00C52594">
      <w:pPr>
        <w:rPr>
          <w:rFonts w:eastAsiaTheme="minorEastAsia"/>
          <w:lang w:val="en-US"/>
        </w:rPr>
      </w:pPr>
    </w:p>
    <w:p w14:paraId="5FC7586A" w14:textId="229077EE" w:rsidR="00090EDC" w:rsidRDefault="00090EDC" w:rsidP="00C52594">
      <w:pPr>
        <w:rPr>
          <w:rFonts w:eastAsiaTheme="minorEastAsia"/>
          <w:lang w:val="en-US"/>
        </w:rPr>
      </w:pPr>
      <w:r>
        <w:rPr>
          <w:rFonts w:eastAsiaTheme="minorEastAsia"/>
          <w:lang w:val="en-US"/>
        </w:rPr>
        <w:t>Comparing these values with the heat diffusion</w:t>
      </w:r>
      <w:r w:rsidR="00016B95">
        <w:rPr>
          <w:rFonts w:eastAsiaTheme="minorEastAsia"/>
          <w:lang w:val="en-US"/>
        </w:rPr>
        <w:t xml:space="preserve"> (E</w:t>
      </w:r>
      <w:r w:rsidR="00016B95" w:rsidRPr="00016B95">
        <w:rPr>
          <w:rFonts w:eastAsiaTheme="minorEastAsia"/>
          <w:vertAlign w:val="subscript"/>
          <w:lang w:val="en-US"/>
        </w:rPr>
        <w:t>n</w:t>
      </w:r>
      <w:r w:rsidR="00016B95">
        <w:rPr>
          <w:rFonts w:eastAsiaTheme="minorEastAsia"/>
          <w:lang w:val="en-US"/>
        </w:rPr>
        <w:t>)</w:t>
      </w:r>
      <w:r>
        <w:rPr>
          <w:rFonts w:eastAsiaTheme="minorEastAsia"/>
          <w:lang w:val="en-US"/>
        </w:rPr>
        <w:t xml:space="preserve">, </w:t>
      </w:r>
      <w:r w:rsidR="00374813">
        <w:rPr>
          <w:rFonts w:eastAsiaTheme="minorEastAsia"/>
          <w:lang w:val="en-US"/>
        </w:rPr>
        <w:t>it appears that shear heating produces a significant amount of energy only for very high slip rates (10m/s) and for duration of at least 0.1s</w:t>
      </w:r>
      <w:r>
        <w:rPr>
          <w:rFonts w:eastAsiaTheme="minorEastAsia"/>
          <w:lang w:val="en-US"/>
        </w:rPr>
        <w:t xml:space="preserve">.  </w:t>
      </w:r>
    </w:p>
    <w:p w14:paraId="22C1774A" w14:textId="6C97E0D8" w:rsidR="002B4935" w:rsidRPr="00151F14" w:rsidRDefault="002B4935" w:rsidP="00151F14">
      <w:pPr>
        <w:pStyle w:val="Paragraphedeliste"/>
        <w:numPr>
          <w:ilvl w:val="1"/>
          <w:numId w:val="16"/>
        </w:numPr>
        <w:rPr>
          <w:rFonts w:eastAsiaTheme="minorEastAsia"/>
          <w:lang w:val="en-US"/>
        </w:rPr>
      </w:pPr>
      <w:r w:rsidRPr="00151F14">
        <w:rPr>
          <w:lang w:val="en-US"/>
        </w:rPr>
        <w:t xml:space="preserve">With viscous shear heating, </w:t>
      </w:r>
      <w:r w:rsidRPr="00151F14">
        <w:rPr>
          <w:rFonts w:eastAsiaTheme="minorEastAsia"/>
          <w:lang w:val="en-US"/>
        </w:rPr>
        <w:t>considering displacement at 1</w:t>
      </w:r>
      <w:r w:rsidR="0095657E">
        <w:rPr>
          <w:rFonts w:eastAsiaTheme="minorEastAsia"/>
          <w:lang w:val="en-US"/>
        </w:rPr>
        <w:t>0</w:t>
      </w:r>
      <w:r w:rsidRPr="00151F14">
        <w:rPr>
          <w:rFonts w:eastAsiaTheme="minorEastAsia"/>
          <w:lang w:val="en-US"/>
        </w:rPr>
        <w:t>m/s</w:t>
      </w:r>
      <w:r w:rsidRPr="00151F14" w:rsidDel="00374813">
        <w:rPr>
          <w:rFonts w:eastAsiaTheme="minorEastAsia"/>
          <w:lang w:val="en-US"/>
        </w:rPr>
        <w:t xml:space="preserve"> </w:t>
      </w:r>
    </w:p>
    <w:p w14:paraId="01D1A174" w14:textId="345650BC" w:rsidR="00B63041" w:rsidRDefault="00374813">
      <w:pPr>
        <w:rPr>
          <w:rFonts w:eastAsiaTheme="minorEastAsia"/>
          <w:lang w:val="en-US"/>
        </w:rPr>
      </w:pPr>
      <w:r w:rsidRPr="002B4935">
        <w:rPr>
          <w:rFonts w:eastAsiaTheme="minorEastAsia"/>
          <w:lang w:val="en-US"/>
        </w:rPr>
        <w:t>On the basis of the calculations above, only</w:t>
      </w:r>
      <w:r w:rsidR="00016B95" w:rsidRPr="002B4935">
        <w:rPr>
          <w:rFonts w:eastAsiaTheme="minorEastAsia"/>
          <w:lang w:val="en-US"/>
        </w:rPr>
        <w:t xml:space="preserve"> high slip rate of 10m/s</w:t>
      </w:r>
      <w:r w:rsidRPr="002B4935">
        <w:rPr>
          <w:rFonts w:eastAsiaTheme="minorEastAsia"/>
          <w:lang w:val="en-US"/>
        </w:rPr>
        <w:t xml:space="preserve"> can possibly produce enough energy as to influence the intensity ratio of the carbonaceous material</w:t>
      </w:r>
      <w:r w:rsidR="0042158B" w:rsidRPr="002B4935">
        <w:rPr>
          <w:rFonts w:eastAsiaTheme="minorEastAsia"/>
          <w:lang w:val="en-US"/>
        </w:rPr>
        <w:t xml:space="preserve"> in the molten layer</w:t>
      </w:r>
      <w:r w:rsidR="00016B95" w:rsidRPr="002B4935">
        <w:rPr>
          <w:rFonts w:eastAsiaTheme="minorEastAsia"/>
          <w:lang w:val="en-US"/>
        </w:rPr>
        <w:t xml:space="preserve">. </w:t>
      </w:r>
      <w:r w:rsidR="003E6700" w:rsidRPr="002B4935">
        <w:rPr>
          <w:rFonts w:eastAsiaTheme="minorEastAsia"/>
          <w:lang w:val="en-US"/>
        </w:rPr>
        <w:t xml:space="preserve">In order to compare </w:t>
      </w:r>
      <w:r w:rsidR="002B4935" w:rsidRPr="002B4935">
        <w:rPr>
          <w:rFonts w:eastAsiaTheme="minorEastAsia"/>
          <w:lang w:val="en-US"/>
        </w:rPr>
        <w:t>these modelling results</w:t>
      </w:r>
      <w:r w:rsidR="003E6700" w:rsidRPr="002B4935">
        <w:rPr>
          <w:rFonts w:eastAsiaTheme="minorEastAsia"/>
          <w:lang w:val="en-US"/>
        </w:rPr>
        <w:t xml:space="preserve"> with natural data we have to set the shear parameters to find the same value (eg. 0.7 for the intensity ratio) in the center of the molten vein. The </w:t>
      </w:r>
      <w:r w:rsidR="0042158B" w:rsidRPr="002B4935">
        <w:rPr>
          <w:rFonts w:eastAsiaTheme="minorEastAsia"/>
          <w:lang w:val="en-US"/>
        </w:rPr>
        <w:lastRenderedPageBreak/>
        <w:t xml:space="preserve">appropriate </w:t>
      </w:r>
      <w:r w:rsidR="003E6700" w:rsidRPr="002B4935">
        <w:rPr>
          <w:rFonts w:eastAsiaTheme="minorEastAsia"/>
          <w:lang w:val="en-US"/>
        </w:rPr>
        <w:t xml:space="preserve">slip rate and the slip duration </w:t>
      </w:r>
      <w:r w:rsidR="0042158B" w:rsidRPr="00980D7A">
        <w:rPr>
          <w:rFonts w:eastAsiaTheme="minorEastAsia"/>
          <w:lang w:val="en-US"/>
        </w:rPr>
        <w:t>are</w:t>
      </w:r>
      <w:r w:rsidR="00C94234">
        <w:rPr>
          <w:rFonts w:eastAsiaTheme="minorEastAsia"/>
          <w:lang w:val="en-US"/>
        </w:rPr>
        <w:t xml:space="preserve"> at 10 m/s and 1</w:t>
      </w:r>
      <w:r w:rsidR="003E6700" w:rsidRPr="00980D7A">
        <w:rPr>
          <w:rFonts w:eastAsiaTheme="minorEastAsia"/>
          <w:lang w:val="en-US"/>
        </w:rPr>
        <w:t xml:space="preserve"> sec</w:t>
      </w:r>
      <w:r w:rsidR="003E6700" w:rsidRPr="002B4935">
        <w:rPr>
          <w:rFonts w:eastAsiaTheme="minorEastAsia"/>
          <w:lang w:val="en-US"/>
        </w:rPr>
        <w:t xml:space="preserve">ond respectively. The total displacement for these parameters is </w:t>
      </w:r>
      <w:r w:rsidR="00C94234">
        <w:rPr>
          <w:rFonts w:eastAsiaTheme="minorEastAsia"/>
          <w:lang w:val="en-US"/>
        </w:rPr>
        <w:t>10</w:t>
      </w:r>
      <w:r w:rsidR="003E6700" w:rsidRPr="002B4935">
        <w:rPr>
          <w:rFonts w:eastAsiaTheme="minorEastAsia"/>
          <w:lang w:val="en-US"/>
        </w:rPr>
        <w:t xml:space="preserve"> meters and is consistent with naturel estimated slip displacement</w:t>
      </w:r>
      <w:r w:rsidR="00A56A60">
        <w:rPr>
          <w:rFonts w:eastAsiaTheme="minorEastAsia"/>
          <w:lang w:val="en-US"/>
        </w:rPr>
        <w:t xml:space="preserve"> during very large earthquakes</w:t>
      </w:r>
      <w:r w:rsidR="003E6700" w:rsidRPr="002B4935">
        <w:rPr>
          <w:rFonts w:eastAsiaTheme="minorEastAsia"/>
          <w:lang w:val="en-US"/>
        </w:rPr>
        <w:t>.</w:t>
      </w:r>
      <w:r w:rsidR="00987C9C" w:rsidRPr="002B4935">
        <w:rPr>
          <w:rFonts w:eastAsiaTheme="minorEastAsia"/>
          <w:lang w:val="en-US"/>
        </w:rPr>
        <w:t xml:space="preserve"> </w:t>
      </w:r>
      <w:r w:rsidR="004543F8" w:rsidRPr="002B4935">
        <w:rPr>
          <w:rFonts w:eastAsiaTheme="minorEastAsia"/>
          <w:lang w:val="en-US"/>
        </w:rPr>
        <w:t xml:space="preserve">Results obtained </w:t>
      </w:r>
      <w:r w:rsidR="003A7D4B" w:rsidRPr="002B4935">
        <w:rPr>
          <w:rFonts w:eastAsiaTheme="minorEastAsia"/>
          <w:lang w:val="en-US"/>
        </w:rPr>
        <w:t>have been presented</w:t>
      </w:r>
      <w:r w:rsidR="00157A61" w:rsidRPr="002B4935">
        <w:rPr>
          <w:rFonts w:eastAsiaTheme="minorEastAsia"/>
          <w:lang w:val="en-US"/>
        </w:rPr>
        <w:t xml:space="preserve"> in the Figure 3</w:t>
      </w:r>
      <w:r w:rsidR="003A7D4B" w:rsidRPr="002B4935">
        <w:rPr>
          <w:rFonts w:eastAsiaTheme="minorEastAsia"/>
          <w:lang w:val="en-US"/>
        </w:rPr>
        <w:t>a and 3b</w:t>
      </w:r>
      <w:r w:rsidR="00157A61" w:rsidRPr="002B4935">
        <w:rPr>
          <w:rFonts w:eastAsiaTheme="minorEastAsia"/>
          <w:lang w:val="en-US"/>
        </w:rPr>
        <w:t xml:space="preserve"> of the main article.</w:t>
      </w:r>
    </w:p>
    <w:p w14:paraId="03B4BBE6" w14:textId="505EDF91" w:rsidR="00B63041" w:rsidRDefault="00B63041" w:rsidP="00B63041">
      <w:pPr>
        <w:rPr>
          <w:lang w:val="en-US"/>
        </w:rPr>
      </w:pPr>
      <w:r>
        <w:rPr>
          <w:lang w:val="en-US"/>
        </w:rPr>
        <w:t xml:space="preserve">Supplementary Note 2 </w:t>
      </w:r>
    </w:p>
    <w:p w14:paraId="316825FF" w14:textId="77777777" w:rsidR="00B63041" w:rsidRDefault="00157A61">
      <w:pPr>
        <w:rPr>
          <w:b/>
          <w:lang w:val="en-US"/>
        </w:rPr>
      </w:pPr>
      <w:r w:rsidRPr="002B4935">
        <w:rPr>
          <w:rFonts w:eastAsiaTheme="minorEastAsia"/>
          <w:lang w:val="en-US"/>
        </w:rPr>
        <w:t xml:space="preserve"> </w:t>
      </w:r>
      <w:r w:rsidR="00B63041" w:rsidRPr="00B63041">
        <w:rPr>
          <w:rFonts w:eastAsiaTheme="minorEastAsia"/>
          <w:b/>
          <w:lang w:val="en-US"/>
        </w:rPr>
        <w:t>Material and methods</w:t>
      </w:r>
    </w:p>
    <w:p w14:paraId="76ADACC3" w14:textId="77777777" w:rsidR="00B63041" w:rsidRPr="008D1BBE" w:rsidRDefault="00B63041" w:rsidP="00B63041">
      <w:pPr>
        <w:pStyle w:val="Paragraphedeliste"/>
        <w:numPr>
          <w:ilvl w:val="0"/>
          <w:numId w:val="15"/>
        </w:numPr>
        <w:rPr>
          <w:lang w:val="en-US"/>
        </w:rPr>
      </w:pPr>
      <w:r w:rsidRPr="008D1BBE">
        <w:rPr>
          <w:lang w:val="en-US"/>
        </w:rPr>
        <w:t>Raman Spectra of Carbonaceous Material:</w:t>
      </w:r>
    </w:p>
    <w:p w14:paraId="7FC9A1B5" w14:textId="77777777" w:rsidR="00B63041" w:rsidRPr="00E6366E" w:rsidRDefault="00B63041" w:rsidP="00B63041">
      <w:pPr>
        <w:rPr>
          <w:lang w:val="en-US"/>
        </w:rPr>
      </w:pPr>
      <w:r>
        <w:rPr>
          <w:lang w:val="en-US"/>
        </w:rPr>
        <w:t>Samples were all cut in the X-Z structural plane to prepare 30 µm-thick standard thin</w:t>
      </w:r>
      <w:r w:rsidRPr="00D14A4E">
        <w:rPr>
          <w:lang w:val="en-US"/>
        </w:rPr>
        <w:t xml:space="preserve"> section</w:t>
      </w:r>
      <w:r>
        <w:rPr>
          <w:lang w:val="en-US"/>
        </w:rPr>
        <w:t>s.</w:t>
      </w:r>
      <w:r w:rsidRPr="00D14A4E">
        <w:rPr>
          <w:lang w:val="en-US"/>
        </w:rPr>
        <w:t xml:space="preserve"> </w:t>
      </w:r>
      <w:r>
        <w:rPr>
          <w:lang w:val="en-US"/>
        </w:rPr>
        <w:t xml:space="preserve">Sections were </w:t>
      </w:r>
      <w:r w:rsidRPr="00D14A4E">
        <w:rPr>
          <w:lang w:val="en-US"/>
        </w:rPr>
        <w:t xml:space="preserve">analyzed with ReniShaw InVIA microspectrometer using </w:t>
      </w:r>
      <w:r>
        <w:rPr>
          <w:lang w:val="en-US"/>
        </w:rPr>
        <w:t xml:space="preserve">argon </w:t>
      </w:r>
      <w:r w:rsidRPr="00D14A4E">
        <w:rPr>
          <w:lang w:val="en-US"/>
        </w:rPr>
        <w:t xml:space="preserve">laser beam of 514 nm focused on the sample by DM2500 Leica microscope equipped with </w:t>
      </w:r>
      <w:r>
        <w:rPr>
          <w:lang w:val="en-US"/>
        </w:rPr>
        <w:t>x</w:t>
      </w:r>
      <w:r w:rsidRPr="00D14A4E">
        <w:rPr>
          <w:lang w:val="en-US"/>
        </w:rPr>
        <w:t>100 objective.</w:t>
      </w:r>
      <w:r>
        <w:rPr>
          <w:lang w:val="en-US"/>
        </w:rPr>
        <w:t xml:space="preserve"> These apparatus are coupled with Renishaw software Wire 4.0 which was used for acquisition.</w:t>
      </w:r>
      <w:r w:rsidRPr="00D14A4E">
        <w:rPr>
          <w:lang w:val="en-US"/>
        </w:rPr>
        <w:t xml:space="preserve"> </w:t>
      </w:r>
      <w:r>
        <w:rPr>
          <w:lang w:val="en-US"/>
        </w:rPr>
        <w:t xml:space="preserve">Acquisition time was 30 to 200 seconds (Spectrometer opening time was around 5s with 40 spectra accumulation). Laser power was maintained at less than 0.5mW on the surface of the sample to avoid heating of carbonaceous material grain during analyses. To avoid defects bands generated during thin section polishing all analyzes were performed on subsurface grain by focusing laser beam through transparent or translucent minerals. </w:t>
      </w:r>
      <w:r w:rsidRPr="00D14A4E">
        <w:rPr>
          <w:lang w:val="en-US"/>
        </w:rPr>
        <w:t>Analyze</w:t>
      </w:r>
      <w:r>
        <w:rPr>
          <w:lang w:val="en-US"/>
        </w:rPr>
        <w:t>s</w:t>
      </w:r>
      <w:r w:rsidRPr="00D14A4E">
        <w:rPr>
          <w:lang w:val="en-US"/>
        </w:rPr>
        <w:t xml:space="preserve"> were processed along cross-section perpendicular </w:t>
      </w:r>
      <w:r>
        <w:rPr>
          <w:lang w:val="en-US"/>
        </w:rPr>
        <w:t>to</w:t>
      </w:r>
      <w:r w:rsidRPr="00D14A4E">
        <w:rPr>
          <w:lang w:val="en-US"/>
        </w:rPr>
        <w:t xml:space="preserve"> the </w:t>
      </w:r>
      <w:r>
        <w:rPr>
          <w:lang w:val="en-US"/>
        </w:rPr>
        <w:t>fault core</w:t>
      </w:r>
      <w:r w:rsidRPr="00D14A4E">
        <w:rPr>
          <w:lang w:val="en-US"/>
        </w:rPr>
        <w:t>.</w:t>
      </w:r>
      <w:r>
        <w:rPr>
          <w:lang w:val="en-US"/>
        </w:rPr>
        <w:t xml:space="preserve"> Spacing between analyses were drastically reduced near the boundary of each Black Fault Rocks with host rock, from few tens of micrometers to less than 10 µm. </w:t>
      </w:r>
      <w:r w:rsidRPr="00E6366E">
        <w:rPr>
          <w:lang w:val="en-US"/>
        </w:rPr>
        <w:t xml:space="preserve">Point </w:t>
      </w:r>
      <w:r w:rsidRPr="00371B62">
        <w:rPr>
          <w:lang w:val="en-GB"/>
        </w:rPr>
        <w:t>coordinates were taken for georeferencing the analyses</w:t>
      </w:r>
      <w:r w:rsidRPr="00E6366E">
        <w:rPr>
          <w:lang w:val="en-US"/>
        </w:rPr>
        <w:t xml:space="preserve">. </w:t>
      </w:r>
    </w:p>
    <w:p w14:paraId="754D9A1B" w14:textId="5711D536" w:rsidR="00B63041" w:rsidRDefault="00B63041" w:rsidP="00B63041">
      <w:pPr>
        <w:rPr>
          <w:lang w:val="en-US"/>
        </w:rPr>
      </w:pPr>
      <w:r>
        <w:rPr>
          <w:lang w:val="en-US"/>
        </w:rPr>
        <w:t>Raman spectra processing was done using PeakFit v4.12. In order to get the best comparison between carbonaceous material spectra from the host rock and Black Fault Rock only spectra with flat baseline were considered and linear baseline substraction function was applied. To determine the baseline, two bands of 100cm</w:t>
      </w:r>
      <w:r w:rsidRPr="00F5637E">
        <w:rPr>
          <w:vertAlign w:val="superscript"/>
          <w:lang w:val="en-US"/>
        </w:rPr>
        <w:t>-1</w:t>
      </w:r>
      <w:r>
        <w:rPr>
          <w:lang w:val="en-US"/>
        </w:rPr>
        <w:t xml:space="preserve"> of width were selected around 900 and 1900cm</w:t>
      </w:r>
      <w:r w:rsidRPr="00B208B9">
        <w:rPr>
          <w:vertAlign w:val="superscript"/>
          <w:lang w:val="en-US"/>
        </w:rPr>
        <w:t>-1</w:t>
      </w:r>
      <w:r>
        <w:rPr>
          <w:lang w:val="en-US"/>
        </w:rPr>
        <w:t xml:space="preserve">. To interpret Raman spectra and obtain Raman spectra parameters Lahfid et al. (2010) </w:t>
      </w:r>
      <w:r>
        <w:rPr>
          <w:lang w:val="en-US"/>
        </w:rPr>
        <w:lastRenderedPageBreak/>
        <w:t xml:space="preserve">procedure was used for deconvolution. This approach is well adapted to low metamorphic grade and consist in a 5 bands (D1, D2, D3, D4 and G) deconvolution using Lorentzian functions. These bands form one Defect band (D band) centered around 1350cm-1 by compiling D4+D1+D3 and one Graphite band (G </w:t>
      </w:r>
      <w:r w:rsidRPr="00E47674">
        <w:rPr>
          <w:i/>
          <w:lang w:val="en-US"/>
        </w:rPr>
        <w:t>sl.</w:t>
      </w:r>
      <w:r>
        <w:rPr>
          <w:lang w:val="en-US"/>
        </w:rPr>
        <w:t xml:space="preserve"> Band) composed of D2 + G centered around 1600cm</w:t>
      </w:r>
      <w:r w:rsidRPr="002F5BCA">
        <w:rPr>
          <w:vertAlign w:val="superscript"/>
          <w:lang w:val="en-US"/>
        </w:rPr>
        <w:t>-1</w:t>
      </w:r>
      <w:r>
        <w:rPr>
          <w:lang w:val="en-US"/>
        </w:rPr>
        <w:t>. By using area ratio RA1 = (D1+D4)/(D1+D2+D3+D4+G) it is possible to obtain an estimation of temperature in the range of 200 to 330°C with ±25°C uncertainty (</w:t>
      </w:r>
      <w:r w:rsidRPr="001B4E93">
        <w:rPr>
          <w:lang w:val="en-US"/>
        </w:rPr>
        <w:t>RA1</w:t>
      </w:r>
      <w:r>
        <w:rPr>
          <w:vertAlign w:val="subscript"/>
          <w:lang w:val="en-US"/>
        </w:rPr>
        <w:t xml:space="preserve"> </w:t>
      </w:r>
      <w:r w:rsidRPr="001B4E93">
        <w:rPr>
          <w:lang w:val="en-US"/>
        </w:rPr>
        <w:t>=</w:t>
      </w:r>
      <w:r>
        <w:rPr>
          <w:lang w:val="en-US"/>
        </w:rPr>
        <w:t xml:space="preserve"> 0.0008 . T</w:t>
      </w:r>
      <w:r w:rsidRPr="001B4E93">
        <w:rPr>
          <w:vertAlign w:val="subscript"/>
          <w:lang w:val="en-US"/>
        </w:rPr>
        <w:t>max</w:t>
      </w:r>
      <w:r>
        <w:rPr>
          <w:lang w:val="en-US"/>
        </w:rPr>
        <w:t xml:space="preserve"> + 0.3758). In some cases, carbonaceous particles have higher crystallinity (i.e. Black Fault Rock spectra) so that the deconvolution using 5 bands described above was not possible. In such cases, we used the Beyssac et al. (2002) procedure and calibration using a 3 bands deconvolution. The main Raman spectra parameter used in this work was the intensity ratio (ie. R1 in Beyssac et al., 2002) which consists of comparing the height of the defect band and the raw graphite band (G </w:t>
      </w:r>
      <w:r w:rsidRPr="00E47674">
        <w:rPr>
          <w:i/>
          <w:lang w:val="en-US"/>
        </w:rPr>
        <w:t>sl.</w:t>
      </w:r>
      <w:r>
        <w:rPr>
          <w:lang w:val="en-US"/>
        </w:rPr>
        <w:t xml:space="preserve"> Band). </w:t>
      </w:r>
    </w:p>
    <w:p w14:paraId="3D1DF9AA" w14:textId="74C22142" w:rsidR="00B63041" w:rsidRDefault="00B63041" w:rsidP="00B63041">
      <w:pPr>
        <w:rPr>
          <w:lang w:val="en-US"/>
        </w:rPr>
      </w:pPr>
      <w:r>
        <w:rPr>
          <w:lang w:val="en-US"/>
        </w:rPr>
        <w:t>After the processing phase, using the GIS software ArcMap 10.6, each analysis was precisely located on microstructural pictures. Such high-resolution mapping allowed to compare micro-textures and the corresponding Raman spectra distribution.</w:t>
      </w:r>
    </w:p>
    <w:p w14:paraId="5682CC33" w14:textId="22AD0942" w:rsidR="0006095D" w:rsidRDefault="0006095D" w:rsidP="0006095D">
      <w:pPr>
        <w:pStyle w:val="Paragraphedeliste"/>
        <w:numPr>
          <w:ilvl w:val="0"/>
          <w:numId w:val="13"/>
        </w:numPr>
        <w:rPr>
          <w:lang w:val="en-US"/>
        </w:rPr>
      </w:pPr>
      <w:r>
        <w:rPr>
          <w:lang w:val="en-US"/>
        </w:rPr>
        <w:t xml:space="preserve">Cathodoluminescence imaging (CL) </w:t>
      </w:r>
    </w:p>
    <w:p w14:paraId="6641F815" w14:textId="1E2AC773" w:rsidR="0006095D" w:rsidRDefault="0006095D" w:rsidP="0006095D">
      <w:pPr>
        <w:rPr>
          <w:lang w:val="en-US"/>
        </w:rPr>
      </w:pPr>
      <w:r>
        <w:rPr>
          <w:lang w:val="en-US"/>
        </w:rPr>
        <w:t>Cathodoluminescence (</w:t>
      </w:r>
      <w:r w:rsidRPr="0006095D">
        <w:rPr>
          <w:lang w:val="en-US"/>
        </w:rPr>
        <w:t>CL</w:t>
      </w:r>
      <w:r>
        <w:rPr>
          <w:lang w:val="en-US"/>
        </w:rPr>
        <w:t>)</w:t>
      </w:r>
      <w:r w:rsidRPr="0006095D">
        <w:rPr>
          <w:lang w:val="en-US"/>
        </w:rPr>
        <w:t xml:space="preserve"> has been used for the characterization of the microstructures for the mm-scale shear-zone in order to distinguish mineralogical and textural evolution along the strain gradient based on the luminescence of minerals mostly quartz, plagioclase and calcite because of the low/absent luminescence of clays and phyllosilicates of the matrix. CL was ran with a Cathodyne-Newtec apparatus using an automatized stage and coupled with a Leica microscope and a low light Qimaging Retica R1 camera. Thick section placed in a vacuum chamber at an Argon pressure </w:t>
      </w:r>
      <w:r w:rsidRPr="0006095D">
        <w:rPr>
          <w:rFonts w:ascii="Cambria Math" w:hAnsi="Cambria Math" w:cs="Cambria Math"/>
          <w:lang w:val="en-US"/>
        </w:rPr>
        <w:t xml:space="preserve">∼ </w:t>
      </w:r>
      <w:r w:rsidRPr="0006095D">
        <w:rPr>
          <w:lang w:val="en-US"/>
        </w:rPr>
        <w:t>50 x 10</w:t>
      </w:r>
      <w:r w:rsidRPr="0006095D">
        <w:rPr>
          <w:vertAlign w:val="superscript"/>
          <w:lang w:val="en-US"/>
        </w:rPr>
        <w:t xml:space="preserve">-3 </w:t>
      </w:r>
      <w:r w:rsidRPr="0006095D">
        <w:rPr>
          <w:lang w:val="en-US"/>
        </w:rPr>
        <w:t xml:space="preserve">mbar and irradiated by a cold cathode source electron </w:t>
      </w:r>
      <w:r w:rsidRPr="0006095D">
        <w:rPr>
          <w:lang w:val="en-US"/>
        </w:rPr>
        <w:lastRenderedPageBreak/>
        <w:t xml:space="preserve">gun titled at 18° with the sample. Standard voltage-current beam conditions were maintained at 15kV and 150 µA during the acquisition time around 1 to 5 second per image. </w:t>
      </w:r>
    </w:p>
    <w:p w14:paraId="41FFD256" w14:textId="77777777" w:rsidR="00B63041" w:rsidRPr="008D1BBE" w:rsidRDefault="00B63041" w:rsidP="00B63041">
      <w:pPr>
        <w:pStyle w:val="Paragraphedeliste"/>
        <w:numPr>
          <w:ilvl w:val="0"/>
          <w:numId w:val="13"/>
        </w:numPr>
        <w:rPr>
          <w:lang w:val="en-US"/>
        </w:rPr>
      </w:pPr>
      <w:r w:rsidRPr="008D1BBE">
        <w:rPr>
          <w:lang w:val="en-US"/>
        </w:rPr>
        <w:t xml:space="preserve">Maturation in autoclave and kinetics modelling: </w:t>
      </w:r>
    </w:p>
    <w:p w14:paraId="0E351672" w14:textId="67011F46" w:rsidR="00B63041" w:rsidRDefault="00B63041" w:rsidP="00B63041">
      <w:pPr>
        <w:rPr>
          <w:lang w:val="en-US"/>
        </w:rPr>
      </w:pPr>
      <w:r>
        <w:rPr>
          <w:lang w:val="en-US"/>
        </w:rPr>
        <w:t>For the maturation experiments, a poorly mature CM shale from Hyuga coherent unit (HN78) estimated at 200°C using Raman Spectroscopy of Carbonaceous Materials has been used. We select this starting material based on similarities in terms of lithology and thermal conditions with the host-rock observed around the Black Fault Rock. All Raman Spectroscopy parameters (intensity ratio: IR (i.e R1 in Beyssac et al.) and area ratios: R2, RA1) the estimated temperature of this starting materials are available in the Extended Data Table 1. In addition, vitrain was used in order to follow maturation with a calibrated kinetic model of the Vitrinite reflectance</w:t>
      </w:r>
      <w:r>
        <w:rPr>
          <w:lang w:val="en-US"/>
        </w:rPr>
        <w:fldChar w:fldCharType="begin"/>
      </w:r>
      <w:r w:rsidR="00DD6B14">
        <w:rPr>
          <w:lang w:val="en-US"/>
        </w:rPr>
        <w:instrText xml:space="preserve"> ADDIN ZOTERO_ITEM CSL_CITATION {"citationID":"3l0riBEb","properties":{"formattedCitation":"\\super 25\\nosupersub{}","plainCitation":"25","noteIndex":0},"citationItems":[{"id":138,"uris":["http://zotero.org/users/5712877/items/ALYAGJ6X"],"uri":["http://zotero.org/users/5712877/items/ALYAGJ6X"],"itemData":{"id":138,"type":"article-journal","title":"A chemical kinetic model of vitrinite maturation and reflectance","container-title":"Geochimica et Cosmochimica Acta","page":"2649-2657","volume":"53","issue":"10","source":"Crossref","abstract":"A chemical kinetic model is presented that uses Arrhenius rate constants to calculate vitrinite elemental composition as a function of time and temperature. The model uses distributions of activation energies for each of four reactions: ehmination of water, carbon dioxide, methane, and higher hydrocarbons. The resulting composition is used to calculate vitrinite reflectance via correlations between elemental composition and reflectance. The correlations are derived from published measurements. The model is valid for %Ro values from slightly less than 0.3 to slightly greater than 4. Model calculations are compared to published vitrinite data from both laboratory experiments and sedimentary columns where adequate thermal histories are available. Calculated and measured %Ro values generally agree within 0.1 at low rank and 0.4 at high rank, which is comparable to uncertainties in the experimental values. This confirms our starting premise that vitrinite reflectance is properly described by standard chemical kinetics with activation energies that extrapolate from laboratory to geological maturation temperatures. The model indicates that the relationship between the extent of oil generation and vitrinite reflectance is nearly independent of heating rate.","DOI":"10.1016/0016-7037(89)90136-1","ISSN":"00167037","language":"en","author":[{"family":"Burnham","given":"Alan K."},{"family":"Sweeney","given":"Jerry J."}],"issued":{"date-parts":[["1989",10]]}}}],"schema":"https://github.com/citation-style-language/schema/raw/master/csl-citation.json"} </w:instrText>
      </w:r>
      <w:r>
        <w:rPr>
          <w:lang w:val="en-US"/>
        </w:rPr>
        <w:fldChar w:fldCharType="separate"/>
      </w:r>
      <w:r w:rsidR="00DD6B14" w:rsidRPr="00DD6B14">
        <w:rPr>
          <w:rFonts w:cs="Times New Roman"/>
          <w:szCs w:val="24"/>
          <w:vertAlign w:val="superscript"/>
          <w:lang w:val="en-US"/>
        </w:rPr>
        <w:t>25</w:t>
      </w:r>
      <w:r>
        <w:rPr>
          <w:lang w:val="en-US"/>
        </w:rPr>
        <w:fldChar w:fldCharType="end"/>
      </w:r>
      <w:r>
        <w:rPr>
          <w:lang w:val="en-US"/>
        </w:rPr>
        <w:t>. Because the kinetics could be different between the type of carbonaceous material, we select a type III standard vitrain from the Candiota mine</w:t>
      </w:r>
      <w:r>
        <w:rPr>
          <w:lang w:val="en-US"/>
        </w:rPr>
        <w:fldChar w:fldCharType="begin"/>
      </w:r>
      <w:r w:rsidR="00DD6B14">
        <w:rPr>
          <w:lang w:val="en-US"/>
        </w:rPr>
        <w:instrText xml:space="preserve"> ADDIN ZOTERO_ITEM CSL_CITATION {"citationID":"kADyI3VP","properties":{"formattedCitation":"\\super 26\\nosupersub{}","plainCitation":"26","noteIndex":0},"citationItems":[{"id":398,"uris":["http://zotero.org/users/5712877/items/3TV9RZTS"],"uri":["http://zotero.org/users/5712877/items/3TV9RZTS"],"itemData":{"id":398,"type":"article-journal","title":"Petrological and geochemical characterization of Candiota coal seams, Brazil — Implication for coal facies interpretations and coal rank","container-title":"International Journal of Coal Geology","page":"217-238","volume":"64","issue":"3-4","source":"Crossref","abstract":"Seven coal seams, from cores of the borehole M-IV-C-101, Candiota Coalfield located in Rio Grande do Sul State, southern part of the Parana´ Basin were analyzed by coal petrographical and organic geochemical methods. The seams occur in the Rio Bonito Formation, Guata´ Group, Tubara˜o Supergroup of the Parana´ Basin and are of Permian (Artinskian–Kungurian) age. The composition, rank, coal facies and depositional environment characterization were made based on lithotype, maceral and microlithotype analyses. The data were then used in the definition of different types of facies-critical petrographical indices and were displayed in diagrams of coal facies. In addition, coal seams samples from Candiota Mine were analyzed by proximate, total moisture and gross calorific values and were classified using the United Nations-Economic Commission for Europe (UN-ECE) classification. In addition, Rock-Eval Pyrolysis, Liquid Chromatography, GC and GC–MS analyses were made to obtain independent parameters on coal rank and organic matter composition and environment of deposition. The results suggest deposition in open mires, with elevated contents of detrital macerals and clay minerals and also limnotelmatic coal facies. Coal-bearing sequence of coal seams represent a back-barrier setting. According to the International Classification (UN-ECE), Candiota coals are in the subbituminous (or low rank coal A) stage.","DOI":"10.1016/j.coal.2005.04.003","ISSN":"01665162","language":"en","author":[{"family":"Silva","given":"M.B."},{"family":"Kalkreuth","given":"W."}],"issued":{"date-parts":[["2005",11]]}}}],"schema":"https://github.com/citation-style-language/schema/raw/master/csl-citation.json"} </w:instrText>
      </w:r>
      <w:r>
        <w:rPr>
          <w:lang w:val="en-US"/>
        </w:rPr>
        <w:fldChar w:fldCharType="separate"/>
      </w:r>
      <w:r w:rsidR="00DD6B14" w:rsidRPr="00DD6B14">
        <w:rPr>
          <w:rFonts w:cs="Times New Roman"/>
          <w:szCs w:val="24"/>
          <w:vertAlign w:val="superscript"/>
        </w:rPr>
        <w:t>26</w:t>
      </w:r>
      <w:r>
        <w:rPr>
          <w:lang w:val="en-US"/>
        </w:rPr>
        <w:fldChar w:fldCharType="end"/>
      </w:r>
      <w:r>
        <w:rPr>
          <w:lang w:val="en-US"/>
        </w:rPr>
        <w:t xml:space="preserve">. Before maturation, starting materials has been characterized using Raman spectroscopy, vitrinite reflectance and RockEval pyrolysis. </w:t>
      </w:r>
    </w:p>
    <w:p w14:paraId="25AAC7CA" w14:textId="77777777" w:rsidR="00B63041" w:rsidRDefault="00B63041" w:rsidP="00B63041">
      <w:pPr>
        <w:rPr>
          <w:lang w:val="en-US"/>
        </w:rPr>
      </w:pPr>
      <w:r>
        <w:rPr>
          <w:lang w:val="en-US"/>
        </w:rPr>
        <w:t>For the preparation of the experiments, shales and vitrain have been grinded into a fine powder .1g of shale powder  and 120mg of vitrain separated by a gold leaf have beed loaded into Au-capsules of 50mm length and diameter Ø5.0-5.4. Au-capsules were welded close under Argon flow in order to get neutral atmosphere (&lt;0.2% of O</w:t>
      </w:r>
      <w:r w:rsidRPr="00187C45">
        <w:rPr>
          <w:vertAlign w:val="subscript"/>
          <w:lang w:val="en-US"/>
        </w:rPr>
        <w:t>2</w:t>
      </w:r>
      <w:r>
        <w:rPr>
          <w:lang w:val="en-US"/>
        </w:rPr>
        <w:t xml:space="preserve">) inside capsules and to avoid oxidation of carbonaceous material during maturation. Additionally, no water was added in the gold capsules for the same reason that means the only free water available is the one present in the starting material minerals. </w:t>
      </w:r>
    </w:p>
    <w:p w14:paraId="23BF68F3" w14:textId="77777777" w:rsidR="00B63041" w:rsidRDefault="00B63041" w:rsidP="00B63041">
      <w:pPr>
        <w:rPr>
          <w:lang w:val="en-US"/>
        </w:rPr>
      </w:pPr>
      <w:r>
        <w:rPr>
          <w:lang w:val="en-US"/>
        </w:rPr>
        <w:t>Maturation experiments were carried out at respectively 500, 600, 700°C, and 1500 bar during 24 to 1080 hours. Two heating apparatus were used: one for experiments at 500 and 600°C with external heating system and H</w:t>
      </w:r>
      <w:r w:rsidRPr="00442962">
        <w:rPr>
          <w:vertAlign w:val="subscript"/>
          <w:lang w:val="en-US"/>
        </w:rPr>
        <w:t>2</w:t>
      </w:r>
      <w:r>
        <w:rPr>
          <w:lang w:val="en-US"/>
        </w:rPr>
        <w:t xml:space="preserve">O as a confining medium [A] and another one at 700°C with internal heating system and Argon as a confining medium [B]. </w:t>
      </w:r>
    </w:p>
    <w:p w14:paraId="012A0095" w14:textId="77777777" w:rsidR="00B63041" w:rsidRDefault="00B63041" w:rsidP="00B63041">
      <w:pPr>
        <w:rPr>
          <w:lang w:val="en-US"/>
        </w:rPr>
      </w:pPr>
      <w:r>
        <w:rPr>
          <w:lang w:val="en-US"/>
        </w:rPr>
        <w:lastRenderedPageBreak/>
        <w:t xml:space="preserve">At the end of each experiment, temperature was decreased very quickly in order to stop carbonization. Shale samples and vitrain were separated and prepared for Raman spectroscopy analysis. All the Raman parameters measured are available in the Extended Data Table 1. </w:t>
      </w:r>
    </w:p>
    <w:p w14:paraId="4365007D" w14:textId="555F51C6" w:rsidR="00B63041" w:rsidRDefault="00B63041" w:rsidP="00B63041">
      <w:pPr>
        <w:rPr>
          <w:lang w:val="en-US"/>
        </w:rPr>
      </w:pPr>
      <w:r>
        <w:rPr>
          <w:lang w:val="en-US"/>
        </w:rPr>
        <w:t xml:space="preserve">Based on the Raman analyses of all experimental samples, we developed a kinetic model of carbonization to account for the evolution of the Raman intensity ratio parameter (IR) with temperature and time. We used the procedure of the superposition model described in Nakamura </w:t>
      </w:r>
      <w:r w:rsidRPr="00716460">
        <w:rPr>
          <w:i/>
          <w:lang w:val="en-US"/>
        </w:rPr>
        <w:t>et al.</w:t>
      </w:r>
      <w:r>
        <w:rPr>
          <w:lang w:val="en-US"/>
        </w:rPr>
        <w:t xml:space="preserve"> (2017)</w:t>
      </w:r>
      <w:r>
        <w:rPr>
          <w:lang w:val="en-US"/>
        </w:rPr>
        <w:fldChar w:fldCharType="begin"/>
      </w:r>
      <w:r w:rsidR="00DD6B14">
        <w:rPr>
          <w:lang w:val="en-US"/>
        </w:rPr>
        <w:instrText xml:space="preserve"> ADDIN ZOTERO_ITEM CSL_CITATION {"citationID":"BBtuBB6i","properties":{"formattedCitation":"\\super 27\\nosupersub{}","plainCitation":"27","noteIndex":0},"citationItems":[{"id":154,"uris":["http://zotero.org/users/5712877/items/H25FXWQM"],"uri":["http://zotero.org/users/5712877/items/H25FXWQM"],"itemData":{"id":154,"type":"article-journal","title":"An experimental kinetic study on the structural evolution of natural carbonaceous material to graphite","container-title":"American Mineralogist","page":"135-148","volume":"102","issue":"1","source":"Crossref","abstract":"We report here new experimental kinetic data on the structural evolution of carbonaceous material (CM) to graphite during heating at various temperatures (1000 to 1450 °C) for various durations (10 min to 115 h) under a pressure of 1 GPa. Natural CMs extracted from sedimentary rocks in the Shimanto accretionary complex and the Hidaka metamorphic belt of Japan transformed in morphology and crystallinity with increasing temperature and annealing duration to become fully ordered graphite (d002 spacing ~3.36 Å). Transmission electron microscopy showed that both samples have undergone microstructural evolution from amorphous carbon to platy graphitic carbon. These changes match the evolution of the samples’ X‑ray diffraction (XRD) patterns and micro-Raman spectra. The time–temperature relations of crystal parameters obtained by XRD and micro-Raman spectroscopy demonstrated a sigmoidal transformation curve from an amorphous to a graphitic structure, suggesting complexity of these successive and/or parallel chemical reactions are responsible for graphitization. To assess these complex chemical processes, we adopted three different approaches for formulating the graphitization kinetics using a power rate model, a Johnson-Mehl-Avrami (JMA) model and a superposition method. Irrespective of the models employed, the effective activation energies were estimated to lie between 259 and 339 kJ/mol, which are much lower than those reported previously for graphitization. Summarizing the previous studies and our results between 0.1 and 1000 MPa, we found that the effective activation energies systematically decrease as a function of pressure. Based on the experimental results in this study, the sigmoid functions obtained from the time–temperature relations can be extrapolated to low-temperature conditions at 1 GPa. Our kinetic model using unit-cell height c predicts that CM undergoing metamorphism for about 1 m.y. will begin to crystallize at ~410 °C, and will transform to fully ordered graphite at over ~520 °C. Thus, natural graphitization undergoes a much faster transformation than reported in previous studies at 1 atm and could be explored in laboratory experiments using natural precursor materials under pressure conditions and time spans that reflect natural conditions in the Earth’s crust.","DOI":"10.2138/am-2017-5733","ISSN":"0003-004X","language":"en","author":[{"family":"Nakamura","given":"Yoshihiro"},{"family":"Yoshino","given":"Takashi"},{"family":"Satish-Kumar","given":"Madhusoodhan"}],"issued":{"date-parts":[["2017",1]]}}}],"schema":"https://github.com/citation-style-language/schema/raw/master/csl-citation.json"} </w:instrText>
      </w:r>
      <w:r>
        <w:rPr>
          <w:lang w:val="en-US"/>
        </w:rPr>
        <w:fldChar w:fldCharType="separate"/>
      </w:r>
      <w:r w:rsidR="00DD6B14" w:rsidRPr="00DD6B14">
        <w:rPr>
          <w:rFonts w:cs="Times New Roman"/>
          <w:szCs w:val="24"/>
          <w:vertAlign w:val="superscript"/>
        </w:rPr>
        <w:t>27</w:t>
      </w:r>
      <w:r>
        <w:rPr>
          <w:lang w:val="en-US"/>
        </w:rPr>
        <w:fldChar w:fldCharType="end"/>
      </w:r>
      <w:r>
        <w:rPr>
          <w:lang w:val="en-US"/>
        </w:rPr>
        <w:t xml:space="preserve">. The following sigmoid equation and variables were used: </w:t>
      </w:r>
    </w:p>
    <w:p w14:paraId="00E04C66" w14:textId="77777777" w:rsidR="00982C4D" w:rsidRDefault="00982C4D" w:rsidP="00B63041">
      <w:pPr>
        <w:rPr>
          <w:lang w:val="en-US"/>
        </w:rPr>
      </w:pPr>
    </w:p>
    <w:p w14:paraId="663E8293" w14:textId="39339EB7" w:rsidR="00B63041" w:rsidRPr="00C94543" w:rsidRDefault="00D46348" w:rsidP="00B63041">
      <w:pPr>
        <w:rPr>
          <w:rFonts w:eastAsiaTheme="minorEastAsia"/>
          <w:lang w:val="en-US"/>
        </w:rPr>
      </w:pPr>
      <m:oMathPara>
        <m:oMath>
          <m:eqArr>
            <m:eqArrPr>
              <m:maxDist m:val="1"/>
              <m:ctrlPr>
                <w:rPr>
                  <w:rFonts w:ascii="Cambria Math" w:eastAsiaTheme="minorEastAsia" w:hAnsi="Cambria Math"/>
                  <w:i/>
                  <w:lang w:val="en-US"/>
                </w:rPr>
              </m:ctrlPr>
            </m:eqArrPr>
            <m:e>
              <m:r>
                <w:rPr>
                  <w:rFonts w:ascii="Cambria Math" w:hAnsi="Cambria Math"/>
                  <w:lang w:val="en-US"/>
                </w:rPr>
                <m:t>f</m:t>
              </m:r>
              <m:d>
                <m:dPr>
                  <m:ctrlPr>
                    <w:rPr>
                      <w:rFonts w:ascii="Cambria Math" w:hAnsi="Cambria Math"/>
                      <w:i/>
                      <w:lang w:val="en-US"/>
                    </w:rPr>
                  </m:ctrlPr>
                </m:dPr>
                <m:e>
                  <m:r>
                    <w:rPr>
                      <w:rFonts w:ascii="Cambria Math" w:hAnsi="Cambria Math"/>
                      <w:lang w:val="en-US"/>
                    </w:rPr>
                    <m:t>T,t</m:t>
                  </m:r>
                </m:e>
              </m:d>
              <m:r>
                <w:rPr>
                  <w:rFonts w:ascii="Cambria Math" w:hAnsi="Cambria Math"/>
                  <w:lang w:val="en-US"/>
                </w:rPr>
                <m:t xml:space="preserve">= </m:t>
              </m:r>
              <m:f>
                <m:fPr>
                  <m:ctrlPr>
                    <w:rPr>
                      <w:rFonts w:ascii="Cambria Math" w:eastAsiaTheme="minorEastAsia" w:hAnsi="Cambria Math"/>
                      <w:i/>
                      <w:lang w:val="en-US"/>
                    </w:rPr>
                  </m:ctrlPr>
                </m:fPr>
                <m:num>
                  <m:r>
                    <w:rPr>
                      <w:rFonts w:ascii="Cambria Math" w:eastAsiaTheme="minorEastAsia" w:hAnsi="Cambria Math"/>
                      <w:lang w:val="en-US"/>
                    </w:rPr>
                    <m:t>IRmin+</m:t>
                  </m:r>
                  <m:d>
                    <m:dPr>
                      <m:ctrlPr>
                        <w:rPr>
                          <w:rFonts w:ascii="Cambria Math" w:eastAsiaTheme="minorEastAsia" w:hAnsi="Cambria Math"/>
                          <w:i/>
                          <w:lang w:val="en-US"/>
                        </w:rPr>
                      </m:ctrlPr>
                    </m:dPr>
                    <m:e>
                      <m:r>
                        <w:rPr>
                          <w:rFonts w:ascii="Cambria Math" w:eastAsiaTheme="minorEastAsia" w:hAnsi="Cambria Math"/>
                          <w:lang w:val="en-US"/>
                        </w:rPr>
                        <m:t>IRmax-IRmin</m:t>
                      </m:r>
                    </m:e>
                  </m:d>
                </m:num>
                <m:den>
                  <m:r>
                    <w:rPr>
                      <w:rFonts w:ascii="Cambria Math" w:eastAsiaTheme="minorEastAsia" w:hAnsi="Cambria Math"/>
                      <w:lang w:val="en-US"/>
                    </w:rPr>
                    <m:t>1+</m:t>
                  </m:r>
                  <m:sSup>
                    <m:sSupPr>
                      <m:ctrlPr>
                        <w:rPr>
                          <w:rFonts w:ascii="Cambria Math" w:eastAsiaTheme="minorEastAsia" w:hAnsi="Cambria Math"/>
                          <w:i/>
                          <w:lang w:val="en-US"/>
                        </w:rPr>
                      </m:ctrlPr>
                    </m:sSupPr>
                    <m:e>
                      <m:d>
                        <m:dPr>
                          <m:begChr m:val="["/>
                          <m:endChr m:val="]"/>
                          <m:ctrlPr>
                            <w:rPr>
                              <w:rFonts w:ascii="Cambria Math" w:eastAsiaTheme="minorEastAsia" w:hAnsi="Cambria Math"/>
                              <w:i/>
                              <w:lang w:val="en-US"/>
                            </w:rPr>
                          </m:ctrlPr>
                        </m:dPr>
                        <m:e>
                          <m:f>
                            <m:fPr>
                              <m:ctrlPr>
                                <w:rPr>
                                  <w:rFonts w:ascii="Cambria Math" w:eastAsiaTheme="minorEastAsia" w:hAnsi="Cambria Math"/>
                                  <w:i/>
                                  <w:lang w:val="en-US"/>
                                </w:rPr>
                              </m:ctrlPr>
                            </m:fPr>
                            <m:num>
                              <m:r>
                                <w:rPr>
                                  <w:rFonts w:ascii="Cambria Math" w:eastAsiaTheme="minorEastAsia" w:hAnsi="Cambria Math"/>
                                  <w:lang w:val="en-US"/>
                                </w:rPr>
                                <m:t>A</m:t>
                              </m:r>
                              <m:func>
                                <m:funcPr>
                                  <m:ctrlPr>
                                    <w:rPr>
                                      <w:rFonts w:ascii="Cambria Math" w:eastAsiaTheme="minorEastAsia" w:hAnsi="Cambria Math"/>
                                      <w:i/>
                                      <w:lang w:val="en-US"/>
                                    </w:rPr>
                                  </m:ctrlPr>
                                </m:funcPr>
                                <m:fName>
                                  <m:r>
                                    <m:rPr>
                                      <m:sty m:val="p"/>
                                    </m:rPr>
                                    <w:rPr>
                                      <w:rFonts w:ascii="Cambria Math" w:eastAsiaTheme="minorEastAsia" w:hAnsi="Cambria Math"/>
                                      <w:lang w:val="en-US"/>
                                    </w:rPr>
                                    <m:t>exp</m:t>
                                  </m:r>
                                </m:fName>
                                <m:e>
                                  <m:d>
                                    <m:dPr>
                                      <m:ctrlPr>
                                        <w:rPr>
                                          <w:rFonts w:ascii="Cambria Math" w:eastAsiaTheme="minorEastAsia" w:hAnsi="Cambria Math"/>
                                          <w:i/>
                                          <w:lang w:val="en-US"/>
                                        </w:rPr>
                                      </m:ctrlPr>
                                    </m:dPr>
                                    <m:e>
                                      <m:f>
                                        <m:fPr>
                                          <m:ctrlPr>
                                            <w:rPr>
                                              <w:rFonts w:ascii="Cambria Math" w:eastAsiaTheme="minorEastAsia" w:hAnsi="Cambria Math"/>
                                              <w:i/>
                                              <w:lang w:val="en-US"/>
                                            </w:rPr>
                                          </m:ctrlPr>
                                        </m:fPr>
                                        <m:num>
                                          <m:r>
                                            <w:rPr>
                                              <w:rFonts w:ascii="Cambria Math" w:eastAsiaTheme="minorEastAsia" w:hAnsi="Cambria Math"/>
                                              <w:lang w:val="en-US"/>
                                            </w:rPr>
                                            <m:t>-m</m:t>
                                          </m:r>
                                        </m:num>
                                        <m:den>
                                          <m:r>
                                            <w:rPr>
                                              <w:rFonts w:ascii="Cambria Math" w:eastAsiaTheme="minorEastAsia" w:hAnsi="Cambria Math"/>
                                              <w:lang w:val="en-US"/>
                                            </w:rPr>
                                            <m:t>T</m:t>
                                          </m:r>
                                        </m:den>
                                      </m:f>
                                    </m:e>
                                  </m:d>
                                </m:e>
                              </m:func>
                            </m:num>
                            <m:den>
                              <m:r>
                                <w:rPr>
                                  <w:rFonts w:ascii="Cambria Math" w:eastAsiaTheme="minorEastAsia" w:hAnsi="Cambria Math"/>
                                  <w:lang w:val="en-US"/>
                                </w:rPr>
                                <m:t>t</m:t>
                              </m:r>
                            </m:den>
                          </m:f>
                        </m:e>
                      </m:d>
                    </m:e>
                    <m:sup>
                      <m:r>
                        <w:rPr>
                          <w:rFonts w:ascii="Cambria Math" w:eastAsiaTheme="minorEastAsia" w:hAnsi="Cambria Math"/>
                          <w:lang w:val="en-US"/>
                        </w:rPr>
                        <m:t>h</m:t>
                      </m:r>
                    </m:sup>
                  </m:sSup>
                </m:den>
              </m:f>
              <m:r>
                <w:rPr>
                  <w:rFonts w:ascii="Cambria Math" w:eastAsiaTheme="minorEastAsia" w:hAnsi="Cambria Math"/>
                  <w:lang w:val="en-US"/>
                </w:rPr>
                <m:t xml:space="preserve"> </m:t>
              </m:r>
              <m:r>
                <w:rPr>
                  <w:rFonts w:ascii="Cambria Math" w:hAnsi="Cambria Math"/>
                  <w:lang w:val="en-US"/>
                </w:rPr>
                <m:t>#</m:t>
              </m:r>
              <m:d>
                <m:dPr>
                  <m:ctrlPr>
                    <w:rPr>
                      <w:rFonts w:ascii="Cambria Math" w:eastAsiaTheme="minorEastAsia" w:hAnsi="Cambria Math"/>
                      <w:i/>
                      <w:lang w:val="en-US"/>
                    </w:rPr>
                  </m:ctrlPr>
                </m:dPr>
                <m:e>
                  <m:r>
                    <w:rPr>
                      <w:rFonts w:ascii="Cambria Math" w:eastAsiaTheme="minorEastAsia" w:hAnsi="Cambria Math"/>
                      <w:lang w:val="en-US"/>
                    </w:rPr>
                    <m:t>5</m:t>
                  </m:r>
                </m:e>
              </m:d>
              <m:ctrlPr>
                <w:rPr>
                  <w:rFonts w:ascii="Cambria Math" w:hAnsi="Cambria Math"/>
                  <w:i/>
                  <w:lang w:val="en-US"/>
                </w:rPr>
              </m:ctrlPr>
            </m:e>
          </m:eqArr>
        </m:oMath>
      </m:oMathPara>
    </w:p>
    <w:p w14:paraId="0C5CABE0" w14:textId="77777777" w:rsidR="00C94543" w:rsidRDefault="00C94543" w:rsidP="00B63041">
      <w:pPr>
        <w:rPr>
          <w:rFonts w:eastAsiaTheme="minorEastAsia"/>
          <w:lang w:val="en-US"/>
        </w:rPr>
      </w:pPr>
    </w:p>
    <w:p w14:paraId="27F9F7CD" w14:textId="3B0C785F" w:rsidR="000C6699" w:rsidRPr="00FC53FE" w:rsidRDefault="000C6699" w:rsidP="00FC53FE">
      <w:pPr>
        <w:pStyle w:val="Lgende"/>
        <w:keepNext/>
        <w:jc w:val="center"/>
        <w:rPr>
          <w:rFonts w:ascii="Arial" w:hAnsi="Arial" w:cs="Arial"/>
          <w:sz w:val="16"/>
          <w:lang w:val="en-US"/>
        </w:rPr>
      </w:pPr>
      <w:r w:rsidRPr="00FC53FE">
        <w:rPr>
          <w:rFonts w:ascii="Arial" w:hAnsi="Arial" w:cs="Arial"/>
          <w:b/>
          <w:sz w:val="16"/>
          <w:lang w:val="en-US"/>
        </w:rPr>
        <w:t xml:space="preserve">Note table </w:t>
      </w:r>
      <w:r w:rsidRPr="00FC53FE">
        <w:rPr>
          <w:rFonts w:ascii="Arial" w:hAnsi="Arial" w:cs="Arial"/>
          <w:b/>
          <w:sz w:val="16"/>
        </w:rPr>
        <w:fldChar w:fldCharType="begin"/>
      </w:r>
      <w:r w:rsidRPr="00FC53FE">
        <w:rPr>
          <w:rFonts w:ascii="Arial" w:hAnsi="Arial" w:cs="Arial"/>
          <w:b/>
          <w:sz w:val="16"/>
          <w:lang w:val="en-US"/>
        </w:rPr>
        <w:instrText xml:space="preserve"> SEQ Table \* ARABIC </w:instrText>
      </w:r>
      <w:r w:rsidRPr="00FC53FE">
        <w:rPr>
          <w:rFonts w:ascii="Arial" w:hAnsi="Arial" w:cs="Arial"/>
          <w:b/>
          <w:sz w:val="16"/>
        </w:rPr>
        <w:fldChar w:fldCharType="separate"/>
      </w:r>
      <w:r w:rsidRPr="00FC53FE">
        <w:rPr>
          <w:rFonts w:ascii="Arial" w:hAnsi="Arial" w:cs="Arial"/>
          <w:b/>
          <w:noProof/>
          <w:sz w:val="16"/>
          <w:lang w:val="en-US"/>
        </w:rPr>
        <w:t>2</w:t>
      </w:r>
      <w:r w:rsidRPr="00FC53FE">
        <w:rPr>
          <w:rFonts w:ascii="Arial" w:hAnsi="Arial" w:cs="Arial"/>
          <w:b/>
          <w:sz w:val="16"/>
        </w:rPr>
        <w:fldChar w:fldCharType="end"/>
      </w:r>
      <w:r w:rsidR="00FC53FE" w:rsidRPr="00FC53FE">
        <w:rPr>
          <w:rFonts w:ascii="Arial" w:hAnsi="Arial" w:cs="Arial"/>
          <w:b/>
          <w:sz w:val="16"/>
          <w:lang w:val="en-US"/>
        </w:rPr>
        <w:t xml:space="preserve"> </w:t>
      </w:r>
      <w:r w:rsidR="00FC53FE" w:rsidRPr="00FC53FE">
        <w:rPr>
          <w:rFonts w:ascii="Arial" w:hAnsi="Arial" w:cs="Arial"/>
          <w:b/>
          <w:bCs/>
          <w:sz w:val="14"/>
          <w:szCs w:val="14"/>
          <w:lang w:val="en-GB"/>
        </w:rPr>
        <w:t>|</w:t>
      </w:r>
      <w:r w:rsidRPr="00FC53FE">
        <w:rPr>
          <w:rFonts w:ascii="Arial" w:hAnsi="Arial" w:cs="Arial"/>
          <w:sz w:val="16"/>
          <w:lang w:val="en-US"/>
        </w:rPr>
        <w:t xml:space="preserve"> Constants obtained and used for the CM kinetics modellings</w:t>
      </w:r>
    </w:p>
    <w:tbl>
      <w:tblPr>
        <w:tblStyle w:val="TableauGrille1Clair"/>
        <w:tblW w:w="0" w:type="auto"/>
        <w:jc w:val="center"/>
        <w:tblLook w:val="04A0" w:firstRow="1" w:lastRow="0" w:firstColumn="1" w:lastColumn="0" w:noHBand="0" w:noVBand="1"/>
      </w:tblPr>
      <w:tblGrid>
        <w:gridCol w:w="2551"/>
        <w:gridCol w:w="2552"/>
      </w:tblGrid>
      <w:tr w:rsidR="00B63041" w14:paraId="17D31F2B" w14:textId="77777777" w:rsidTr="00B82EA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51" w:type="dxa"/>
            <w:vAlign w:val="center"/>
          </w:tcPr>
          <w:p w14:paraId="07243E76" w14:textId="77777777" w:rsidR="00B63041" w:rsidRDefault="00B63041" w:rsidP="00B82EA9">
            <w:pPr>
              <w:jc w:val="center"/>
              <w:rPr>
                <w:lang w:val="en-US"/>
              </w:rPr>
            </w:pPr>
            <w:r>
              <w:rPr>
                <w:lang w:val="en-US"/>
              </w:rPr>
              <w:t>Constant</w:t>
            </w:r>
          </w:p>
        </w:tc>
        <w:tc>
          <w:tcPr>
            <w:tcW w:w="2552" w:type="dxa"/>
            <w:vAlign w:val="center"/>
          </w:tcPr>
          <w:p w14:paraId="147CEE6A" w14:textId="77777777" w:rsidR="00B63041" w:rsidRDefault="00B63041" w:rsidP="00B82EA9">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Value</w:t>
            </w:r>
          </w:p>
        </w:tc>
      </w:tr>
      <w:tr w:rsidR="00B63041" w14:paraId="2BAD8B6F" w14:textId="77777777" w:rsidTr="00B82EA9">
        <w:trPr>
          <w:jc w:val="center"/>
        </w:trPr>
        <w:tc>
          <w:tcPr>
            <w:cnfStyle w:val="001000000000" w:firstRow="0" w:lastRow="0" w:firstColumn="1" w:lastColumn="0" w:oddVBand="0" w:evenVBand="0" w:oddHBand="0" w:evenHBand="0" w:firstRowFirstColumn="0" w:firstRowLastColumn="0" w:lastRowFirstColumn="0" w:lastRowLastColumn="0"/>
            <w:tcW w:w="2551" w:type="dxa"/>
            <w:vAlign w:val="center"/>
          </w:tcPr>
          <w:p w14:paraId="195F731D" w14:textId="77777777" w:rsidR="00B63041" w:rsidRPr="00576A48" w:rsidRDefault="00B63041" w:rsidP="00B82EA9">
            <w:pPr>
              <w:jc w:val="center"/>
              <w:rPr>
                <w:b w:val="0"/>
                <w:lang w:val="en-US"/>
              </w:rPr>
            </w:pPr>
            <w:r>
              <w:rPr>
                <w:b w:val="0"/>
                <w:lang w:val="en-US"/>
              </w:rPr>
              <w:t>IR</w:t>
            </w:r>
            <w:r w:rsidRPr="00576A48">
              <w:rPr>
                <w:b w:val="0"/>
                <w:vertAlign w:val="subscript"/>
                <w:lang w:val="en-US"/>
              </w:rPr>
              <w:t>min</w:t>
            </w:r>
          </w:p>
        </w:tc>
        <w:tc>
          <w:tcPr>
            <w:tcW w:w="2552" w:type="dxa"/>
            <w:vAlign w:val="center"/>
          </w:tcPr>
          <w:p w14:paraId="7DCFE5BD" w14:textId="77777777" w:rsidR="00B63041" w:rsidRDefault="00B63041" w:rsidP="00B82EA9">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0.5</w:t>
            </w:r>
          </w:p>
        </w:tc>
      </w:tr>
      <w:tr w:rsidR="00B63041" w14:paraId="17D81B66" w14:textId="77777777" w:rsidTr="00B82EA9">
        <w:trPr>
          <w:jc w:val="center"/>
        </w:trPr>
        <w:tc>
          <w:tcPr>
            <w:cnfStyle w:val="001000000000" w:firstRow="0" w:lastRow="0" w:firstColumn="1" w:lastColumn="0" w:oddVBand="0" w:evenVBand="0" w:oddHBand="0" w:evenHBand="0" w:firstRowFirstColumn="0" w:firstRowLastColumn="0" w:lastRowFirstColumn="0" w:lastRowLastColumn="0"/>
            <w:tcW w:w="2551" w:type="dxa"/>
            <w:vAlign w:val="center"/>
          </w:tcPr>
          <w:p w14:paraId="3BCAD9E5" w14:textId="77777777" w:rsidR="00B63041" w:rsidRPr="00576A48" w:rsidRDefault="00B63041" w:rsidP="00B82EA9">
            <w:pPr>
              <w:jc w:val="center"/>
              <w:rPr>
                <w:b w:val="0"/>
                <w:lang w:val="en-US"/>
              </w:rPr>
            </w:pPr>
            <w:r>
              <w:rPr>
                <w:b w:val="0"/>
                <w:lang w:val="en-US"/>
              </w:rPr>
              <w:t>IR</w:t>
            </w:r>
            <w:r w:rsidRPr="00576A48">
              <w:rPr>
                <w:b w:val="0"/>
                <w:vertAlign w:val="subscript"/>
                <w:lang w:val="en-US"/>
              </w:rPr>
              <w:t>max</w:t>
            </w:r>
          </w:p>
        </w:tc>
        <w:tc>
          <w:tcPr>
            <w:tcW w:w="2552" w:type="dxa"/>
            <w:vAlign w:val="center"/>
          </w:tcPr>
          <w:p w14:paraId="70160559" w14:textId="71B8B83E" w:rsidR="00B63041" w:rsidRDefault="00B63041" w:rsidP="00B82EA9">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1.6</w:t>
            </w:r>
            <w:r w:rsidR="00CB5DDE">
              <w:rPr>
                <w:lang w:val="en-US"/>
              </w:rPr>
              <w:t>2</w:t>
            </w:r>
          </w:p>
        </w:tc>
      </w:tr>
      <w:tr w:rsidR="00B63041" w:rsidRPr="00CB5DDE" w14:paraId="062FB253" w14:textId="77777777" w:rsidTr="00B82EA9">
        <w:trPr>
          <w:jc w:val="center"/>
        </w:trPr>
        <w:tc>
          <w:tcPr>
            <w:cnfStyle w:val="001000000000" w:firstRow="0" w:lastRow="0" w:firstColumn="1" w:lastColumn="0" w:oddVBand="0" w:evenVBand="0" w:oddHBand="0" w:evenHBand="0" w:firstRowFirstColumn="0" w:firstRowLastColumn="0" w:lastRowFirstColumn="0" w:lastRowLastColumn="0"/>
            <w:tcW w:w="2551" w:type="dxa"/>
            <w:vAlign w:val="center"/>
          </w:tcPr>
          <w:p w14:paraId="589FD977" w14:textId="77777777" w:rsidR="00B63041" w:rsidRPr="00576A48" w:rsidRDefault="00B63041" w:rsidP="00B82EA9">
            <w:pPr>
              <w:jc w:val="center"/>
              <w:rPr>
                <w:b w:val="0"/>
                <w:lang w:val="en-US"/>
              </w:rPr>
            </w:pPr>
            <w:r w:rsidRPr="00576A48">
              <w:rPr>
                <w:b w:val="0"/>
                <w:lang w:val="en-US"/>
              </w:rPr>
              <w:t>A</w:t>
            </w:r>
          </w:p>
        </w:tc>
        <w:tc>
          <w:tcPr>
            <w:tcW w:w="2552" w:type="dxa"/>
            <w:vAlign w:val="center"/>
          </w:tcPr>
          <w:p w14:paraId="07669A07" w14:textId="356A645B" w:rsidR="00B63041" w:rsidRDefault="00CB5DDE" w:rsidP="00B82EA9">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1.04939</w:t>
            </w:r>
            <w:r w:rsidR="00B63041">
              <w:rPr>
                <w:lang w:val="en-US"/>
              </w:rPr>
              <w:t xml:space="preserve"> . 10</w:t>
            </w:r>
            <w:r>
              <w:rPr>
                <w:vertAlign w:val="superscript"/>
                <w:lang w:val="en-US"/>
              </w:rPr>
              <w:t>-8</w:t>
            </w:r>
          </w:p>
        </w:tc>
      </w:tr>
      <w:tr w:rsidR="00B63041" w:rsidRPr="00CB5DDE" w14:paraId="3B7FDE96" w14:textId="77777777" w:rsidTr="00B82EA9">
        <w:trPr>
          <w:jc w:val="center"/>
        </w:trPr>
        <w:tc>
          <w:tcPr>
            <w:cnfStyle w:val="001000000000" w:firstRow="0" w:lastRow="0" w:firstColumn="1" w:lastColumn="0" w:oddVBand="0" w:evenVBand="0" w:oddHBand="0" w:evenHBand="0" w:firstRowFirstColumn="0" w:firstRowLastColumn="0" w:lastRowFirstColumn="0" w:lastRowLastColumn="0"/>
            <w:tcW w:w="2551" w:type="dxa"/>
            <w:vAlign w:val="center"/>
          </w:tcPr>
          <w:p w14:paraId="6ED8BAF8" w14:textId="77777777" w:rsidR="00B63041" w:rsidRPr="00576A48" w:rsidRDefault="00B63041" w:rsidP="00B82EA9">
            <w:pPr>
              <w:jc w:val="center"/>
              <w:rPr>
                <w:b w:val="0"/>
                <w:lang w:val="en-US"/>
              </w:rPr>
            </w:pPr>
            <w:r w:rsidRPr="00576A48">
              <w:rPr>
                <w:b w:val="0"/>
                <w:lang w:val="en-US"/>
              </w:rPr>
              <w:t>-m</w:t>
            </w:r>
          </w:p>
        </w:tc>
        <w:tc>
          <w:tcPr>
            <w:tcW w:w="2552" w:type="dxa"/>
            <w:vAlign w:val="center"/>
          </w:tcPr>
          <w:p w14:paraId="0B89AB5E" w14:textId="1AD49162" w:rsidR="00B63041" w:rsidRDefault="00CB5DDE" w:rsidP="00B82EA9">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27905</w:t>
            </w:r>
          </w:p>
        </w:tc>
      </w:tr>
      <w:tr w:rsidR="00B63041" w:rsidRPr="00CB5DDE" w14:paraId="6F57CB8D" w14:textId="77777777" w:rsidTr="00B82EA9">
        <w:trPr>
          <w:jc w:val="center"/>
        </w:trPr>
        <w:tc>
          <w:tcPr>
            <w:cnfStyle w:val="001000000000" w:firstRow="0" w:lastRow="0" w:firstColumn="1" w:lastColumn="0" w:oddVBand="0" w:evenVBand="0" w:oddHBand="0" w:evenHBand="0" w:firstRowFirstColumn="0" w:firstRowLastColumn="0" w:lastRowFirstColumn="0" w:lastRowLastColumn="0"/>
            <w:tcW w:w="2551" w:type="dxa"/>
            <w:vAlign w:val="center"/>
          </w:tcPr>
          <w:p w14:paraId="338AE521" w14:textId="77777777" w:rsidR="00B63041" w:rsidRPr="00576A48" w:rsidRDefault="00B63041" w:rsidP="00B82EA9">
            <w:pPr>
              <w:jc w:val="center"/>
              <w:rPr>
                <w:b w:val="0"/>
                <w:lang w:val="en-US"/>
              </w:rPr>
            </w:pPr>
            <w:r w:rsidRPr="00576A48">
              <w:rPr>
                <w:b w:val="0"/>
                <w:lang w:val="en-US"/>
              </w:rPr>
              <w:t>h</w:t>
            </w:r>
          </w:p>
        </w:tc>
        <w:tc>
          <w:tcPr>
            <w:tcW w:w="2552" w:type="dxa"/>
            <w:vAlign w:val="center"/>
          </w:tcPr>
          <w:p w14:paraId="7284E526" w14:textId="59DE23FF" w:rsidR="00B63041" w:rsidRDefault="00CB5DDE" w:rsidP="00B82EA9">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0.449</w:t>
            </w:r>
          </w:p>
        </w:tc>
      </w:tr>
    </w:tbl>
    <w:p w14:paraId="0706707C" w14:textId="77777777" w:rsidR="00C94543" w:rsidRDefault="00C94543" w:rsidP="00B63041">
      <w:pPr>
        <w:rPr>
          <w:lang w:val="en-US"/>
        </w:rPr>
      </w:pPr>
    </w:p>
    <w:p w14:paraId="38DA8B7C" w14:textId="07B88211" w:rsidR="00B63041" w:rsidRPr="00230575" w:rsidRDefault="00230575" w:rsidP="00D8631E">
      <w:pPr>
        <w:ind w:left="710"/>
        <w:rPr>
          <w:lang w:val="en-US"/>
        </w:rPr>
      </w:pPr>
      <w:r>
        <w:rPr>
          <w:lang w:val="en-US"/>
        </w:rPr>
        <w:t xml:space="preserve">4. </w:t>
      </w:r>
      <w:r w:rsidR="00B63041" w:rsidRPr="00230575">
        <w:rPr>
          <w:lang w:val="en-US"/>
        </w:rPr>
        <w:t xml:space="preserve">Numerical modelling: </w:t>
      </w:r>
    </w:p>
    <w:p w14:paraId="3325DED4" w14:textId="444E8E92" w:rsidR="00B63041" w:rsidRDefault="00230575" w:rsidP="00B63041">
      <w:pPr>
        <w:ind w:firstLine="708"/>
        <w:rPr>
          <w:lang w:val="en-US"/>
        </w:rPr>
      </w:pPr>
      <w:r>
        <w:rPr>
          <w:lang w:val="en-US"/>
        </w:rPr>
        <w:t>4</w:t>
      </w:r>
      <w:r w:rsidR="00B63041">
        <w:rPr>
          <w:lang w:val="en-US"/>
        </w:rPr>
        <w:t>.0 Assumption of the model: laminar flow of the material</w:t>
      </w:r>
    </w:p>
    <w:p w14:paraId="4EE22921" w14:textId="620E5727" w:rsidR="00B63041" w:rsidRDefault="00B63041" w:rsidP="00B63041">
      <w:pPr>
        <w:rPr>
          <w:lang w:val="en-US"/>
        </w:rPr>
      </w:pPr>
      <w:r>
        <w:rPr>
          <w:lang w:val="en-US"/>
        </w:rPr>
        <w:lastRenderedPageBreak/>
        <w:t xml:space="preserve">To simplify the problem to a single dimension (perpendicular to the fault layer) requires to assume that the flow of the material was laminar, so that all grains of carbonaceous material in the fault layer have preserved the same distance to the host rock throughout deformation, without redistribution by convection. </w:t>
      </w:r>
      <w:r w:rsidR="00230575">
        <w:rPr>
          <w:lang w:val="en-US"/>
        </w:rPr>
        <w:t>The validity of this assumption can be assessed using</w:t>
      </w:r>
      <w:r>
        <w:rPr>
          <w:lang w:val="en-US"/>
        </w:rPr>
        <w:t xml:space="preserve"> the number of the Reynolds number of the flow, which can be defined as follows: </w:t>
      </w:r>
    </w:p>
    <w:p w14:paraId="5550C714" w14:textId="00FC7D83" w:rsidR="00B63041" w:rsidRPr="00226A99" w:rsidRDefault="00D46348" w:rsidP="00B63041">
      <w:pPr>
        <w:pStyle w:val="Paragraphedeliste"/>
        <w:ind w:left="1210"/>
        <w:rPr>
          <w:rFonts w:eastAsiaTheme="minorEastAsia"/>
          <w:lang w:val="en-US"/>
        </w:rPr>
      </w:pPr>
      <m:oMathPara>
        <m:oMathParaPr>
          <m:jc m:val="center"/>
        </m:oMathParaPr>
        <m:oMath>
          <m:eqArr>
            <m:eqArrPr>
              <m:maxDist m:val="1"/>
              <m:ctrlPr>
                <w:rPr>
                  <w:rFonts w:ascii="Cambria Math" w:hAnsi="Cambria Math"/>
                  <w:i/>
                  <w:lang w:val="en-US"/>
                </w:rPr>
              </m:ctrlPr>
            </m:eqArrPr>
            <m:e>
              <m:r>
                <w:rPr>
                  <w:rFonts w:ascii="Cambria Math" w:hAnsi="Cambria Math"/>
                  <w:lang w:val="en-US"/>
                </w:rPr>
                <m:t xml:space="preserve">Re= </m:t>
              </m:r>
              <m:f>
                <m:fPr>
                  <m:ctrlPr>
                    <w:rPr>
                      <w:rFonts w:ascii="Cambria Math" w:hAnsi="Cambria Math"/>
                      <w:i/>
                      <w:lang w:val="en-US"/>
                    </w:rPr>
                  </m:ctrlPr>
                </m:fPr>
                <m:num>
                  <m:r>
                    <w:rPr>
                      <w:rFonts w:ascii="Cambria Math" w:hAnsi="Cambria Math"/>
                      <w:lang w:val="en-US"/>
                    </w:rPr>
                    <m:t>ρ V Lc</m:t>
                  </m:r>
                </m:num>
                <m:den>
                  <m:r>
                    <w:rPr>
                      <w:rFonts w:ascii="Cambria Math" w:hAnsi="Cambria Math"/>
                      <w:lang w:val="en-US"/>
                    </w:rPr>
                    <m:t>μ</m:t>
                  </m:r>
                </m:den>
              </m:f>
              <m:r>
                <w:rPr>
                  <w:rFonts w:ascii="Cambria Math" w:hAnsi="Cambria Math"/>
                  <w:lang w:val="en-US"/>
                </w:rPr>
                <m:t>#(6)</m:t>
              </m:r>
            </m:e>
          </m:eqArr>
        </m:oMath>
      </m:oMathPara>
    </w:p>
    <w:p w14:paraId="65F7E8EE" w14:textId="6EE5BD24" w:rsidR="000C6699" w:rsidRPr="00FC53FE" w:rsidRDefault="000C6699" w:rsidP="00FC53FE">
      <w:pPr>
        <w:pStyle w:val="Lgende"/>
        <w:keepNext/>
        <w:jc w:val="center"/>
        <w:rPr>
          <w:rFonts w:ascii="Arial" w:hAnsi="Arial" w:cs="Arial"/>
          <w:sz w:val="14"/>
          <w:szCs w:val="14"/>
          <w:lang w:val="en-US"/>
        </w:rPr>
      </w:pPr>
      <w:r w:rsidRPr="00FC53FE">
        <w:rPr>
          <w:rFonts w:ascii="Arial" w:hAnsi="Arial" w:cs="Arial"/>
          <w:b/>
          <w:sz w:val="14"/>
          <w:szCs w:val="14"/>
          <w:lang w:val="en-US"/>
        </w:rPr>
        <w:t xml:space="preserve">Note table </w:t>
      </w:r>
      <w:r w:rsidRPr="00FC53FE">
        <w:rPr>
          <w:rFonts w:ascii="Arial" w:hAnsi="Arial" w:cs="Arial"/>
          <w:b/>
          <w:sz w:val="14"/>
          <w:szCs w:val="14"/>
        </w:rPr>
        <w:fldChar w:fldCharType="begin"/>
      </w:r>
      <w:r w:rsidRPr="00FC53FE">
        <w:rPr>
          <w:rFonts w:ascii="Arial" w:hAnsi="Arial" w:cs="Arial"/>
          <w:b/>
          <w:sz w:val="14"/>
          <w:szCs w:val="14"/>
          <w:lang w:val="en-US"/>
        </w:rPr>
        <w:instrText xml:space="preserve"> SEQ Table \* ARABIC </w:instrText>
      </w:r>
      <w:r w:rsidRPr="00FC53FE">
        <w:rPr>
          <w:rFonts w:ascii="Arial" w:hAnsi="Arial" w:cs="Arial"/>
          <w:b/>
          <w:sz w:val="14"/>
          <w:szCs w:val="14"/>
        </w:rPr>
        <w:fldChar w:fldCharType="separate"/>
      </w:r>
      <w:r w:rsidRPr="00FC53FE">
        <w:rPr>
          <w:rFonts w:ascii="Arial" w:hAnsi="Arial" w:cs="Arial"/>
          <w:b/>
          <w:noProof/>
          <w:sz w:val="14"/>
          <w:szCs w:val="14"/>
          <w:lang w:val="en-US"/>
        </w:rPr>
        <w:t>3</w:t>
      </w:r>
      <w:r w:rsidRPr="00FC53FE">
        <w:rPr>
          <w:rFonts w:ascii="Arial" w:hAnsi="Arial" w:cs="Arial"/>
          <w:b/>
          <w:sz w:val="14"/>
          <w:szCs w:val="14"/>
        </w:rPr>
        <w:fldChar w:fldCharType="end"/>
      </w:r>
      <w:r w:rsidR="00FC53FE" w:rsidRPr="00FC53FE">
        <w:rPr>
          <w:rFonts w:ascii="Arial" w:hAnsi="Arial" w:cs="Arial"/>
          <w:b/>
          <w:sz w:val="14"/>
          <w:szCs w:val="14"/>
          <w:lang w:val="en-US"/>
        </w:rPr>
        <w:t xml:space="preserve"> </w:t>
      </w:r>
      <w:r w:rsidR="00FC53FE" w:rsidRPr="00FC53FE">
        <w:rPr>
          <w:rFonts w:ascii="Arial" w:hAnsi="Arial" w:cs="Arial"/>
          <w:b/>
          <w:bCs/>
          <w:sz w:val="14"/>
          <w:szCs w:val="14"/>
          <w:lang w:val="en-GB"/>
        </w:rPr>
        <w:t>|</w:t>
      </w:r>
      <w:r w:rsidRPr="00FC53FE">
        <w:rPr>
          <w:rFonts w:ascii="Arial" w:hAnsi="Arial" w:cs="Arial"/>
          <w:sz w:val="14"/>
          <w:szCs w:val="14"/>
          <w:lang w:val="en-US"/>
        </w:rPr>
        <w:t xml:space="preserve"> Constants used for the Reynolds number calculation</w:t>
      </w:r>
    </w:p>
    <w:tbl>
      <w:tblPr>
        <w:tblStyle w:val="TableauGrille1Clair"/>
        <w:tblW w:w="0" w:type="auto"/>
        <w:tblInd w:w="562" w:type="dxa"/>
        <w:tblLook w:val="04A0" w:firstRow="1" w:lastRow="0" w:firstColumn="1" w:lastColumn="0" w:noHBand="0" w:noVBand="1"/>
      </w:tblPr>
      <w:tblGrid>
        <w:gridCol w:w="2201"/>
        <w:gridCol w:w="1837"/>
        <w:gridCol w:w="2301"/>
        <w:gridCol w:w="2161"/>
      </w:tblGrid>
      <w:tr w:rsidR="00B63041" w:rsidRPr="00156A6B" w14:paraId="1DA6F87C" w14:textId="77777777" w:rsidTr="00B82E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1" w:type="dxa"/>
            <w:vAlign w:val="center"/>
          </w:tcPr>
          <w:p w14:paraId="16F24048" w14:textId="77777777" w:rsidR="00B63041" w:rsidRPr="00156A6B" w:rsidRDefault="00B63041" w:rsidP="00B82EA9">
            <w:pPr>
              <w:jc w:val="center"/>
              <w:rPr>
                <w:sz w:val="16"/>
                <w:lang w:val="en-US"/>
              </w:rPr>
            </w:pPr>
            <w:r w:rsidRPr="00156A6B">
              <w:rPr>
                <w:sz w:val="16"/>
                <w:lang w:val="en-US"/>
              </w:rPr>
              <w:t>Constant</w:t>
            </w:r>
          </w:p>
        </w:tc>
        <w:tc>
          <w:tcPr>
            <w:tcW w:w="1837" w:type="dxa"/>
            <w:vAlign w:val="center"/>
          </w:tcPr>
          <w:p w14:paraId="6698C0DA" w14:textId="77777777" w:rsidR="00B63041" w:rsidRPr="00156A6B" w:rsidRDefault="00B63041" w:rsidP="00B82EA9">
            <w:pPr>
              <w:jc w:val="center"/>
              <w:cnfStyle w:val="100000000000" w:firstRow="1" w:lastRow="0" w:firstColumn="0" w:lastColumn="0" w:oddVBand="0" w:evenVBand="0" w:oddHBand="0" w:evenHBand="0" w:firstRowFirstColumn="0" w:firstRowLastColumn="0" w:lastRowFirstColumn="0" w:lastRowLastColumn="0"/>
              <w:rPr>
                <w:sz w:val="16"/>
                <w:lang w:val="en-US"/>
              </w:rPr>
            </w:pPr>
            <w:r w:rsidRPr="00156A6B">
              <w:rPr>
                <w:sz w:val="16"/>
                <w:lang w:val="en-US"/>
              </w:rPr>
              <w:t>Value</w:t>
            </w:r>
          </w:p>
        </w:tc>
        <w:tc>
          <w:tcPr>
            <w:tcW w:w="2301" w:type="dxa"/>
            <w:vAlign w:val="center"/>
          </w:tcPr>
          <w:p w14:paraId="0D2B5BF7" w14:textId="77777777" w:rsidR="00B63041" w:rsidRPr="00156A6B" w:rsidRDefault="00B63041" w:rsidP="00B82EA9">
            <w:pPr>
              <w:jc w:val="center"/>
              <w:cnfStyle w:val="100000000000" w:firstRow="1" w:lastRow="0" w:firstColumn="0" w:lastColumn="0" w:oddVBand="0" w:evenVBand="0" w:oddHBand="0" w:evenHBand="0" w:firstRowFirstColumn="0" w:firstRowLastColumn="0" w:lastRowFirstColumn="0" w:lastRowLastColumn="0"/>
              <w:rPr>
                <w:sz w:val="16"/>
                <w:lang w:val="en-US"/>
              </w:rPr>
            </w:pPr>
            <w:r w:rsidRPr="00156A6B">
              <w:rPr>
                <w:sz w:val="16"/>
                <w:lang w:val="en-US"/>
              </w:rPr>
              <w:t>Unit</w:t>
            </w:r>
          </w:p>
        </w:tc>
        <w:tc>
          <w:tcPr>
            <w:tcW w:w="2161" w:type="dxa"/>
          </w:tcPr>
          <w:p w14:paraId="5373D45E" w14:textId="77777777" w:rsidR="00B63041" w:rsidRPr="00156A6B" w:rsidRDefault="00B63041" w:rsidP="00B82EA9">
            <w:pPr>
              <w:jc w:val="center"/>
              <w:cnfStyle w:val="100000000000" w:firstRow="1" w:lastRow="0" w:firstColumn="0" w:lastColumn="0" w:oddVBand="0" w:evenVBand="0" w:oddHBand="0" w:evenHBand="0" w:firstRowFirstColumn="0" w:firstRowLastColumn="0" w:lastRowFirstColumn="0" w:lastRowLastColumn="0"/>
              <w:rPr>
                <w:sz w:val="16"/>
                <w:lang w:val="en-US"/>
              </w:rPr>
            </w:pPr>
            <w:r w:rsidRPr="00156A6B">
              <w:rPr>
                <w:sz w:val="16"/>
                <w:lang w:val="en-US"/>
              </w:rPr>
              <w:t xml:space="preserve">Reference </w:t>
            </w:r>
          </w:p>
        </w:tc>
      </w:tr>
      <w:tr w:rsidR="00B63041" w:rsidRPr="00156A6B" w14:paraId="7707509C" w14:textId="77777777" w:rsidTr="00B82EA9">
        <w:tc>
          <w:tcPr>
            <w:cnfStyle w:val="001000000000" w:firstRow="0" w:lastRow="0" w:firstColumn="1" w:lastColumn="0" w:oddVBand="0" w:evenVBand="0" w:oddHBand="0" w:evenHBand="0" w:firstRowFirstColumn="0" w:firstRowLastColumn="0" w:lastRowFirstColumn="0" w:lastRowLastColumn="0"/>
            <w:tcW w:w="2201" w:type="dxa"/>
            <w:vAlign w:val="center"/>
          </w:tcPr>
          <w:p w14:paraId="29977AD3" w14:textId="77777777" w:rsidR="00B63041" w:rsidRPr="00156A6B" w:rsidRDefault="00B63041" w:rsidP="00B82EA9">
            <w:pPr>
              <w:jc w:val="center"/>
              <w:rPr>
                <w:b w:val="0"/>
                <w:sz w:val="16"/>
                <w:lang w:val="en-US"/>
              </w:rPr>
            </w:pPr>
            <w:r w:rsidRPr="00156A6B">
              <w:rPr>
                <w:b w:val="0"/>
                <w:sz w:val="16"/>
                <w:lang w:val="en-US"/>
              </w:rPr>
              <w:t>Density – ρ</w:t>
            </w:r>
          </w:p>
        </w:tc>
        <w:tc>
          <w:tcPr>
            <w:tcW w:w="1837" w:type="dxa"/>
            <w:vAlign w:val="center"/>
          </w:tcPr>
          <w:p w14:paraId="334FB8F6" w14:textId="77777777" w:rsidR="00B63041" w:rsidRPr="00156A6B" w:rsidRDefault="00B63041" w:rsidP="00B82EA9">
            <w:pPr>
              <w:jc w:val="center"/>
              <w:cnfStyle w:val="000000000000" w:firstRow="0" w:lastRow="0" w:firstColumn="0" w:lastColumn="0" w:oddVBand="0" w:evenVBand="0" w:oddHBand="0" w:evenHBand="0" w:firstRowFirstColumn="0" w:firstRowLastColumn="0" w:lastRowFirstColumn="0" w:lastRowLastColumn="0"/>
              <w:rPr>
                <w:sz w:val="16"/>
                <w:lang w:val="en-US"/>
              </w:rPr>
            </w:pPr>
            <w:r w:rsidRPr="00156A6B">
              <w:rPr>
                <w:sz w:val="16"/>
                <w:lang w:val="en-US"/>
              </w:rPr>
              <w:t>2660</w:t>
            </w:r>
          </w:p>
        </w:tc>
        <w:tc>
          <w:tcPr>
            <w:tcW w:w="2301" w:type="dxa"/>
            <w:vAlign w:val="center"/>
          </w:tcPr>
          <w:p w14:paraId="147773B6" w14:textId="77777777" w:rsidR="00B63041" w:rsidRPr="00156A6B" w:rsidRDefault="00B63041" w:rsidP="00B82EA9">
            <w:pPr>
              <w:jc w:val="center"/>
              <w:cnfStyle w:val="000000000000" w:firstRow="0" w:lastRow="0" w:firstColumn="0" w:lastColumn="0" w:oddVBand="0" w:evenVBand="0" w:oddHBand="0" w:evenHBand="0" w:firstRowFirstColumn="0" w:firstRowLastColumn="0" w:lastRowFirstColumn="0" w:lastRowLastColumn="0"/>
              <w:rPr>
                <w:sz w:val="16"/>
                <w:lang w:val="en-US"/>
              </w:rPr>
            </w:pPr>
            <w:r w:rsidRPr="00156A6B">
              <w:rPr>
                <w:sz w:val="16"/>
                <w:lang w:val="en-US"/>
              </w:rPr>
              <w:t>Kg/m</w:t>
            </w:r>
            <w:r w:rsidRPr="00156A6B">
              <w:rPr>
                <w:sz w:val="16"/>
                <w:vertAlign w:val="superscript"/>
                <w:lang w:val="en-US"/>
              </w:rPr>
              <w:t>3</w:t>
            </w:r>
          </w:p>
        </w:tc>
        <w:tc>
          <w:tcPr>
            <w:tcW w:w="2161" w:type="dxa"/>
          </w:tcPr>
          <w:p w14:paraId="459EC563" w14:textId="297D4CCF" w:rsidR="00B63041" w:rsidRPr="00156A6B" w:rsidRDefault="00B63041" w:rsidP="00DD6B14">
            <w:pPr>
              <w:jc w:val="center"/>
              <w:cnfStyle w:val="000000000000" w:firstRow="0" w:lastRow="0" w:firstColumn="0" w:lastColumn="0" w:oddVBand="0" w:evenVBand="0" w:oddHBand="0" w:evenHBand="0" w:firstRowFirstColumn="0" w:firstRowLastColumn="0" w:lastRowFirstColumn="0" w:lastRowLastColumn="0"/>
              <w:rPr>
                <w:sz w:val="16"/>
                <w:lang w:val="en-US"/>
              </w:rPr>
            </w:pPr>
            <w:r w:rsidRPr="00156A6B">
              <w:rPr>
                <w:sz w:val="16"/>
                <w:lang w:val="en-US"/>
              </w:rPr>
              <w:t>Schön, 1996</w:t>
            </w:r>
            <w:r w:rsidRPr="00156A6B">
              <w:rPr>
                <w:sz w:val="16"/>
                <w:lang w:val="en-US"/>
              </w:rPr>
              <w:fldChar w:fldCharType="begin"/>
            </w:r>
            <w:r w:rsidR="00DD6B14">
              <w:rPr>
                <w:sz w:val="16"/>
                <w:lang w:val="en-US"/>
              </w:rPr>
              <w:instrText xml:space="preserve"> ADDIN ZOTERO_ITEM CSL_CITATION {"citationID":"H0zo2uqt","properties":{"formattedCitation":"\\super 28\\nosupersub{}","plainCitation":"28","noteIndex":0},"citationItems":[{"id":299,"uris":["http://zotero.org/users/5712877/items/3S5GLH4M"],"uri":["http://zotero.org/users/5712877/items/3S5GLH4M"],"itemData":{"id":299,"type":"book","title":"Physical Properties of Rocks Fundamentals and Principles of Petrophysics","collection-title":"Developments in Petroleum Science","publisher":"Elsevier B.V.","volume":"65","number-of-pages":"497","edition":"Second edition","ISBN":"978-0-08-100404-3","language":"en","author":[{"family":"Schön","given":"Jürgen"}],"issued":{"date-parts":[["1996"]]}}}],"schema":"https://github.com/citation-style-language/schema/raw/master/csl-citation.json"} </w:instrText>
            </w:r>
            <w:r w:rsidRPr="00156A6B">
              <w:rPr>
                <w:sz w:val="16"/>
                <w:lang w:val="en-US"/>
              </w:rPr>
              <w:fldChar w:fldCharType="separate"/>
            </w:r>
            <w:r w:rsidR="00DD6B14" w:rsidRPr="00DD6B14">
              <w:rPr>
                <w:rFonts w:cs="Times New Roman"/>
                <w:sz w:val="16"/>
                <w:szCs w:val="24"/>
                <w:vertAlign w:val="superscript"/>
              </w:rPr>
              <w:t>28</w:t>
            </w:r>
            <w:r w:rsidRPr="00156A6B">
              <w:rPr>
                <w:sz w:val="16"/>
                <w:lang w:val="en-US"/>
              </w:rPr>
              <w:fldChar w:fldCharType="end"/>
            </w:r>
          </w:p>
        </w:tc>
      </w:tr>
      <w:tr w:rsidR="00B63041" w:rsidRPr="00156A6B" w14:paraId="5A8A1B11" w14:textId="77777777" w:rsidTr="00B82EA9">
        <w:tc>
          <w:tcPr>
            <w:cnfStyle w:val="001000000000" w:firstRow="0" w:lastRow="0" w:firstColumn="1" w:lastColumn="0" w:oddVBand="0" w:evenVBand="0" w:oddHBand="0" w:evenHBand="0" w:firstRowFirstColumn="0" w:firstRowLastColumn="0" w:lastRowFirstColumn="0" w:lastRowLastColumn="0"/>
            <w:tcW w:w="2201" w:type="dxa"/>
            <w:vAlign w:val="center"/>
          </w:tcPr>
          <w:p w14:paraId="6EAC7538" w14:textId="77777777" w:rsidR="00B63041" w:rsidRPr="00156A6B" w:rsidRDefault="00B63041" w:rsidP="00B82EA9">
            <w:pPr>
              <w:jc w:val="center"/>
              <w:rPr>
                <w:b w:val="0"/>
                <w:sz w:val="16"/>
                <w:lang w:val="en-US"/>
              </w:rPr>
            </w:pPr>
            <w:r w:rsidRPr="00156A6B">
              <w:rPr>
                <w:b w:val="0"/>
                <w:sz w:val="16"/>
                <w:lang w:val="en-US"/>
              </w:rPr>
              <w:t>Slip rate – V</w:t>
            </w:r>
          </w:p>
        </w:tc>
        <w:tc>
          <w:tcPr>
            <w:tcW w:w="1837" w:type="dxa"/>
            <w:vAlign w:val="center"/>
          </w:tcPr>
          <w:p w14:paraId="6919CB9E" w14:textId="77777777" w:rsidR="00B63041" w:rsidRPr="00156A6B" w:rsidRDefault="00B63041" w:rsidP="00B82EA9">
            <w:pPr>
              <w:jc w:val="center"/>
              <w:cnfStyle w:val="000000000000" w:firstRow="0" w:lastRow="0" w:firstColumn="0" w:lastColumn="0" w:oddVBand="0" w:evenVBand="0" w:oddHBand="0" w:evenHBand="0" w:firstRowFirstColumn="0" w:firstRowLastColumn="0" w:lastRowFirstColumn="0" w:lastRowLastColumn="0"/>
              <w:rPr>
                <w:sz w:val="16"/>
                <w:lang w:val="en-US"/>
              </w:rPr>
            </w:pPr>
            <w:r w:rsidRPr="00156A6B">
              <w:rPr>
                <w:sz w:val="16"/>
                <w:lang w:val="en-US"/>
              </w:rPr>
              <w:t>1 - 10</w:t>
            </w:r>
          </w:p>
        </w:tc>
        <w:tc>
          <w:tcPr>
            <w:tcW w:w="2301" w:type="dxa"/>
            <w:vAlign w:val="center"/>
          </w:tcPr>
          <w:p w14:paraId="1DA56A5B" w14:textId="77777777" w:rsidR="00B63041" w:rsidRPr="00156A6B" w:rsidRDefault="00B63041" w:rsidP="00B82EA9">
            <w:pPr>
              <w:jc w:val="center"/>
              <w:cnfStyle w:val="000000000000" w:firstRow="0" w:lastRow="0" w:firstColumn="0" w:lastColumn="0" w:oddVBand="0" w:evenVBand="0" w:oddHBand="0" w:evenHBand="0" w:firstRowFirstColumn="0" w:firstRowLastColumn="0" w:lastRowFirstColumn="0" w:lastRowLastColumn="0"/>
              <w:rPr>
                <w:sz w:val="16"/>
                <w:lang w:val="en-US"/>
              </w:rPr>
            </w:pPr>
            <w:r w:rsidRPr="00156A6B">
              <w:rPr>
                <w:sz w:val="16"/>
                <w:lang w:val="en-US"/>
              </w:rPr>
              <w:t>m/s</w:t>
            </w:r>
          </w:p>
        </w:tc>
        <w:tc>
          <w:tcPr>
            <w:tcW w:w="2161" w:type="dxa"/>
          </w:tcPr>
          <w:p w14:paraId="6DEDE57F" w14:textId="77777777" w:rsidR="00B63041" w:rsidRPr="00156A6B" w:rsidRDefault="00B63041" w:rsidP="00B82EA9">
            <w:pPr>
              <w:jc w:val="center"/>
              <w:cnfStyle w:val="000000000000" w:firstRow="0" w:lastRow="0" w:firstColumn="0" w:lastColumn="0" w:oddVBand="0" w:evenVBand="0" w:oddHBand="0" w:evenHBand="0" w:firstRowFirstColumn="0" w:firstRowLastColumn="0" w:lastRowFirstColumn="0" w:lastRowLastColumn="0"/>
              <w:rPr>
                <w:sz w:val="16"/>
                <w:lang w:val="en-US"/>
              </w:rPr>
            </w:pPr>
            <w:r w:rsidRPr="00156A6B">
              <w:rPr>
                <w:sz w:val="16"/>
                <w:lang w:val="en-US"/>
              </w:rPr>
              <w:t>Cf Shear heating</w:t>
            </w:r>
          </w:p>
        </w:tc>
      </w:tr>
      <w:tr w:rsidR="00B63041" w:rsidRPr="00156A6B" w14:paraId="635FE35D" w14:textId="77777777" w:rsidTr="00B82EA9">
        <w:tc>
          <w:tcPr>
            <w:cnfStyle w:val="001000000000" w:firstRow="0" w:lastRow="0" w:firstColumn="1" w:lastColumn="0" w:oddVBand="0" w:evenVBand="0" w:oddHBand="0" w:evenHBand="0" w:firstRowFirstColumn="0" w:firstRowLastColumn="0" w:lastRowFirstColumn="0" w:lastRowLastColumn="0"/>
            <w:tcW w:w="2201" w:type="dxa"/>
            <w:vAlign w:val="center"/>
          </w:tcPr>
          <w:p w14:paraId="7F3D4499" w14:textId="77777777" w:rsidR="00B63041" w:rsidRPr="00156A6B" w:rsidRDefault="00B63041" w:rsidP="00B82EA9">
            <w:pPr>
              <w:jc w:val="center"/>
              <w:rPr>
                <w:b w:val="0"/>
                <w:sz w:val="16"/>
                <w:lang w:val="en-US"/>
              </w:rPr>
            </w:pPr>
            <w:r w:rsidRPr="00156A6B">
              <w:rPr>
                <w:b w:val="0"/>
                <w:sz w:val="16"/>
                <w:lang w:val="en-US"/>
              </w:rPr>
              <w:t>Diameter – Lc</w:t>
            </w:r>
          </w:p>
        </w:tc>
        <w:tc>
          <w:tcPr>
            <w:tcW w:w="1837" w:type="dxa"/>
            <w:vAlign w:val="center"/>
          </w:tcPr>
          <w:p w14:paraId="6C7D9139" w14:textId="77777777" w:rsidR="00B63041" w:rsidRPr="00156A6B" w:rsidRDefault="00B63041" w:rsidP="00B82EA9">
            <w:pPr>
              <w:jc w:val="center"/>
              <w:cnfStyle w:val="000000000000" w:firstRow="0" w:lastRow="0" w:firstColumn="0" w:lastColumn="0" w:oddVBand="0" w:evenVBand="0" w:oddHBand="0" w:evenHBand="0" w:firstRowFirstColumn="0" w:firstRowLastColumn="0" w:lastRowFirstColumn="0" w:lastRowLastColumn="0"/>
              <w:rPr>
                <w:sz w:val="16"/>
                <w:lang w:val="en-US"/>
              </w:rPr>
            </w:pPr>
            <w:r w:rsidRPr="00156A6B">
              <w:rPr>
                <w:sz w:val="16"/>
                <w:lang w:val="en-US"/>
              </w:rPr>
              <w:t>1.10</w:t>
            </w:r>
            <w:r w:rsidRPr="00156A6B">
              <w:rPr>
                <w:sz w:val="16"/>
                <w:vertAlign w:val="superscript"/>
                <w:lang w:val="en-US"/>
              </w:rPr>
              <w:t>-3</w:t>
            </w:r>
          </w:p>
        </w:tc>
        <w:tc>
          <w:tcPr>
            <w:tcW w:w="2301" w:type="dxa"/>
            <w:vAlign w:val="center"/>
          </w:tcPr>
          <w:p w14:paraId="28392A6D" w14:textId="77777777" w:rsidR="00B63041" w:rsidRPr="00156A6B" w:rsidRDefault="00B63041" w:rsidP="00B82EA9">
            <w:pPr>
              <w:jc w:val="center"/>
              <w:cnfStyle w:val="000000000000" w:firstRow="0" w:lastRow="0" w:firstColumn="0" w:lastColumn="0" w:oddVBand="0" w:evenVBand="0" w:oddHBand="0" w:evenHBand="0" w:firstRowFirstColumn="0" w:firstRowLastColumn="0" w:lastRowFirstColumn="0" w:lastRowLastColumn="0"/>
              <w:rPr>
                <w:sz w:val="16"/>
                <w:lang w:val="en-US"/>
              </w:rPr>
            </w:pPr>
            <w:r w:rsidRPr="00156A6B">
              <w:rPr>
                <w:sz w:val="16"/>
                <w:lang w:val="en-US"/>
              </w:rPr>
              <w:t>m</w:t>
            </w:r>
          </w:p>
        </w:tc>
        <w:tc>
          <w:tcPr>
            <w:tcW w:w="2161" w:type="dxa"/>
          </w:tcPr>
          <w:p w14:paraId="341D4EAC" w14:textId="77777777" w:rsidR="00B63041" w:rsidRPr="00156A6B" w:rsidRDefault="00B63041" w:rsidP="00B82EA9">
            <w:pPr>
              <w:jc w:val="center"/>
              <w:cnfStyle w:val="000000000000" w:firstRow="0" w:lastRow="0" w:firstColumn="0" w:lastColumn="0" w:oddVBand="0" w:evenVBand="0" w:oddHBand="0" w:evenHBand="0" w:firstRowFirstColumn="0" w:firstRowLastColumn="0" w:lastRowFirstColumn="0" w:lastRowLastColumn="0"/>
              <w:rPr>
                <w:sz w:val="16"/>
                <w:lang w:val="en-US"/>
              </w:rPr>
            </w:pPr>
            <w:r w:rsidRPr="00156A6B">
              <w:rPr>
                <w:sz w:val="16"/>
                <w:lang w:val="en-US"/>
              </w:rPr>
              <w:t>-</w:t>
            </w:r>
          </w:p>
        </w:tc>
      </w:tr>
      <w:tr w:rsidR="00B63041" w:rsidRPr="00156A6B" w14:paraId="4871D484" w14:textId="77777777" w:rsidTr="00B82EA9">
        <w:tc>
          <w:tcPr>
            <w:cnfStyle w:val="001000000000" w:firstRow="0" w:lastRow="0" w:firstColumn="1" w:lastColumn="0" w:oddVBand="0" w:evenVBand="0" w:oddHBand="0" w:evenHBand="0" w:firstRowFirstColumn="0" w:firstRowLastColumn="0" w:lastRowFirstColumn="0" w:lastRowLastColumn="0"/>
            <w:tcW w:w="2201" w:type="dxa"/>
            <w:vAlign w:val="center"/>
          </w:tcPr>
          <w:p w14:paraId="70A2608A" w14:textId="77777777" w:rsidR="00B63041" w:rsidRPr="00156A6B" w:rsidRDefault="00B63041" w:rsidP="00B82EA9">
            <w:pPr>
              <w:jc w:val="center"/>
              <w:rPr>
                <w:b w:val="0"/>
                <w:sz w:val="16"/>
                <w:lang w:val="en-US"/>
              </w:rPr>
            </w:pPr>
            <w:r w:rsidRPr="00156A6B">
              <w:rPr>
                <w:b w:val="0"/>
                <w:sz w:val="16"/>
                <w:lang w:val="en-US"/>
              </w:rPr>
              <w:t>Viscosity – µ</w:t>
            </w:r>
          </w:p>
        </w:tc>
        <w:tc>
          <w:tcPr>
            <w:tcW w:w="1837" w:type="dxa"/>
            <w:vAlign w:val="center"/>
          </w:tcPr>
          <w:p w14:paraId="205E94B5" w14:textId="77777777" w:rsidR="00B63041" w:rsidRPr="00156A6B" w:rsidRDefault="00B63041" w:rsidP="00B82EA9">
            <w:pPr>
              <w:jc w:val="center"/>
              <w:cnfStyle w:val="000000000000" w:firstRow="0" w:lastRow="0" w:firstColumn="0" w:lastColumn="0" w:oddVBand="0" w:evenVBand="0" w:oddHBand="0" w:evenHBand="0" w:firstRowFirstColumn="0" w:firstRowLastColumn="0" w:lastRowFirstColumn="0" w:lastRowLastColumn="0"/>
              <w:rPr>
                <w:sz w:val="16"/>
                <w:lang w:val="en-US"/>
              </w:rPr>
            </w:pPr>
            <w:r w:rsidRPr="00156A6B">
              <w:rPr>
                <w:sz w:val="16"/>
                <w:lang w:val="en-US"/>
              </w:rPr>
              <w:t>5 – 300</w:t>
            </w:r>
          </w:p>
        </w:tc>
        <w:tc>
          <w:tcPr>
            <w:tcW w:w="2301" w:type="dxa"/>
            <w:vAlign w:val="center"/>
          </w:tcPr>
          <w:p w14:paraId="677B9FEB" w14:textId="77777777" w:rsidR="00B63041" w:rsidRPr="00156A6B" w:rsidRDefault="00B63041" w:rsidP="00B82EA9">
            <w:pPr>
              <w:jc w:val="center"/>
              <w:cnfStyle w:val="000000000000" w:firstRow="0" w:lastRow="0" w:firstColumn="0" w:lastColumn="0" w:oddVBand="0" w:evenVBand="0" w:oddHBand="0" w:evenHBand="0" w:firstRowFirstColumn="0" w:firstRowLastColumn="0" w:lastRowFirstColumn="0" w:lastRowLastColumn="0"/>
              <w:rPr>
                <w:sz w:val="16"/>
                <w:lang w:val="en-US"/>
              </w:rPr>
            </w:pPr>
            <w:r w:rsidRPr="00156A6B">
              <w:rPr>
                <w:sz w:val="16"/>
                <w:lang w:val="en-US"/>
              </w:rPr>
              <w:t>Pa.s</w:t>
            </w:r>
          </w:p>
        </w:tc>
        <w:tc>
          <w:tcPr>
            <w:tcW w:w="2161" w:type="dxa"/>
          </w:tcPr>
          <w:p w14:paraId="0CB2F51B" w14:textId="1471252B" w:rsidR="00B63041" w:rsidRPr="00156A6B" w:rsidRDefault="00B63041" w:rsidP="008D4FED">
            <w:pPr>
              <w:jc w:val="center"/>
              <w:cnfStyle w:val="000000000000" w:firstRow="0" w:lastRow="0" w:firstColumn="0" w:lastColumn="0" w:oddVBand="0" w:evenVBand="0" w:oddHBand="0" w:evenHBand="0" w:firstRowFirstColumn="0" w:firstRowLastColumn="0" w:lastRowFirstColumn="0" w:lastRowLastColumn="0"/>
              <w:rPr>
                <w:sz w:val="16"/>
                <w:lang w:val="en-US"/>
              </w:rPr>
            </w:pPr>
            <w:r w:rsidRPr="00156A6B">
              <w:rPr>
                <w:sz w:val="16"/>
                <w:lang w:val="en-US"/>
              </w:rPr>
              <w:t>Ujiie et al., 2007</w:t>
            </w:r>
            <w:r w:rsidRPr="00156A6B">
              <w:rPr>
                <w:sz w:val="16"/>
                <w:lang w:val="en-US"/>
              </w:rPr>
              <w:fldChar w:fldCharType="begin"/>
            </w:r>
            <w:r w:rsidR="008D4FED">
              <w:rPr>
                <w:sz w:val="16"/>
                <w:lang w:val="en-US"/>
              </w:rPr>
              <w:instrText xml:space="preserve"> ADDIN ZOTERO_ITEM CSL_CITATION {"citationID":"KMszpGUa","properties":{"formattedCitation":"\\super 9\\nosupersub{}","plainCitation":"9","noteIndex":0},"citationItems":[{"id":315,"uris":["http://zotero.org/users/5712877/items/QRAJHXDG"],"uri":["http://zotero.org/users/5712877/items/QRAJHXDG"],"itemData":{"id":315,"type":"article-journal","title":"Pseudotachylytes in an ancient accretionary complex and implications for melt lubrication during subduction zone earthquakes","container-title":"Journal of Structural Geology","page":"599-613","volume":"29","issue":"4","source":"Crossref","abstract":"Pseudotachylyte-bearing fault zones, found in the Shimanto accretionary complex, southwest Japan, developed during subduction or underplating at seismogenic depths. The pseudotachylytes occur in narrow dark veins less than a few millimeters thick that are sharply bounded by foliated cataclasites that originated from a me´lange. The microstructures of pseudotachylytes are represented by a fragment-laden, glasssupported texture resulting from the rapid cooling of the frictional melt. Transmission electron microscopy reveals the presence of glass in which euhedral microcrystals of mullite are locally developed. The compositions of the pseudotachylyte matrix and the characteristics of the unmelted grains and microlites in the matrix suggest that frictional melting occurred in an illite-rich slip zone with a minimum melting temperature of 1100 \u0014C. The viscosities of the frictional melt were calculated from the pseudotachylyte matrix composition as well as from the volume fraction and aspect ratio of the unmelted grains. The viscosities at 1100 \u0014C range from 85 to 290 Pa s, and the corresponding shear resistance along a 1-mm-thick melt layer at a slip rate of 1 m/s was 0.1e0.3 MPa. The formation of a melt layer in an illite-rich slip zone can possibly induce large stress drops, increase the slip rate and enhance rupture propagation, which together could affect the earthquake magnitude in a subduction zone. Ó 2006 Elsevier Ltd. All rights reserved.","DOI":"10.1016/j.jsg.2006.10.012","ISSN":"01918141","language":"en","author":[{"family":"Ujiie","given":"Kohtaro"},{"family":"Yamaguchi","given":"Haruka"},{"family":"Sakaguchi","given":"Arito"},{"family":"Toh","given":"Shoichi"}],"issued":{"date-parts":[["2007",4]]}}}],"schema":"https://github.com/citation-style-language/schema/raw/master/csl-citation.json"} </w:instrText>
            </w:r>
            <w:r w:rsidRPr="00156A6B">
              <w:rPr>
                <w:sz w:val="16"/>
                <w:lang w:val="en-US"/>
              </w:rPr>
              <w:fldChar w:fldCharType="separate"/>
            </w:r>
            <w:r w:rsidR="008D4FED" w:rsidRPr="008D4FED">
              <w:rPr>
                <w:rFonts w:cs="Times New Roman"/>
                <w:sz w:val="16"/>
                <w:szCs w:val="24"/>
                <w:vertAlign w:val="superscript"/>
              </w:rPr>
              <w:t>9</w:t>
            </w:r>
            <w:r w:rsidRPr="00156A6B">
              <w:rPr>
                <w:sz w:val="16"/>
                <w:lang w:val="en-US"/>
              </w:rPr>
              <w:fldChar w:fldCharType="end"/>
            </w:r>
          </w:p>
        </w:tc>
      </w:tr>
    </w:tbl>
    <w:p w14:paraId="51F29F46" w14:textId="77777777" w:rsidR="00B63041" w:rsidRDefault="00B63041" w:rsidP="00B63041">
      <w:pPr>
        <w:rPr>
          <w:lang w:val="en-US"/>
        </w:rPr>
      </w:pPr>
    </w:p>
    <w:p w14:paraId="63D519AB" w14:textId="2F641E4F" w:rsidR="00B63041" w:rsidRPr="00047713" w:rsidRDefault="00B63041" w:rsidP="00B63041">
      <w:pPr>
        <w:rPr>
          <w:rFonts w:eastAsiaTheme="minorEastAsia"/>
          <w:lang w:val="en-US"/>
        </w:rPr>
      </w:pPr>
      <w:r>
        <w:rPr>
          <w:lang w:val="en-US"/>
        </w:rPr>
        <w:t>Thanks to these values (see Table above), this equation allows calculating a Reynolds number between 5.3 and 8.9e10</w:t>
      </w:r>
      <w:r w:rsidRPr="00862F92">
        <w:rPr>
          <w:vertAlign w:val="superscript"/>
          <w:lang w:val="en-US"/>
        </w:rPr>
        <w:t>-3</w:t>
      </w:r>
      <w:r>
        <w:rPr>
          <w:lang w:val="en-US"/>
        </w:rPr>
        <w:t>. As the Reynolds number is lower than 2000, it means that the melt behavior was laminar, so that there were no mixing of the grains during the deformation and the problem can be appropriately described by a 1D approach.</w:t>
      </w:r>
      <w:r w:rsidR="00A56A60">
        <w:rPr>
          <w:lang w:val="en-US"/>
        </w:rPr>
        <w:t xml:space="preserve"> Such a laminar flow is further supported by the internal layering of the BFR, parallel to the planar boundaries of the BFR.</w:t>
      </w:r>
    </w:p>
    <w:p w14:paraId="01469BC7" w14:textId="77777777" w:rsidR="00B63041" w:rsidRPr="008D1BBE" w:rsidRDefault="00B63041" w:rsidP="00B63041">
      <w:pPr>
        <w:ind w:firstLine="708"/>
        <w:rPr>
          <w:lang w:val="en-US"/>
        </w:rPr>
      </w:pPr>
      <w:r>
        <w:rPr>
          <w:lang w:val="en-US"/>
        </w:rPr>
        <w:t>3.1 Thermal model</w:t>
      </w:r>
    </w:p>
    <w:p w14:paraId="0CD2CEEE" w14:textId="77777777" w:rsidR="00B63041" w:rsidRDefault="00B63041" w:rsidP="00B63041">
      <w:pPr>
        <w:rPr>
          <w:lang w:val="en-US"/>
        </w:rPr>
      </w:pPr>
      <w:r>
        <w:rPr>
          <w:lang w:val="en-US"/>
        </w:rPr>
        <w:t>We</w:t>
      </w:r>
      <w:r w:rsidRPr="00C76A17">
        <w:rPr>
          <w:lang w:val="en-US"/>
        </w:rPr>
        <w:t xml:space="preserve"> </w:t>
      </w:r>
      <w:r>
        <w:rPr>
          <w:lang w:val="en-US"/>
        </w:rPr>
        <w:t xml:space="preserve">describe the temperature field in a molten layer and its host rock using 1D numerical modelling of heat diffusion, including a source of heat production related to the work dissipated during rapid slip: </w:t>
      </w:r>
    </w:p>
    <w:p w14:paraId="0E592555" w14:textId="683C0737" w:rsidR="00B63041" w:rsidRPr="00F61AF1" w:rsidRDefault="00D46348" w:rsidP="00B63041">
      <w:pPr>
        <w:rPr>
          <w:rFonts w:eastAsiaTheme="minorEastAsia"/>
          <w:lang w:val="en-US"/>
        </w:rPr>
      </w:pPr>
      <m:oMathPara>
        <m:oMath>
          <m:eqArr>
            <m:eqArrPr>
              <m:maxDist m:val="1"/>
              <m:ctrlPr>
                <w:rPr>
                  <w:rFonts w:ascii="Cambria Math" w:hAnsi="Cambria Math"/>
                  <w:i/>
                </w:rPr>
              </m:ctrlPr>
            </m:eqArrPr>
            <m:e>
              <m:f>
                <m:fPr>
                  <m:ctrlPr>
                    <w:rPr>
                      <w:rFonts w:ascii="Cambria Math" w:hAnsi="Cambria Math"/>
                      <w:i/>
                      <w:lang w:val="en-US"/>
                    </w:rPr>
                  </m:ctrlPr>
                </m:fPr>
                <m:num>
                  <m:r>
                    <w:rPr>
                      <w:rFonts w:ascii="Cambria Math" w:hAnsi="Cambria Math"/>
                      <w:lang w:val="en-US"/>
                    </w:rPr>
                    <m:t>∂T</m:t>
                  </m:r>
                </m:num>
                <m:den>
                  <m:r>
                    <w:rPr>
                      <w:rFonts w:ascii="Cambria Math" w:hAnsi="Cambria Math"/>
                      <w:lang w:val="en-US"/>
                    </w:rPr>
                    <m:t>∂t</m:t>
                  </m:r>
                </m:den>
              </m:f>
              <m:r>
                <w:rPr>
                  <w:rFonts w:ascii="Cambria Math" w:hAnsi="Cambria Math"/>
                  <w:lang w:val="en-US"/>
                </w:rPr>
                <m:t xml:space="preserve">= </m:t>
              </m:r>
              <w:hyperlink r:id="rId16" w:tooltip="κ" w:history="1">
                <m:r>
                  <m:rPr>
                    <m:sty m:val="p"/>
                  </m:rPr>
                  <w:rPr>
                    <w:rStyle w:val="Lienhypertexte"/>
                    <w:rFonts w:ascii="Cambria Math" w:hAnsi="Cambria Math"/>
                    <w:color w:val="auto"/>
                  </w:rPr>
                  <m:t>κ</m:t>
                </m:r>
              </w:hyperlink>
              <m:r>
                <m:rPr>
                  <m:sty m:val="p"/>
                </m:rPr>
                <w:rPr>
                  <w:rFonts w:ascii="Cambria Math" w:hAnsi="Cambria Math"/>
                </w:rPr>
                <m:t xml:space="preserve"> . </m:t>
              </m:r>
              <m:f>
                <m:fPr>
                  <m:ctrlPr>
                    <w:rPr>
                      <w:rFonts w:ascii="Cambria Math" w:hAnsi="Cambria Math"/>
                    </w:rPr>
                  </m:ctrlPr>
                </m:fPr>
                <m:num>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T</m:t>
                  </m:r>
                </m:num>
                <m:den>
                  <m:r>
                    <w:rPr>
                      <w:rFonts w:ascii="Cambria Math" w:hAnsi="Cambria Math"/>
                    </w:rPr>
                    <m:t>∂</m:t>
                  </m:r>
                  <m:sSup>
                    <m:sSupPr>
                      <m:ctrlPr>
                        <w:rPr>
                          <w:rFonts w:ascii="Cambria Math" w:hAnsi="Cambria Math"/>
                          <w:i/>
                        </w:rPr>
                      </m:ctrlPr>
                    </m:sSupPr>
                    <m:e>
                      <m:r>
                        <w:rPr>
                          <w:rFonts w:ascii="Cambria Math" w:hAnsi="Cambria Math"/>
                        </w:rPr>
                        <m:t>z</m:t>
                      </m:r>
                    </m:e>
                    <m:sup>
                      <m:r>
                        <w:rPr>
                          <w:rFonts w:ascii="Cambria Math" w:hAnsi="Cambria Math"/>
                        </w:rPr>
                        <m:t>2</m:t>
                      </m:r>
                    </m:sup>
                  </m:sSup>
                </m:den>
              </m:f>
              <m:r>
                <w:rPr>
                  <w:rFonts w:ascii="Cambria Math" w:hAnsi="Cambria Math"/>
                </w:rPr>
                <m:t>+</m:t>
              </m:r>
              <m:f>
                <m:fPr>
                  <m:ctrlPr>
                    <w:rPr>
                      <w:rFonts w:ascii="Cambria Math" w:hAnsi="Cambria Math"/>
                      <w:i/>
                    </w:rPr>
                  </m:ctrlPr>
                </m:fPr>
                <m:num>
                  <m:r>
                    <w:rPr>
                      <w:rFonts w:ascii="Cambria Math" w:hAnsi="Cambria Math"/>
                    </w:rPr>
                    <m:t>S</m:t>
                  </m:r>
                </m:num>
                <m:den>
                  <m:r>
                    <w:rPr>
                      <w:rFonts w:ascii="Cambria Math" w:hAnsi="Cambria Math"/>
                    </w:rPr>
                    <m:t>ρ . Cp</m:t>
                  </m:r>
                </m:den>
              </m:f>
              <m:r>
                <w:rPr>
                  <w:rFonts w:ascii="Cambria Math" w:hAnsi="Cambria Math"/>
                </w:rPr>
                <m:t xml:space="preserve">    where </m:t>
              </m:r>
              <w:hyperlink r:id="rId17" w:tooltip="κ" w:history="1">
                <m:r>
                  <m:rPr>
                    <m:sty m:val="p"/>
                  </m:rPr>
                  <w:rPr>
                    <w:rStyle w:val="Lienhypertexte"/>
                    <w:rFonts w:ascii="Cambria Math" w:hAnsi="Cambria Math"/>
                    <w:color w:val="auto"/>
                  </w:rPr>
                  <m:t>κ</m:t>
                </m:r>
              </w:hyperlink>
              <m:r>
                <m:rPr>
                  <m:sty m:val="p"/>
                </m:rPr>
                <w:rPr>
                  <w:rFonts w:ascii="Cambria Math" w:hAnsi="Cambria Math"/>
                </w:rPr>
                <m:t xml:space="preserve">= </m:t>
              </m:r>
              <m:f>
                <m:fPr>
                  <m:ctrlPr>
                    <w:rPr>
                      <w:rFonts w:ascii="Cambria Math" w:hAnsi="Cambria Math"/>
                    </w:rPr>
                  </m:ctrlPr>
                </m:fPr>
                <m:num>
                  <m:r>
                    <w:rPr>
                      <w:rFonts w:ascii="Cambria Math" w:hAnsi="Cambria Math"/>
                    </w:rPr>
                    <m:t>k</m:t>
                  </m:r>
                </m:num>
                <m:den>
                  <m:r>
                    <w:rPr>
                      <w:rFonts w:ascii="Cambria Math" w:hAnsi="Cambria Math"/>
                    </w:rPr>
                    <m:t>ρ . Cp</m:t>
                  </m:r>
                </m:den>
              </m:f>
              <m:r>
                <w:rPr>
                  <w:rFonts w:ascii="Cambria Math" w:hAnsi="Cambria Math"/>
                </w:rPr>
                <m:t xml:space="preserve"> </m:t>
              </m:r>
              <m:r>
                <w:rPr>
                  <w:rFonts w:ascii="Cambria Math" w:hAnsi="Cambria Math"/>
                  <w:lang w:val="en-US"/>
                </w:rPr>
                <m:t>#</m:t>
              </m:r>
              <m:d>
                <m:dPr>
                  <m:ctrlPr>
                    <w:rPr>
                      <w:rFonts w:ascii="Cambria Math" w:hAnsi="Cambria Math"/>
                      <w:i/>
                    </w:rPr>
                  </m:ctrlPr>
                </m:dPr>
                <m:e>
                  <m:r>
                    <w:rPr>
                      <w:rFonts w:ascii="Cambria Math" w:hAnsi="Cambria Math"/>
                    </w:rPr>
                    <m:t>7</m:t>
                  </m:r>
                </m:e>
              </m:d>
              <m:ctrlPr>
                <w:rPr>
                  <w:rFonts w:ascii="Cambria Math" w:hAnsi="Cambria Math"/>
                  <w:i/>
                  <w:lang w:val="en-US"/>
                </w:rPr>
              </m:ctrlPr>
            </m:e>
          </m:eqArr>
        </m:oMath>
      </m:oMathPara>
    </w:p>
    <w:p w14:paraId="0CF9D495" w14:textId="77777777" w:rsidR="00B63041" w:rsidRDefault="00B63041" w:rsidP="00B63041">
      <w:pPr>
        <w:rPr>
          <w:lang w:val="en-US"/>
        </w:rPr>
      </w:pPr>
      <w:r>
        <w:rPr>
          <w:lang w:val="en-US"/>
        </w:rPr>
        <w:lastRenderedPageBreak/>
        <w:t xml:space="preserve">Where T is the temperature, t is the time, k is thermal conductivity, </w:t>
      </w:r>
      <w:r>
        <w:rPr>
          <w:rFonts w:cs="Times New Roman"/>
          <w:lang w:val="en-US"/>
        </w:rPr>
        <w:t>ρ</w:t>
      </w:r>
      <w:r>
        <w:rPr>
          <w:lang w:val="en-US"/>
        </w:rPr>
        <w:t xml:space="preserve"> is the density, Cp the heat capacity and S the heat production. All physical properties are considered as homogeneous throughout the profile. All the values used for this modelling are available on the table below. </w:t>
      </w:r>
    </w:p>
    <w:p w14:paraId="675D17C7" w14:textId="287211B3" w:rsidR="00B63041" w:rsidRDefault="00B63041" w:rsidP="00B63041">
      <w:pPr>
        <w:rPr>
          <w:lang w:val="en-US"/>
        </w:rPr>
      </w:pPr>
      <w:r>
        <w:rPr>
          <w:lang w:val="en-US"/>
        </w:rPr>
        <w:t xml:space="preserve">Note that our thermal diffusion modelling without heat production was checked using the </w:t>
      </w:r>
      <w:r w:rsidRPr="006300A5">
        <w:rPr>
          <w:lang w:val="en-US"/>
        </w:rPr>
        <w:t>analytical solution provided in Carslaw and Jaeger (1959)</w:t>
      </w:r>
      <w:r w:rsidRPr="006300A5">
        <w:rPr>
          <w:lang w:val="en-US"/>
        </w:rPr>
        <w:fldChar w:fldCharType="begin"/>
      </w:r>
      <w:r w:rsidR="00DD6B14">
        <w:rPr>
          <w:lang w:val="en-US"/>
        </w:rPr>
        <w:instrText xml:space="preserve"> ADDIN ZOTERO_ITEM CSL_CITATION {"citationID":"Cv5ftpt8","properties":{"formattedCitation":"\\super 29\\nosupersub{}","plainCitation":"29","noteIndex":0},"citationItems":[{"id":409,"uris":["http://zotero.org/users/5712877/items/J6SKL6J8"],"uri":["http://zotero.org/users/5712877/items/J6SKL6J8"],"itemData":{"id":409,"type":"book","title":"Conduction of Heat in Solids","publisher":"Oxford University Press","edition":"2nd edition","author":[{"family":"Carslaw","given":"H.S."},{"family":"Jaeger","given":"J.C."}],"issued":{"date-parts":[["1959"]]}}}],"schema":"https://github.com/citation-style-language/schema/raw/master/csl-citation.json"} </w:instrText>
      </w:r>
      <w:r w:rsidRPr="006300A5">
        <w:rPr>
          <w:lang w:val="en-US"/>
        </w:rPr>
        <w:fldChar w:fldCharType="separate"/>
      </w:r>
      <w:r w:rsidR="00DD6B14" w:rsidRPr="00DD6B14">
        <w:rPr>
          <w:rFonts w:cs="Times New Roman"/>
          <w:szCs w:val="24"/>
          <w:vertAlign w:val="superscript"/>
          <w:lang w:val="en-US"/>
        </w:rPr>
        <w:t>29</w:t>
      </w:r>
      <w:r w:rsidRPr="006300A5">
        <w:rPr>
          <w:lang w:val="en-US"/>
        </w:rPr>
        <w:fldChar w:fldCharType="end"/>
      </w:r>
      <w:r w:rsidRPr="006300A5">
        <w:rPr>
          <w:lang w:val="en-US"/>
        </w:rPr>
        <w:t>.</w:t>
      </w:r>
    </w:p>
    <w:p w14:paraId="796625F6" w14:textId="77777777" w:rsidR="00B63041" w:rsidRDefault="00B63041" w:rsidP="00B63041">
      <w:pPr>
        <w:rPr>
          <w:lang w:val="en-US"/>
        </w:rPr>
      </w:pPr>
      <w:r>
        <w:rPr>
          <w:lang w:val="en-US"/>
        </w:rPr>
        <w:t>In this modelling, we always model the same time interval and spatial domain. It corresponds to a 10cm-thick domain of shale with an initial temperature of 200°C crossed by a 1mm-thick molten layer. The spatial resolutions is 1.10</w:t>
      </w:r>
      <w:r w:rsidRPr="003851E8">
        <w:rPr>
          <w:vertAlign w:val="superscript"/>
          <w:lang w:val="en-US"/>
        </w:rPr>
        <w:t>-4</w:t>
      </w:r>
      <w:r>
        <w:rPr>
          <w:vertAlign w:val="superscript"/>
          <w:lang w:val="en-US"/>
        </w:rPr>
        <w:t xml:space="preserve"> </w:t>
      </w:r>
      <w:r>
        <w:rPr>
          <w:lang w:val="en-US"/>
        </w:rPr>
        <w:t>meter along the modelling but we increase the resolution near the contact between the molten layer and the host rock at 3.10</w:t>
      </w:r>
      <w:r w:rsidRPr="003851E8">
        <w:rPr>
          <w:vertAlign w:val="superscript"/>
          <w:lang w:val="en-US"/>
        </w:rPr>
        <w:t>-5</w:t>
      </w:r>
      <w:r>
        <w:rPr>
          <w:vertAlign w:val="superscript"/>
          <w:lang w:val="en-US"/>
        </w:rPr>
        <w:t xml:space="preserve"> </w:t>
      </w:r>
      <w:r>
        <w:rPr>
          <w:lang w:val="en-US"/>
        </w:rPr>
        <w:t>meter. The temporal resolution has been set at 1.10</w:t>
      </w:r>
      <w:r w:rsidRPr="00A34A77">
        <w:rPr>
          <w:vertAlign w:val="superscript"/>
          <w:lang w:val="en-US"/>
        </w:rPr>
        <w:t>-4</w:t>
      </w:r>
      <w:r>
        <w:rPr>
          <w:lang w:val="en-US"/>
        </w:rPr>
        <w:t xml:space="preserve"> second. </w:t>
      </w:r>
    </w:p>
    <w:p w14:paraId="5575CD16" w14:textId="4637F736" w:rsidR="000C6699" w:rsidRPr="00FC53FE" w:rsidRDefault="000C6699" w:rsidP="00FC53FE">
      <w:pPr>
        <w:pStyle w:val="Lgende"/>
        <w:keepNext/>
        <w:jc w:val="center"/>
        <w:rPr>
          <w:rFonts w:ascii="Arial" w:hAnsi="Arial" w:cs="Arial"/>
          <w:sz w:val="14"/>
          <w:lang w:val="en-US"/>
        </w:rPr>
      </w:pPr>
      <w:r w:rsidRPr="00FC53FE">
        <w:rPr>
          <w:rFonts w:ascii="Arial" w:hAnsi="Arial" w:cs="Arial"/>
          <w:b/>
          <w:sz w:val="14"/>
          <w:lang w:val="en-US"/>
        </w:rPr>
        <w:t xml:space="preserve">Note table </w:t>
      </w:r>
      <w:r w:rsidRPr="00FC53FE">
        <w:rPr>
          <w:rFonts w:ascii="Arial" w:hAnsi="Arial" w:cs="Arial"/>
          <w:b/>
          <w:sz w:val="14"/>
        </w:rPr>
        <w:fldChar w:fldCharType="begin"/>
      </w:r>
      <w:r w:rsidRPr="00FC53FE">
        <w:rPr>
          <w:rFonts w:ascii="Arial" w:hAnsi="Arial" w:cs="Arial"/>
          <w:b/>
          <w:sz w:val="14"/>
          <w:lang w:val="en-US"/>
        </w:rPr>
        <w:instrText xml:space="preserve"> SEQ Table \* ARABIC </w:instrText>
      </w:r>
      <w:r w:rsidRPr="00FC53FE">
        <w:rPr>
          <w:rFonts w:ascii="Arial" w:hAnsi="Arial" w:cs="Arial"/>
          <w:b/>
          <w:sz w:val="14"/>
        </w:rPr>
        <w:fldChar w:fldCharType="separate"/>
      </w:r>
      <w:r w:rsidRPr="00FC53FE">
        <w:rPr>
          <w:rFonts w:ascii="Arial" w:hAnsi="Arial" w:cs="Arial"/>
          <w:b/>
          <w:noProof/>
          <w:sz w:val="14"/>
          <w:lang w:val="en-US"/>
        </w:rPr>
        <w:t>4</w:t>
      </w:r>
      <w:r w:rsidRPr="00FC53FE">
        <w:rPr>
          <w:rFonts w:ascii="Arial" w:hAnsi="Arial" w:cs="Arial"/>
          <w:b/>
          <w:sz w:val="14"/>
        </w:rPr>
        <w:fldChar w:fldCharType="end"/>
      </w:r>
      <w:r w:rsidR="00FC53FE">
        <w:rPr>
          <w:rFonts w:ascii="Arial" w:hAnsi="Arial" w:cs="Arial"/>
          <w:sz w:val="14"/>
          <w:lang w:val="en-US"/>
        </w:rPr>
        <w:t xml:space="preserve"> </w:t>
      </w:r>
      <w:r w:rsidR="00FC53FE" w:rsidRPr="007E184F">
        <w:rPr>
          <w:rFonts w:ascii="Arial" w:hAnsi="Arial" w:cs="Arial"/>
          <w:b/>
          <w:bCs/>
          <w:sz w:val="14"/>
          <w:szCs w:val="14"/>
          <w:lang w:val="en-GB"/>
        </w:rPr>
        <w:t>|</w:t>
      </w:r>
      <w:r w:rsidRPr="00FC53FE">
        <w:rPr>
          <w:rFonts w:ascii="Arial" w:hAnsi="Arial" w:cs="Arial"/>
          <w:sz w:val="14"/>
          <w:lang w:val="en-US"/>
        </w:rPr>
        <w:t xml:space="preserve"> Constants used for the heat diffusion modelling</w:t>
      </w:r>
    </w:p>
    <w:tbl>
      <w:tblPr>
        <w:tblStyle w:val="TableauGrille1Clair"/>
        <w:tblW w:w="0" w:type="auto"/>
        <w:jc w:val="center"/>
        <w:tblLook w:val="04A0" w:firstRow="1" w:lastRow="0" w:firstColumn="1" w:lastColumn="0" w:noHBand="0" w:noVBand="1"/>
      </w:tblPr>
      <w:tblGrid>
        <w:gridCol w:w="2689"/>
        <w:gridCol w:w="1098"/>
        <w:gridCol w:w="1586"/>
        <w:gridCol w:w="2702"/>
      </w:tblGrid>
      <w:tr w:rsidR="00B63041" w:rsidRPr="00156A6B" w14:paraId="0CDA7F2B" w14:textId="77777777" w:rsidTr="00B82EA9">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689" w:type="dxa"/>
            <w:vAlign w:val="bottom"/>
          </w:tcPr>
          <w:p w14:paraId="5ECB4FD7" w14:textId="77777777" w:rsidR="00B63041" w:rsidRPr="00156A6B" w:rsidRDefault="00B63041" w:rsidP="00B82EA9">
            <w:pPr>
              <w:jc w:val="center"/>
              <w:rPr>
                <w:sz w:val="16"/>
                <w:lang w:val="en-US"/>
              </w:rPr>
            </w:pPr>
            <w:r w:rsidRPr="00156A6B">
              <w:rPr>
                <w:sz w:val="16"/>
                <w:lang w:val="en-US"/>
              </w:rPr>
              <w:t>Constant</w:t>
            </w:r>
          </w:p>
        </w:tc>
        <w:tc>
          <w:tcPr>
            <w:tcW w:w="1098" w:type="dxa"/>
            <w:vAlign w:val="bottom"/>
          </w:tcPr>
          <w:p w14:paraId="38C2E683" w14:textId="77777777" w:rsidR="00B63041" w:rsidRPr="00156A6B" w:rsidRDefault="00B63041" w:rsidP="00B82EA9">
            <w:pPr>
              <w:jc w:val="center"/>
              <w:cnfStyle w:val="100000000000" w:firstRow="1" w:lastRow="0" w:firstColumn="0" w:lastColumn="0" w:oddVBand="0" w:evenVBand="0" w:oddHBand="0" w:evenHBand="0" w:firstRowFirstColumn="0" w:firstRowLastColumn="0" w:lastRowFirstColumn="0" w:lastRowLastColumn="0"/>
              <w:rPr>
                <w:sz w:val="16"/>
                <w:lang w:val="en-US"/>
              </w:rPr>
            </w:pPr>
            <w:r w:rsidRPr="00156A6B">
              <w:rPr>
                <w:sz w:val="16"/>
                <w:lang w:val="en-US"/>
              </w:rPr>
              <w:t>Value</w:t>
            </w:r>
          </w:p>
        </w:tc>
        <w:tc>
          <w:tcPr>
            <w:tcW w:w="1586" w:type="dxa"/>
            <w:vAlign w:val="bottom"/>
          </w:tcPr>
          <w:p w14:paraId="28120FA6" w14:textId="77777777" w:rsidR="00B63041" w:rsidRPr="00156A6B" w:rsidRDefault="00B63041" w:rsidP="00B82EA9">
            <w:pPr>
              <w:jc w:val="center"/>
              <w:cnfStyle w:val="100000000000" w:firstRow="1" w:lastRow="0" w:firstColumn="0" w:lastColumn="0" w:oddVBand="0" w:evenVBand="0" w:oddHBand="0" w:evenHBand="0" w:firstRowFirstColumn="0" w:firstRowLastColumn="0" w:lastRowFirstColumn="0" w:lastRowLastColumn="0"/>
              <w:rPr>
                <w:sz w:val="16"/>
                <w:lang w:val="en-US"/>
              </w:rPr>
            </w:pPr>
            <w:r w:rsidRPr="00156A6B">
              <w:rPr>
                <w:sz w:val="16"/>
                <w:lang w:val="en-US"/>
              </w:rPr>
              <w:t>Unit</w:t>
            </w:r>
          </w:p>
        </w:tc>
        <w:tc>
          <w:tcPr>
            <w:tcW w:w="2702" w:type="dxa"/>
            <w:vAlign w:val="bottom"/>
          </w:tcPr>
          <w:p w14:paraId="57EF27E6" w14:textId="77777777" w:rsidR="00B63041" w:rsidRPr="00156A6B" w:rsidRDefault="00B63041" w:rsidP="00B82EA9">
            <w:pPr>
              <w:jc w:val="center"/>
              <w:cnfStyle w:val="100000000000" w:firstRow="1" w:lastRow="0" w:firstColumn="0" w:lastColumn="0" w:oddVBand="0" w:evenVBand="0" w:oddHBand="0" w:evenHBand="0" w:firstRowFirstColumn="0" w:firstRowLastColumn="0" w:lastRowFirstColumn="0" w:lastRowLastColumn="0"/>
              <w:rPr>
                <w:sz w:val="16"/>
                <w:lang w:val="en-US"/>
              </w:rPr>
            </w:pPr>
            <w:r w:rsidRPr="00156A6B">
              <w:rPr>
                <w:sz w:val="16"/>
                <w:lang w:val="en-US"/>
              </w:rPr>
              <w:t>References</w:t>
            </w:r>
          </w:p>
        </w:tc>
      </w:tr>
      <w:tr w:rsidR="00B63041" w:rsidRPr="00156A6B" w14:paraId="5F6BD5EA" w14:textId="77777777" w:rsidTr="00B82EA9">
        <w:trPr>
          <w:trHeight w:val="113"/>
          <w:jc w:val="center"/>
        </w:trPr>
        <w:tc>
          <w:tcPr>
            <w:cnfStyle w:val="001000000000" w:firstRow="0" w:lastRow="0" w:firstColumn="1" w:lastColumn="0" w:oddVBand="0" w:evenVBand="0" w:oddHBand="0" w:evenHBand="0" w:firstRowFirstColumn="0" w:firstRowLastColumn="0" w:lastRowFirstColumn="0" w:lastRowLastColumn="0"/>
            <w:tcW w:w="2689" w:type="dxa"/>
            <w:vAlign w:val="bottom"/>
          </w:tcPr>
          <w:p w14:paraId="354D5B94" w14:textId="77777777" w:rsidR="00B63041" w:rsidRPr="00156A6B" w:rsidRDefault="00B63041" w:rsidP="00B82EA9">
            <w:pPr>
              <w:jc w:val="center"/>
              <w:rPr>
                <w:b w:val="0"/>
                <w:sz w:val="16"/>
                <w:lang w:val="en-US"/>
              </w:rPr>
            </w:pPr>
            <w:r w:rsidRPr="00156A6B">
              <w:rPr>
                <w:b w:val="0"/>
                <w:sz w:val="16"/>
                <w:lang w:val="en-US"/>
              </w:rPr>
              <w:t>Host rock size</w:t>
            </w:r>
          </w:p>
        </w:tc>
        <w:tc>
          <w:tcPr>
            <w:tcW w:w="1098" w:type="dxa"/>
            <w:vAlign w:val="bottom"/>
          </w:tcPr>
          <w:p w14:paraId="73BF1720" w14:textId="77777777" w:rsidR="00B63041" w:rsidRPr="00156A6B" w:rsidRDefault="00B63041" w:rsidP="00B82EA9">
            <w:pPr>
              <w:jc w:val="center"/>
              <w:cnfStyle w:val="000000000000" w:firstRow="0" w:lastRow="0" w:firstColumn="0" w:lastColumn="0" w:oddVBand="0" w:evenVBand="0" w:oddHBand="0" w:evenHBand="0" w:firstRowFirstColumn="0" w:firstRowLastColumn="0" w:lastRowFirstColumn="0" w:lastRowLastColumn="0"/>
              <w:rPr>
                <w:sz w:val="16"/>
                <w:lang w:val="en-US"/>
              </w:rPr>
            </w:pPr>
            <w:r w:rsidRPr="00156A6B">
              <w:rPr>
                <w:sz w:val="16"/>
                <w:lang w:val="en-US"/>
              </w:rPr>
              <w:t>0.1</w:t>
            </w:r>
          </w:p>
        </w:tc>
        <w:tc>
          <w:tcPr>
            <w:tcW w:w="1586" w:type="dxa"/>
            <w:vAlign w:val="bottom"/>
          </w:tcPr>
          <w:p w14:paraId="04E72914" w14:textId="77777777" w:rsidR="00B63041" w:rsidRPr="00156A6B" w:rsidRDefault="00B63041" w:rsidP="00B82EA9">
            <w:pPr>
              <w:jc w:val="center"/>
              <w:cnfStyle w:val="000000000000" w:firstRow="0" w:lastRow="0" w:firstColumn="0" w:lastColumn="0" w:oddVBand="0" w:evenVBand="0" w:oddHBand="0" w:evenHBand="0" w:firstRowFirstColumn="0" w:firstRowLastColumn="0" w:lastRowFirstColumn="0" w:lastRowLastColumn="0"/>
              <w:rPr>
                <w:sz w:val="16"/>
                <w:lang w:val="en-US"/>
              </w:rPr>
            </w:pPr>
            <w:r w:rsidRPr="00156A6B">
              <w:rPr>
                <w:sz w:val="16"/>
                <w:lang w:val="en-US"/>
              </w:rPr>
              <w:t>m</w:t>
            </w:r>
          </w:p>
        </w:tc>
        <w:tc>
          <w:tcPr>
            <w:tcW w:w="2702" w:type="dxa"/>
            <w:vAlign w:val="bottom"/>
          </w:tcPr>
          <w:p w14:paraId="331FA0E2" w14:textId="77777777" w:rsidR="00B63041" w:rsidRPr="00156A6B" w:rsidRDefault="00B63041" w:rsidP="00B82EA9">
            <w:pPr>
              <w:jc w:val="center"/>
              <w:cnfStyle w:val="000000000000" w:firstRow="0" w:lastRow="0" w:firstColumn="0" w:lastColumn="0" w:oddVBand="0" w:evenVBand="0" w:oddHBand="0" w:evenHBand="0" w:firstRowFirstColumn="0" w:firstRowLastColumn="0" w:lastRowFirstColumn="0" w:lastRowLastColumn="0"/>
              <w:rPr>
                <w:sz w:val="16"/>
                <w:lang w:val="en-US"/>
              </w:rPr>
            </w:pPr>
            <w:r w:rsidRPr="00156A6B">
              <w:rPr>
                <w:sz w:val="16"/>
                <w:lang w:val="en-US"/>
              </w:rPr>
              <w:t>-</w:t>
            </w:r>
          </w:p>
        </w:tc>
      </w:tr>
      <w:tr w:rsidR="00B63041" w:rsidRPr="00156A6B" w14:paraId="3ACCCCA5" w14:textId="77777777" w:rsidTr="00B82EA9">
        <w:trPr>
          <w:trHeight w:val="20"/>
          <w:jc w:val="center"/>
        </w:trPr>
        <w:tc>
          <w:tcPr>
            <w:cnfStyle w:val="001000000000" w:firstRow="0" w:lastRow="0" w:firstColumn="1" w:lastColumn="0" w:oddVBand="0" w:evenVBand="0" w:oddHBand="0" w:evenHBand="0" w:firstRowFirstColumn="0" w:firstRowLastColumn="0" w:lastRowFirstColumn="0" w:lastRowLastColumn="0"/>
            <w:tcW w:w="2689" w:type="dxa"/>
            <w:vAlign w:val="bottom"/>
          </w:tcPr>
          <w:p w14:paraId="46FA6DB7" w14:textId="77777777" w:rsidR="00B63041" w:rsidRPr="00156A6B" w:rsidRDefault="00B63041" w:rsidP="00B82EA9">
            <w:pPr>
              <w:jc w:val="center"/>
              <w:rPr>
                <w:b w:val="0"/>
                <w:sz w:val="16"/>
                <w:lang w:val="en-US"/>
              </w:rPr>
            </w:pPr>
            <w:r w:rsidRPr="00156A6B">
              <w:rPr>
                <w:b w:val="0"/>
                <w:sz w:val="16"/>
                <w:lang w:val="en-US"/>
              </w:rPr>
              <w:t>Molten layer size</w:t>
            </w:r>
          </w:p>
        </w:tc>
        <w:tc>
          <w:tcPr>
            <w:tcW w:w="1098" w:type="dxa"/>
            <w:vAlign w:val="bottom"/>
          </w:tcPr>
          <w:p w14:paraId="104FDB0D" w14:textId="77777777" w:rsidR="00B63041" w:rsidRPr="00156A6B" w:rsidRDefault="00B63041" w:rsidP="00B82EA9">
            <w:pPr>
              <w:jc w:val="center"/>
              <w:cnfStyle w:val="000000000000" w:firstRow="0" w:lastRow="0" w:firstColumn="0" w:lastColumn="0" w:oddVBand="0" w:evenVBand="0" w:oddHBand="0" w:evenHBand="0" w:firstRowFirstColumn="0" w:firstRowLastColumn="0" w:lastRowFirstColumn="0" w:lastRowLastColumn="0"/>
              <w:rPr>
                <w:sz w:val="16"/>
                <w:lang w:val="en-US"/>
              </w:rPr>
            </w:pPr>
            <w:r w:rsidRPr="00156A6B">
              <w:rPr>
                <w:sz w:val="16"/>
                <w:lang w:val="en-US"/>
              </w:rPr>
              <w:t>1.10</w:t>
            </w:r>
            <w:r w:rsidRPr="00156A6B">
              <w:rPr>
                <w:sz w:val="16"/>
                <w:vertAlign w:val="superscript"/>
                <w:lang w:val="en-US"/>
              </w:rPr>
              <w:t>-3</w:t>
            </w:r>
          </w:p>
        </w:tc>
        <w:tc>
          <w:tcPr>
            <w:tcW w:w="1586" w:type="dxa"/>
            <w:vAlign w:val="bottom"/>
          </w:tcPr>
          <w:p w14:paraId="629345D5" w14:textId="77777777" w:rsidR="00B63041" w:rsidRPr="00156A6B" w:rsidRDefault="00B63041" w:rsidP="00B82EA9">
            <w:pPr>
              <w:jc w:val="center"/>
              <w:cnfStyle w:val="000000000000" w:firstRow="0" w:lastRow="0" w:firstColumn="0" w:lastColumn="0" w:oddVBand="0" w:evenVBand="0" w:oddHBand="0" w:evenHBand="0" w:firstRowFirstColumn="0" w:firstRowLastColumn="0" w:lastRowFirstColumn="0" w:lastRowLastColumn="0"/>
              <w:rPr>
                <w:sz w:val="16"/>
                <w:lang w:val="en-US"/>
              </w:rPr>
            </w:pPr>
            <w:r w:rsidRPr="00156A6B">
              <w:rPr>
                <w:sz w:val="16"/>
                <w:lang w:val="en-US"/>
              </w:rPr>
              <w:t>m</w:t>
            </w:r>
          </w:p>
        </w:tc>
        <w:tc>
          <w:tcPr>
            <w:tcW w:w="2702" w:type="dxa"/>
            <w:vAlign w:val="bottom"/>
          </w:tcPr>
          <w:p w14:paraId="46EADA7D" w14:textId="77777777" w:rsidR="00B63041" w:rsidRPr="00156A6B" w:rsidRDefault="00B63041" w:rsidP="00B82EA9">
            <w:pPr>
              <w:jc w:val="center"/>
              <w:cnfStyle w:val="000000000000" w:firstRow="0" w:lastRow="0" w:firstColumn="0" w:lastColumn="0" w:oddVBand="0" w:evenVBand="0" w:oddHBand="0" w:evenHBand="0" w:firstRowFirstColumn="0" w:firstRowLastColumn="0" w:lastRowFirstColumn="0" w:lastRowLastColumn="0"/>
              <w:rPr>
                <w:sz w:val="16"/>
                <w:lang w:val="en-US"/>
              </w:rPr>
            </w:pPr>
            <w:r w:rsidRPr="00156A6B">
              <w:rPr>
                <w:sz w:val="16"/>
                <w:lang w:val="en-US"/>
              </w:rPr>
              <w:t>-</w:t>
            </w:r>
          </w:p>
        </w:tc>
      </w:tr>
      <w:tr w:rsidR="00B63041" w:rsidRPr="00156A6B" w14:paraId="39863C85" w14:textId="77777777" w:rsidTr="00B82EA9">
        <w:trPr>
          <w:trHeight w:val="20"/>
          <w:jc w:val="center"/>
        </w:trPr>
        <w:tc>
          <w:tcPr>
            <w:cnfStyle w:val="001000000000" w:firstRow="0" w:lastRow="0" w:firstColumn="1" w:lastColumn="0" w:oddVBand="0" w:evenVBand="0" w:oddHBand="0" w:evenHBand="0" w:firstRowFirstColumn="0" w:firstRowLastColumn="0" w:lastRowFirstColumn="0" w:lastRowLastColumn="0"/>
            <w:tcW w:w="2689" w:type="dxa"/>
            <w:vAlign w:val="bottom"/>
          </w:tcPr>
          <w:p w14:paraId="5DD3AA9C" w14:textId="77777777" w:rsidR="00B63041" w:rsidRPr="00156A6B" w:rsidRDefault="00B63041" w:rsidP="00B82EA9">
            <w:pPr>
              <w:jc w:val="center"/>
              <w:rPr>
                <w:b w:val="0"/>
                <w:sz w:val="16"/>
                <w:lang w:val="en-US"/>
              </w:rPr>
            </w:pPr>
            <w:r w:rsidRPr="00156A6B">
              <w:rPr>
                <w:b w:val="0"/>
                <w:sz w:val="16"/>
                <w:lang w:val="en-US"/>
              </w:rPr>
              <w:t>Host rock temperature</w:t>
            </w:r>
          </w:p>
        </w:tc>
        <w:tc>
          <w:tcPr>
            <w:tcW w:w="1098" w:type="dxa"/>
            <w:vAlign w:val="bottom"/>
          </w:tcPr>
          <w:p w14:paraId="1C450641" w14:textId="77777777" w:rsidR="00B63041" w:rsidRPr="00156A6B" w:rsidRDefault="00B63041" w:rsidP="00B82EA9">
            <w:pPr>
              <w:jc w:val="center"/>
              <w:cnfStyle w:val="000000000000" w:firstRow="0" w:lastRow="0" w:firstColumn="0" w:lastColumn="0" w:oddVBand="0" w:evenVBand="0" w:oddHBand="0" w:evenHBand="0" w:firstRowFirstColumn="0" w:firstRowLastColumn="0" w:lastRowFirstColumn="0" w:lastRowLastColumn="0"/>
              <w:rPr>
                <w:sz w:val="16"/>
                <w:lang w:val="en-US"/>
              </w:rPr>
            </w:pPr>
            <w:r w:rsidRPr="00156A6B">
              <w:rPr>
                <w:sz w:val="16"/>
                <w:lang w:val="en-US"/>
              </w:rPr>
              <w:t>200</w:t>
            </w:r>
          </w:p>
        </w:tc>
        <w:tc>
          <w:tcPr>
            <w:tcW w:w="1586" w:type="dxa"/>
            <w:vAlign w:val="bottom"/>
          </w:tcPr>
          <w:p w14:paraId="1F0DAE74" w14:textId="77777777" w:rsidR="00B63041" w:rsidRPr="00156A6B" w:rsidRDefault="00B63041" w:rsidP="00B82EA9">
            <w:pPr>
              <w:jc w:val="center"/>
              <w:cnfStyle w:val="000000000000" w:firstRow="0" w:lastRow="0" w:firstColumn="0" w:lastColumn="0" w:oddVBand="0" w:evenVBand="0" w:oddHBand="0" w:evenHBand="0" w:firstRowFirstColumn="0" w:firstRowLastColumn="0" w:lastRowFirstColumn="0" w:lastRowLastColumn="0"/>
              <w:rPr>
                <w:sz w:val="16"/>
                <w:lang w:val="en-US"/>
              </w:rPr>
            </w:pPr>
            <w:r w:rsidRPr="00156A6B">
              <w:rPr>
                <w:sz w:val="16"/>
                <w:lang w:val="en-US"/>
              </w:rPr>
              <w:t>°C</w:t>
            </w:r>
          </w:p>
        </w:tc>
        <w:tc>
          <w:tcPr>
            <w:tcW w:w="2702" w:type="dxa"/>
            <w:vAlign w:val="bottom"/>
          </w:tcPr>
          <w:p w14:paraId="6AEA4C83" w14:textId="77777777" w:rsidR="00B63041" w:rsidRPr="00156A6B" w:rsidRDefault="00B63041" w:rsidP="00B82EA9">
            <w:pPr>
              <w:jc w:val="center"/>
              <w:cnfStyle w:val="000000000000" w:firstRow="0" w:lastRow="0" w:firstColumn="0" w:lastColumn="0" w:oddVBand="0" w:evenVBand="0" w:oddHBand="0" w:evenHBand="0" w:firstRowFirstColumn="0" w:firstRowLastColumn="0" w:lastRowFirstColumn="0" w:lastRowLastColumn="0"/>
              <w:rPr>
                <w:sz w:val="16"/>
                <w:lang w:val="en-US"/>
              </w:rPr>
            </w:pPr>
            <w:r w:rsidRPr="00156A6B">
              <w:rPr>
                <w:sz w:val="16"/>
                <w:lang w:val="en-US"/>
              </w:rPr>
              <w:t>-</w:t>
            </w:r>
          </w:p>
        </w:tc>
      </w:tr>
      <w:tr w:rsidR="00B63041" w:rsidRPr="00156A6B" w14:paraId="5A024F32" w14:textId="77777777" w:rsidTr="00B82EA9">
        <w:trPr>
          <w:trHeight w:val="20"/>
          <w:jc w:val="center"/>
        </w:trPr>
        <w:tc>
          <w:tcPr>
            <w:cnfStyle w:val="001000000000" w:firstRow="0" w:lastRow="0" w:firstColumn="1" w:lastColumn="0" w:oddVBand="0" w:evenVBand="0" w:oddHBand="0" w:evenHBand="0" w:firstRowFirstColumn="0" w:firstRowLastColumn="0" w:lastRowFirstColumn="0" w:lastRowLastColumn="0"/>
            <w:tcW w:w="2689" w:type="dxa"/>
            <w:vAlign w:val="bottom"/>
          </w:tcPr>
          <w:p w14:paraId="6DCC88C4" w14:textId="77777777" w:rsidR="00B63041" w:rsidRPr="00156A6B" w:rsidRDefault="00B63041" w:rsidP="00B82EA9">
            <w:pPr>
              <w:jc w:val="center"/>
              <w:rPr>
                <w:b w:val="0"/>
                <w:sz w:val="16"/>
                <w:lang w:val="en-US"/>
              </w:rPr>
            </w:pPr>
            <w:r w:rsidRPr="00156A6B">
              <w:rPr>
                <w:b w:val="0"/>
                <w:sz w:val="16"/>
                <w:lang w:val="en-US"/>
              </w:rPr>
              <w:t>Molten layer temperature</w:t>
            </w:r>
          </w:p>
        </w:tc>
        <w:tc>
          <w:tcPr>
            <w:tcW w:w="1098" w:type="dxa"/>
            <w:vAlign w:val="bottom"/>
          </w:tcPr>
          <w:p w14:paraId="5AA7A7DC" w14:textId="77777777" w:rsidR="00B63041" w:rsidRPr="00156A6B" w:rsidRDefault="00B63041" w:rsidP="00B82EA9">
            <w:pPr>
              <w:jc w:val="center"/>
              <w:cnfStyle w:val="000000000000" w:firstRow="0" w:lastRow="0" w:firstColumn="0" w:lastColumn="0" w:oddVBand="0" w:evenVBand="0" w:oddHBand="0" w:evenHBand="0" w:firstRowFirstColumn="0" w:firstRowLastColumn="0" w:lastRowFirstColumn="0" w:lastRowLastColumn="0"/>
              <w:rPr>
                <w:sz w:val="16"/>
                <w:lang w:val="en-US"/>
              </w:rPr>
            </w:pPr>
            <w:r w:rsidRPr="00156A6B">
              <w:rPr>
                <w:sz w:val="16"/>
                <w:lang w:val="en-US"/>
              </w:rPr>
              <w:t>1400</w:t>
            </w:r>
          </w:p>
        </w:tc>
        <w:tc>
          <w:tcPr>
            <w:tcW w:w="1586" w:type="dxa"/>
            <w:vAlign w:val="bottom"/>
          </w:tcPr>
          <w:p w14:paraId="6CDF890C" w14:textId="77777777" w:rsidR="00B63041" w:rsidRPr="00156A6B" w:rsidRDefault="00B63041" w:rsidP="00B82EA9">
            <w:pPr>
              <w:jc w:val="center"/>
              <w:cnfStyle w:val="000000000000" w:firstRow="0" w:lastRow="0" w:firstColumn="0" w:lastColumn="0" w:oddVBand="0" w:evenVBand="0" w:oddHBand="0" w:evenHBand="0" w:firstRowFirstColumn="0" w:firstRowLastColumn="0" w:lastRowFirstColumn="0" w:lastRowLastColumn="0"/>
              <w:rPr>
                <w:sz w:val="16"/>
                <w:lang w:val="en-US"/>
              </w:rPr>
            </w:pPr>
            <w:r w:rsidRPr="00156A6B">
              <w:rPr>
                <w:sz w:val="16"/>
                <w:lang w:val="en-US"/>
              </w:rPr>
              <w:t>°C</w:t>
            </w:r>
          </w:p>
        </w:tc>
        <w:tc>
          <w:tcPr>
            <w:tcW w:w="2702" w:type="dxa"/>
            <w:vAlign w:val="bottom"/>
          </w:tcPr>
          <w:p w14:paraId="5699814D" w14:textId="77777777" w:rsidR="00B63041" w:rsidRPr="00156A6B" w:rsidRDefault="00B63041" w:rsidP="00B82EA9">
            <w:pPr>
              <w:pStyle w:val="Paragraphedeliste"/>
              <w:jc w:val="center"/>
              <w:cnfStyle w:val="000000000000" w:firstRow="0" w:lastRow="0" w:firstColumn="0" w:lastColumn="0" w:oddVBand="0" w:evenVBand="0" w:oddHBand="0" w:evenHBand="0" w:firstRowFirstColumn="0" w:firstRowLastColumn="0" w:lastRowFirstColumn="0" w:lastRowLastColumn="0"/>
              <w:rPr>
                <w:sz w:val="16"/>
                <w:lang w:val="en-US"/>
              </w:rPr>
            </w:pPr>
            <w:r w:rsidRPr="00156A6B">
              <w:rPr>
                <w:sz w:val="16"/>
                <w:lang w:val="en-US"/>
              </w:rPr>
              <w:t>-</w:t>
            </w:r>
          </w:p>
        </w:tc>
      </w:tr>
      <w:tr w:rsidR="00B63041" w:rsidRPr="00156A6B" w14:paraId="031CE3AF" w14:textId="77777777" w:rsidTr="00B82EA9">
        <w:trPr>
          <w:trHeight w:val="20"/>
          <w:jc w:val="center"/>
        </w:trPr>
        <w:tc>
          <w:tcPr>
            <w:cnfStyle w:val="001000000000" w:firstRow="0" w:lastRow="0" w:firstColumn="1" w:lastColumn="0" w:oddVBand="0" w:evenVBand="0" w:oddHBand="0" w:evenHBand="0" w:firstRowFirstColumn="0" w:firstRowLastColumn="0" w:lastRowFirstColumn="0" w:lastRowLastColumn="0"/>
            <w:tcW w:w="2689" w:type="dxa"/>
            <w:vAlign w:val="bottom"/>
          </w:tcPr>
          <w:p w14:paraId="25A52468" w14:textId="77777777" w:rsidR="00B63041" w:rsidRPr="00156A6B" w:rsidRDefault="00B63041" w:rsidP="00B82EA9">
            <w:pPr>
              <w:jc w:val="center"/>
              <w:rPr>
                <w:b w:val="0"/>
                <w:sz w:val="16"/>
                <w:lang w:val="en-US"/>
              </w:rPr>
            </w:pPr>
            <w:r w:rsidRPr="00156A6B">
              <w:rPr>
                <w:b w:val="0"/>
                <w:sz w:val="16"/>
                <w:lang w:val="en-US"/>
              </w:rPr>
              <w:t>Thermal conductivity – k</w:t>
            </w:r>
          </w:p>
        </w:tc>
        <w:tc>
          <w:tcPr>
            <w:tcW w:w="1098" w:type="dxa"/>
            <w:vAlign w:val="bottom"/>
          </w:tcPr>
          <w:p w14:paraId="4B726B31" w14:textId="77777777" w:rsidR="00B63041" w:rsidRPr="00156A6B" w:rsidRDefault="00B63041" w:rsidP="00B82EA9">
            <w:pPr>
              <w:jc w:val="center"/>
              <w:cnfStyle w:val="000000000000" w:firstRow="0" w:lastRow="0" w:firstColumn="0" w:lastColumn="0" w:oddVBand="0" w:evenVBand="0" w:oddHBand="0" w:evenHBand="0" w:firstRowFirstColumn="0" w:firstRowLastColumn="0" w:lastRowFirstColumn="0" w:lastRowLastColumn="0"/>
              <w:rPr>
                <w:sz w:val="16"/>
                <w:lang w:val="en-US"/>
              </w:rPr>
            </w:pPr>
            <w:r w:rsidRPr="00156A6B">
              <w:rPr>
                <w:sz w:val="16"/>
                <w:lang w:val="en-US"/>
              </w:rPr>
              <w:t>2.0700</w:t>
            </w:r>
          </w:p>
        </w:tc>
        <w:tc>
          <w:tcPr>
            <w:tcW w:w="1586" w:type="dxa"/>
            <w:vAlign w:val="bottom"/>
          </w:tcPr>
          <w:p w14:paraId="7F872697" w14:textId="77777777" w:rsidR="00B63041" w:rsidRPr="00156A6B" w:rsidRDefault="00B63041" w:rsidP="00B82EA9">
            <w:pPr>
              <w:jc w:val="center"/>
              <w:cnfStyle w:val="000000000000" w:firstRow="0" w:lastRow="0" w:firstColumn="0" w:lastColumn="0" w:oddVBand="0" w:evenVBand="0" w:oddHBand="0" w:evenHBand="0" w:firstRowFirstColumn="0" w:firstRowLastColumn="0" w:lastRowFirstColumn="0" w:lastRowLastColumn="0"/>
              <w:rPr>
                <w:sz w:val="16"/>
                <w:lang w:val="en-US"/>
              </w:rPr>
            </w:pPr>
            <w:r w:rsidRPr="00156A6B">
              <w:rPr>
                <w:sz w:val="16"/>
                <w:lang w:val="en-US"/>
              </w:rPr>
              <w:t>W/m/K</w:t>
            </w:r>
          </w:p>
        </w:tc>
        <w:tc>
          <w:tcPr>
            <w:tcW w:w="2702" w:type="dxa"/>
            <w:vAlign w:val="bottom"/>
          </w:tcPr>
          <w:p w14:paraId="7EE06F5B" w14:textId="207C05E8" w:rsidR="00B63041" w:rsidRPr="00156A6B" w:rsidRDefault="00B63041" w:rsidP="00DD6B14">
            <w:pPr>
              <w:jc w:val="center"/>
              <w:cnfStyle w:val="000000000000" w:firstRow="0" w:lastRow="0" w:firstColumn="0" w:lastColumn="0" w:oddVBand="0" w:evenVBand="0" w:oddHBand="0" w:evenHBand="0" w:firstRowFirstColumn="0" w:firstRowLastColumn="0" w:lastRowFirstColumn="0" w:lastRowLastColumn="0"/>
              <w:rPr>
                <w:sz w:val="16"/>
                <w:lang w:val="en-US"/>
              </w:rPr>
            </w:pPr>
            <w:r w:rsidRPr="00156A6B">
              <w:rPr>
                <w:sz w:val="16"/>
                <w:lang w:val="en-US"/>
              </w:rPr>
              <w:t>Cermak and Rybach, 1982</w:t>
            </w:r>
            <w:r w:rsidRPr="00156A6B">
              <w:rPr>
                <w:sz w:val="16"/>
                <w:lang w:val="en-US"/>
              </w:rPr>
              <w:fldChar w:fldCharType="begin"/>
            </w:r>
            <w:r w:rsidR="00DD6B14">
              <w:rPr>
                <w:sz w:val="16"/>
                <w:lang w:val="en-US"/>
              </w:rPr>
              <w:instrText xml:space="preserve"> ADDIN ZOTERO_ITEM CSL_CITATION {"citationID":"1Q6RQt5Y","properties":{"formattedCitation":"\\super 30\\nosupersub{}","plainCitation":"30","noteIndex":0},"citationItems":[{"id":412,"uris":["http://zotero.org/users/5712877/items/LTMHPRL6"],"uri":["http://zotero.org/users/5712877/items/LTMHPRL6"],"itemData":{"id":412,"type":"book","title":"Thermal properties: Thermal conductivity and specific heat of minerals and rocks","publisher":"G. Angeneister","number-of-pages":"305-343","author":[{"family":"Cermak","given":"V."},{"family":"Rybach","given":"L."}],"issued":{"date-parts":[["1982"]]}}}],"schema":"https://github.com/citation-style-language/schema/raw/master/csl-citation.json"} </w:instrText>
            </w:r>
            <w:r w:rsidRPr="00156A6B">
              <w:rPr>
                <w:sz w:val="16"/>
                <w:lang w:val="en-US"/>
              </w:rPr>
              <w:fldChar w:fldCharType="separate"/>
            </w:r>
            <w:r w:rsidR="00DD6B14" w:rsidRPr="00DD6B14">
              <w:rPr>
                <w:rFonts w:cs="Times New Roman"/>
                <w:sz w:val="16"/>
                <w:szCs w:val="24"/>
                <w:vertAlign w:val="superscript"/>
              </w:rPr>
              <w:t>30</w:t>
            </w:r>
            <w:r w:rsidRPr="00156A6B">
              <w:rPr>
                <w:sz w:val="16"/>
                <w:lang w:val="en-US"/>
              </w:rPr>
              <w:fldChar w:fldCharType="end"/>
            </w:r>
          </w:p>
        </w:tc>
      </w:tr>
      <w:tr w:rsidR="00B63041" w:rsidRPr="00156A6B" w14:paraId="7CC646D9" w14:textId="77777777" w:rsidTr="00B82EA9">
        <w:trPr>
          <w:trHeight w:val="20"/>
          <w:jc w:val="center"/>
        </w:trPr>
        <w:tc>
          <w:tcPr>
            <w:cnfStyle w:val="001000000000" w:firstRow="0" w:lastRow="0" w:firstColumn="1" w:lastColumn="0" w:oddVBand="0" w:evenVBand="0" w:oddHBand="0" w:evenHBand="0" w:firstRowFirstColumn="0" w:firstRowLastColumn="0" w:lastRowFirstColumn="0" w:lastRowLastColumn="0"/>
            <w:tcW w:w="2689" w:type="dxa"/>
            <w:vAlign w:val="bottom"/>
          </w:tcPr>
          <w:p w14:paraId="06575A2A" w14:textId="77777777" w:rsidR="00B63041" w:rsidRPr="00156A6B" w:rsidRDefault="00B63041" w:rsidP="00B82EA9">
            <w:pPr>
              <w:jc w:val="center"/>
              <w:rPr>
                <w:b w:val="0"/>
                <w:sz w:val="16"/>
                <w:lang w:val="en-US"/>
              </w:rPr>
            </w:pPr>
            <w:r w:rsidRPr="00156A6B">
              <w:rPr>
                <w:b w:val="0"/>
                <w:sz w:val="16"/>
                <w:lang w:val="en-US"/>
              </w:rPr>
              <w:t>Heat capacity – Cp</w:t>
            </w:r>
          </w:p>
        </w:tc>
        <w:tc>
          <w:tcPr>
            <w:tcW w:w="1098" w:type="dxa"/>
            <w:vAlign w:val="bottom"/>
          </w:tcPr>
          <w:p w14:paraId="602AA977" w14:textId="77777777" w:rsidR="00B63041" w:rsidRPr="00156A6B" w:rsidRDefault="00B63041" w:rsidP="00B82EA9">
            <w:pPr>
              <w:jc w:val="center"/>
              <w:cnfStyle w:val="000000000000" w:firstRow="0" w:lastRow="0" w:firstColumn="0" w:lastColumn="0" w:oddVBand="0" w:evenVBand="0" w:oddHBand="0" w:evenHBand="0" w:firstRowFirstColumn="0" w:firstRowLastColumn="0" w:lastRowFirstColumn="0" w:lastRowLastColumn="0"/>
              <w:rPr>
                <w:sz w:val="16"/>
                <w:lang w:val="en-US"/>
              </w:rPr>
            </w:pPr>
            <w:r w:rsidRPr="00156A6B">
              <w:rPr>
                <w:sz w:val="16"/>
                <w:lang w:val="en-US"/>
              </w:rPr>
              <w:t>1180</w:t>
            </w:r>
          </w:p>
        </w:tc>
        <w:tc>
          <w:tcPr>
            <w:tcW w:w="1586" w:type="dxa"/>
            <w:vAlign w:val="bottom"/>
          </w:tcPr>
          <w:p w14:paraId="5FB43181" w14:textId="77777777" w:rsidR="00B63041" w:rsidRPr="00156A6B" w:rsidRDefault="00B63041" w:rsidP="00B82EA9">
            <w:pPr>
              <w:jc w:val="center"/>
              <w:cnfStyle w:val="000000000000" w:firstRow="0" w:lastRow="0" w:firstColumn="0" w:lastColumn="0" w:oddVBand="0" w:evenVBand="0" w:oddHBand="0" w:evenHBand="0" w:firstRowFirstColumn="0" w:firstRowLastColumn="0" w:lastRowFirstColumn="0" w:lastRowLastColumn="0"/>
              <w:rPr>
                <w:sz w:val="16"/>
                <w:lang w:val="en-US"/>
              </w:rPr>
            </w:pPr>
            <w:r w:rsidRPr="00156A6B">
              <w:rPr>
                <w:sz w:val="16"/>
                <w:lang w:val="en-US"/>
              </w:rPr>
              <w:t>J/kg/K</w:t>
            </w:r>
          </w:p>
        </w:tc>
        <w:tc>
          <w:tcPr>
            <w:tcW w:w="2702" w:type="dxa"/>
            <w:vAlign w:val="bottom"/>
          </w:tcPr>
          <w:p w14:paraId="1EDC1960" w14:textId="6C873D15" w:rsidR="00B63041" w:rsidRPr="00156A6B" w:rsidRDefault="00B63041" w:rsidP="00DD6B14">
            <w:pPr>
              <w:jc w:val="center"/>
              <w:cnfStyle w:val="000000000000" w:firstRow="0" w:lastRow="0" w:firstColumn="0" w:lastColumn="0" w:oddVBand="0" w:evenVBand="0" w:oddHBand="0" w:evenHBand="0" w:firstRowFirstColumn="0" w:firstRowLastColumn="0" w:lastRowFirstColumn="0" w:lastRowLastColumn="0"/>
              <w:rPr>
                <w:sz w:val="16"/>
                <w:lang w:val="en-US"/>
              </w:rPr>
            </w:pPr>
            <w:r w:rsidRPr="00156A6B">
              <w:rPr>
                <w:sz w:val="16"/>
                <w:lang w:val="en-US"/>
              </w:rPr>
              <w:t>Cermak and Rybach, 1982</w:t>
            </w:r>
            <w:r w:rsidRPr="00156A6B">
              <w:rPr>
                <w:sz w:val="16"/>
                <w:lang w:val="en-US"/>
              </w:rPr>
              <w:fldChar w:fldCharType="begin"/>
            </w:r>
            <w:r w:rsidR="00DD6B14">
              <w:rPr>
                <w:sz w:val="16"/>
                <w:lang w:val="en-US"/>
              </w:rPr>
              <w:instrText xml:space="preserve"> ADDIN ZOTERO_ITEM CSL_CITATION {"citationID":"BrRX11p7","properties":{"formattedCitation":"\\super 30\\nosupersub{}","plainCitation":"30","noteIndex":0},"citationItems":[{"id":412,"uris":["http://zotero.org/users/5712877/items/LTMHPRL6"],"uri":["http://zotero.org/users/5712877/items/LTMHPRL6"],"itemData":{"id":412,"type":"book","title":"Thermal properties: Thermal conductivity and specific heat of minerals and rocks","publisher":"G. Angeneister","number-of-pages":"305-343","author":[{"family":"Cermak","given":"V."},{"family":"Rybach","given":"L."}],"issued":{"date-parts":[["1982"]]}}}],"schema":"https://github.com/citation-style-language/schema/raw/master/csl-citation.json"} </w:instrText>
            </w:r>
            <w:r w:rsidRPr="00156A6B">
              <w:rPr>
                <w:sz w:val="16"/>
                <w:lang w:val="en-US"/>
              </w:rPr>
              <w:fldChar w:fldCharType="separate"/>
            </w:r>
            <w:r w:rsidR="00DD6B14" w:rsidRPr="00DD6B14">
              <w:rPr>
                <w:rFonts w:cs="Times New Roman"/>
                <w:sz w:val="16"/>
                <w:szCs w:val="24"/>
                <w:vertAlign w:val="superscript"/>
              </w:rPr>
              <w:t>30</w:t>
            </w:r>
            <w:r w:rsidRPr="00156A6B">
              <w:rPr>
                <w:sz w:val="16"/>
                <w:lang w:val="en-US"/>
              </w:rPr>
              <w:fldChar w:fldCharType="end"/>
            </w:r>
          </w:p>
        </w:tc>
      </w:tr>
      <w:tr w:rsidR="00B63041" w:rsidRPr="00156A6B" w14:paraId="07BA6A32" w14:textId="77777777" w:rsidTr="00B82EA9">
        <w:trPr>
          <w:trHeight w:val="56"/>
          <w:jc w:val="center"/>
        </w:trPr>
        <w:tc>
          <w:tcPr>
            <w:cnfStyle w:val="001000000000" w:firstRow="0" w:lastRow="0" w:firstColumn="1" w:lastColumn="0" w:oddVBand="0" w:evenVBand="0" w:oddHBand="0" w:evenHBand="0" w:firstRowFirstColumn="0" w:firstRowLastColumn="0" w:lastRowFirstColumn="0" w:lastRowLastColumn="0"/>
            <w:tcW w:w="2689" w:type="dxa"/>
            <w:vAlign w:val="bottom"/>
          </w:tcPr>
          <w:p w14:paraId="5D98DDE7" w14:textId="77777777" w:rsidR="00B63041" w:rsidRPr="00156A6B" w:rsidRDefault="00B63041" w:rsidP="00B82EA9">
            <w:pPr>
              <w:jc w:val="center"/>
              <w:rPr>
                <w:b w:val="0"/>
                <w:sz w:val="16"/>
                <w:lang w:val="en-US"/>
              </w:rPr>
            </w:pPr>
            <w:r w:rsidRPr="00156A6B">
              <w:rPr>
                <w:b w:val="0"/>
                <w:sz w:val="16"/>
                <w:lang w:val="en-US"/>
              </w:rPr>
              <w:t xml:space="preserve">Density – </w:t>
            </w:r>
            <w:r w:rsidRPr="00156A6B">
              <w:rPr>
                <w:rFonts w:cstheme="minorHAnsi"/>
                <w:b w:val="0"/>
                <w:sz w:val="16"/>
                <w:lang w:val="en-US"/>
              </w:rPr>
              <w:t>ρ</w:t>
            </w:r>
          </w:p>
        </w:tc>
        <w:tc>
          <w:tcPr>
            <w:tcW w:w="1098" w:type="dxa"/>
            <w:vAlign w:val="bottom"/>
          </w:tcPr>
          <w:p w14:paraId="4C85D67C" w14:textId="77777777" w:rsidR="00B63041" w:rsidRPr="00156A6B" w:rsidRDefault="00B63041" w:rsidP="00B82EA9">
            <w:pPr>
              <w:jc w:val="center"/>
              <w:cnfStyle w:val="000000000000" w:firstRow="0" w:lastRow="0" w:firstColumn="0" w:lastColumn="0" w:oddVBand="0" w:evenVBand="0" w:oddHBand="0" w:evenHBand="0" w:firstRowFirstColumn="0" w:firstRowLastColumn="0" w:lastRowFirstColumn="0" w:lastRowLastColumn="0"/>
              <w:rPr>
                <w:sz w:val="16"/>
                <w:lang w:val="en-US"/>
              </w:rPr>
            </w:pPr>
            <w:r w:rsidRPr="00156A6B">
              <w:rPr>
                <w:sz w:val="16"/>
                <w:lang w:val="en-US"/>
              </w:rPr>
              <w:t>2660</w:t>
            </w:r>
          </w:p>
        </w:tc>
        <w:tc>
          <w:tcPr>
            <w:tcW w:w="1586" w:type="dxa"/>
            <w:vAlign w:val="bottom"/>
          </w:tcPr>
          <w:p w14:paraId="45823EA5" w14:textId="77777777" w:rsidR="00B63041" w:rsidRPr="00156A6B" w:rsidRDefault="00B63041" w:rsidP="00B82EA9">
            <w:pPr>
              <w:jc w:val="center"/>
              <w:cnfStyle w:val="000000000000" w:firstRow="0" w:lastRow="0" w:firstColumn="0" w:lastColumn="0" w:oddVBand="0" w:evenVBand="0" w:oddHBand="0" w:evenHBand="0" w:firstRowFirstColumn="0" w:firstRowLastColumn="0" w:lastRowFirstColumn="0" w:lastRowLastColumn="0"/>
              <w:rPr>
                <w:sz w:val="16"/>
                <w:lang w:val="en-US"/>
              </w:rPr>
            </w:pPr>
            <w:r w:rsidRPr="00156A6B">
              <w:rPr>
                <w:sz w:val="16"/>
                <w:lang w:val="en-US"/>
              </w:rPr>
              <w:t>Kg/m</w:t>
            </w:r>
            <w:r w:rsidRPr="00156A6B">
              <w:rPr>
                <w:sz w:val="16"/>
                <w:vertAlign w:val="superscript"/>
                <w:lang w:val="en-US"/>
              </w:rPr>
              <w:t>3</w:t>
            </w:r>
          </w:p>
        </w:tc>
        <w:tc>
          <w:tcPr>
            <w:tcW w:w="2702" w:type="dxa"/>
            <w:vAlign w:val="bottom"/>
          </w:tcPr>
          <w:p w14:paraId="30AA137D" w14:textId="5F0D9C13" w:rsidR="00B63041" w:rsidRPr="00156A6B" w:rsidRDefault="00B63041" w:rsidP="00DD6B14">
            <w:pPr>
              <w:jc w:val="center"/>
              <w:cnfStyle w:val="000000000000" w:firstRow="0" w:lastRow="0" w:firstColumn="0" w:lastColumn="0" w:oddVBand="0" w:evenVBand="0" w:oddHBand="0" w:evenHBand="0" w:firstRowFirstColumn="0" w:firstRowLastColumn="0" w:lastRowFirstColumn="0" w:lastRowLastColumn="0"/>
              <w:rPr>
                <w:sz w:val="16"/>
                <w:lang w:val="en-US"/>
              </w:rPr>
            </w:pPr>
            <w:r w:rsidRPr="00156A6B">
              <w:rPr>
                <w:sz w:val="16"/>
                <w:lang w:val="en-US"/>
              </w:rPr>
              <w:t>Schön, 1996</w:t>
            </w:r>
            <w:r w:rsidRPr="00156A6B">
              <w:rPr>
                <w:sz w:val="16"/>
                <w:lang w:val="en-US"/>
              </w:rPr>
              <w:fldChar w:fldCharType="begin"/>
            </w:r>
            <w:r w:rsidR="00DD6B14">
              <w:rPr>
                <w:sz w:val="16"/>
                <w:lang w:val="en-US"/>
              </w:rPr>
              <w:instrText xml:space="preserve"> ADDIN ZOTERO_ITEM CSL_CITATION {"citationID":"TjMi2XA2","properties":{"formattedCitation":"\\super 28\\nosupersub{}","plainCitation":"28","noteIndex":0},"citationItems":[{"id":299,"uris":["http://zotero.org/users/5712877/items/3S5GLH4M"],"uri":["http://zotero.org/users/5712877/items/3S5GLH4M"],"itemData":{"id":299,"type":"book","title":"Physical Properties of Rocks Fundamentals and Principles of Petrophysics","collection-title":"Developments in Petroleum Science","publisher":"Elsevier B.V.","volume":"65","number-of-pages":"497","edition":"Second edition","ISBN":"978-0-08-100404-3","language":"en","author":[{"family":"Schön","given":"Jürgen"}],"issued":{"date-parts":[["1996"]]}}}],"schema":"https://github.com/citation-style-language/schema/raw/master/csl-citation.json"} </w:instrText>
            </w:r>
            <w:r w:rsidRPr="00156A6B">
              <w:rPr>
                <w:sz w:val="16"/>
                <w:lang w:val="en-US"/>
              </w:rPr>
              <w:fldChar w:fldCharType="separate"/>
            </w:r>
            <w:r w:rsidR="00DD6B14" w:rsidRPr="00DD6B14">
              <w:rPr>
                <w:rFonts w:cs="Times New Roman"/>
                <w:sz w:val="16"/>
                <w:szCs w:val="24"/>
                <w:vertAlign w:val="superscript"/>
              </w:rPr>
              <w:t>28</w:t>
            </w:r>
            <w:r w:rsidRPr="00156A6B">
              <w:rPr>
                <w:sz w:val="16"/>
                <w:lang w:val="en-US"/>
              </w:rPr>
              <w:fldChar w:fldCharType="end"/>
            </w:r>
          </w:p>
        </w:tc>
      </w:tr>
    </w:tbl>
    <w:p w14:paraId="680B81DE" w14:textId="77777777" w:rsidR="00C872D0" w:rsidRDefault="00C872D0" w:rsidP="00B63041">
      <w:pPr>
        <w:rPr>
          <w:rFonts w:eastAsiaTheme="minorEastAsia"/>
          <w:lang w:val="en-US"/>
        </w:rPr>
      </w:pPr>
    </w:p>
    <w:p w14:paraId="3871AB7A" w14:textId="7F77561F" w:rsidR="00B63041" w:rsidRPr="006300A5" w:rsidRDefault="00B63041" w:rsidP="00B63041">
      <w:pPr>
        <w:rPr>
          <w:rFonts w:eastAsiaTheme="minorEastAsia"/>
          <w:vertAlign w:val="subscript"/>
          <w:lang w:val="en-US"/>
        </w:rPr>
      </w:pPr>
      <w:r>
        <w:rPr>
          <w:rFonts w:eastAsiaTheme="minorEastAsia"/>
          <w:lang w:val="en-US"/>
        </w:rPr>
        <w:t xml:space="preserve">To finish, in this modelling, we consider that heat production is mainly generated by frictional and viscous shear-heating. However, others phenomena like the latent heat that occurs during the crystallization of the molten layer </w:t>
      </w:r>
      <w:r w:rsidRPr="00996016">
        <w:rPr>
          <w:rFonts w:eastAsiaTheme="minorEastAsia"/>
          <w:lang w:val="en-US"/>
        </w:rPr>
        <w:t>could control the temperature</w:t>
      </w:r>
      <w:r>
        <w:rPr>
          <w:rFonts w:eastAsiaTheme="minorEastAsia"/>
          <w:lang w:val="en-US"/>
        </w:rPr>
        <w:t xml:space="preserve"> evolution by releasing heat</w:t>
      </w:r>
      <w:r w:rsidRPr="00996016">
        <w:rPr>
          <w:rFonts w:eastAsiaTheme="minorEastAsia"/>
          <w:lang w:val="en-US"/>
        </w:rPr>
        <w:t>. Based on the work of Bohrson and Spera</w:t>
      </w:r>
      <w:r w:rsidRPr="00996016">
        <w:rPr>
          <w:rFonts w:eastAsiaTheme="minorEastAsia"/>
          <w:lang w:val="en-US"/>
        </w:rPr>
        <w:fldChar w:fldCharType="begin"/>
      </w:r>
      <w:r w:rsidR="00DD6B14">
        <w:rPr>
          <w:rFonts w:eastAsiaTheme="minorEastAsia"/>
          <w:lang w:val="en-US"/>
        </w:rPr>
        <w:instrText xml:space="preserve"> ADDIN ZOTERO_ITEM CSL_CITATION {"citationID":"FCQv54mS","properties":{"formattedCitation":"\\super 31\\nosupersub{}","plainCitation":"31","noteIndex":0},"citationItems":[{"id":452,"uris":["http://zotero.org/users/5712877/items/BPWZY66V"],"uri":["http://zotero.org/users/5712877/items/BPWZY66V"],"itemData":{"id":452,"type":"article-journal","title":"Energy-constrained open-system magmatic processes IV: Geochemical, thermal and mass consequences of energy-constrained recharge, assimilation and fractional crystallization (EC-RAFC): OPEN-SYSTEM MAGMATIC PROCESSES","container-title":"Geochemistry, Geophysics, Geosystems","volume":"4","issue":"2","source":"Crossref","URL":"http://doi.wiley.com/10.1029/2002GC000316","DOI":"10.1029/2002GC000316","ISSN":"15252027","title-short":"Energy-constrained open-system magmatic processes IV","language":"en","author":[{"family":"Bohrson","given":"Wendy A."},{"family":"Spera","given":"Frank J."}],"issued":{"date-parts":[["2003",2]]},"accessed":{"date-parts":[["2020",11,12]]}}}],"schema":"https://github.com/citation-style-language/schema/raw/master/csl-citation.json"} </w:instrText>
      </w:r>
      <w:r w:rsidRPr="00996016">
        <w:rPr>
          <w:rFonts w:eastAsiaTheme="minorEastAsia"/>
          <w:lang w:val="en-US"/>
        </w:rPr>
        <w:fldChar w:fldCharType="separate"/>
      </w:r>
      <w:r w:rsidR="00DD6B14" w:rsidRPr="00DD6B14">
        <w:rPr>
          <w:rFonts w:cs="Times New Roman"/>
          <w:szCs w:val="24"/>
          <w:vertAlign w:val="superscript"/>
          <w:lang w:val="en-US"/>
        </w:rPr>
        <w:t>31</w:t>
      </w:r>
      <w:r w:rsidRPr="00996016">
        <w:rPr>
          <w:rFonts w:eastAsiaTheme="minorEastAsia"/>
          <w:lang w:val="en-US"/>
        </w:rPr>
        <w:fldChar w:fldCharType="end"/>
      </w:r>
      <w:r w:rsidRPr="00996016">
        <w:rPr>
          <w:rFonts w:eastAsiaTheme="minorEastAsia"/>
          <w:lang w:val="en-US"/>
        </w:rPr>
        <w:t xml:space="preserve">, we can estimate that the enthalpy production (H) </w:t>
      </w:r>
      <w:r w:rsidR="00230575">
        <w:rPr>
          <w:rFonts w:eastAsiaTheme="minorEastAsia"/>
          <w:lang w:val="en-US"/>
        </w:rPr>
        <w:t xml:space="preserve">ranges </w:t>
      </w:r>
      <w:r w:rsidRPr="00996016">
        <w:rPr>
          <w:rFonts w:eastAsiaTheme="minorEastAsia"/>
          <w:lang w:val="en-US"/>
        </w:rPr>
        <w:t>from 3.5 to 3.9e10</w:t>
      </w:r>
      <w:r w:rsidRPr="00996016">
        <w:rPr>
          <w:rFonts w:eastAsiaTheme="minorEastAsia"/>
          <w:vertAlign w:val="superscript"/>
          <w:lang w:val="en-US"/>
        </w:rPr>
        <w:t>5</w:t>
      </w:r>
      <w:r w:rsidRPr="00996016">
        <w:rPr>
          <w:rFonts w:eastAsiaTheme="minorEastAsia"/>
          <w:lang w:val="en-US"/>
        </w:rPr>
        <w:t xml:space="preserve"> J/kg</w:t>
      </w:r>
      <w:r w:rsidRPr="00996016">
        <w:rPr>
          <w:rFonts w:eastAsiaTheme="minorEastAsia"/>
          <w:lang w:val="en-US"/>
        </w:rPr>
        <w:fldChar w:fldCharType="begin"/>
      </w:r>
      <w:r w:rsidR="00DD6B14">
        <w:rPr>
          <w:rFonts w:eastAsiaTheme="minorEastAsia"/>
          <w:lang w:val="en-US"/>
        </w:rPr>
        <w:instrText xml:space="preserve"> ADDIN ZOTERO_ITEM CSL_CITATION {"citationID":"9nabPrmo","properties":{"formattedCitation":"\\super 31\\nosupersub{}","plainCitation":"31","noteIndex":0},"citationItems":[{"id":452,"uris":["http://zotero.org/users/5712877/items/BPWZY66V"],"uri":["http://zotero.org/users/5712877/items/BPWZY66V"],"itemData":{"id":452,"type":"article-journal","title":"Energy-constrained open-system magmatic processes IV: Geochemical, thermal and mass consequences of energy-constrained recharge, assimilation and fractional crystallization (EC-RAFC): OPEN-SYSTEM MAGMATIC PROCESSES","container-title":"Geochemistry, Geophysics, Geosystems","volume":"4","issue":"2","source":"Crossref","URL":"http://doi.wiley.com/10.1029/2002GC000316","DOI":"10.1029/2002GC000316","ISSN":"15252027","title-short":"Energy-constrained open-system magmatic processes IV","language":"en","author":[{"family":"Bohrson","given":"Wendy A."},{"family":"Spera","given":"Frank J."}],"issued":{"date-parts":[["2003",2]]},"accessed":{"date-parts":[["2020",11,12]]}}}],"schema":"https://github.com/citation-style-language/schema/raw/master/csl-citation.json"} </w:instrText>
      </w:r>
      <w:r w:rsidRPr="00996016">
        <w:rPr>
          <w:rFonts w:eastAsiaTheme="minorEastAsia"/>
          <w:lang w:val="en-US"/>
        </w:rPr>
        <w:fldChar w:fldCharType="separate"/>
      </w:r>
      <w:r w:rsidR="00DD6B14" w:rsidRPr="00DD6B14">
        <w:rPr>
          <w:rFonts w:cs="Times New Roman"/>
          <w:szCs w:val="24"/>
          <w:vertAlign w:val="superscript"/>
          <w:lang w:val="en-US"/>
        </w:rPr>
        <w:t>31</w:t>
      </w:r>
      <w:r w:rsidRPr="00996016">
        <w:rPr>
          <w:rFonts w:eastAsiaTheme="minorEastAsia"/>
          <w:lang w:val="en-US"/>
        </w:rPr>
        <w:fldChar w:fldCharType="end"/>
      </w:r>
      <w:r w:rsidRPr="00996016">
        <w:rPr>
          <w:rFonts w:eastAsiaTheme="minorEastAsia"/>
          <w:lang w:val="en-US"/>
        </w:rPr>
        <w:t xml:space="preserve">. For a 1mm thick layer on 1 square meter, the maximum heat diffusion </w:t>
      </w:r>
      <w:r>
        <w:rPr>
          <w:rFonts w:eastAsiaTheme="minorEastAsia"/>
          <w:lang w:val="en-US"/>
        </w:rPr>
        <w:t>corresponds</w:t>
      </w:r>
      <w:r w:rsidRPr="00996016">
        <w:rPr>
          <w:rFonts w:eastAsiaTheme="minorEastAsia"/>
          <w:lang w:val="en-US"/>
        </w:rPr>
        <w:t xml:space="preserve"> 3.76e10</w:t>
      </w:r>
      <w:r w:rsidRPr="00996016">
        <w:rPr>
          <w:rFonts w:eastAsiaTheme="minorEastAsia"/>
          <w:vertAlign w:val="superscript"/>
          <w:lang w:val="en-US"/>
        </w:rPr>
        <w:t>6</w:t>
      </w:r>
      <w:r w:rsidRPr="00996016">
        <w:rPr>
          <w:rFonts w:eastAsiaTheme="minorEastAsia"/>
          <w:lang w:val="en-US"/>
        </w:rPr>
        <w:t xml:space="preserve"> Joules. Based on these data, w</w:t>
      </w:r>
      <w:r>
        <w:rPr>
          <w:rFonts w:eastAsiaTheme="minorEastAsia"/>
          <w:lang w:val="en-US"/>
        </w:rPr>
        <w:t>e obtain an estimated</w:t>
      </w:r>
      <w:r w:rsidRPr="00996016">
        <w:rPr>
          <w:rFonts w:eastAsiaTheme="minorEastAsia"/>
          <w:lang w:val="en-US"/>
        </w:rPr>
        <w:t xml:space="preserve"> enthalpy production of 9.31e10</w:t>
      </w:r>
      <w:r w:rsidRPr="00996016">
        <w:rPr>
          <w:rFonts w:eastAsiaTheme="minorEastAsia"/>
          <w:vertAlign w:val="superscript"/>
          <w:lang w:val="en-US"/>
        </w:rPr>
        <w:t>5</w:t>
      </w:r>
      <w:r w:rsidRPr="00996016">
        <w:rPr>
          <w:rFonts w:eastAsiaTheme="minorEastAsia"/>
          <w:lang w:val="en-US"/>
        </w:rPr>
        <w:t xml:space="preserve"> to 1.04e10</w:t>
      </w:r>
      <w:r w:rsidRPr="00996016">
        <w:rPr>
          <w:rFonts w:eastAsiaTheme="minorEastAsia"/>
          <w:vertAlign w:val="superscript"/>
          <w:lang w:val="en-US"/>
        </w:rPr>
        <w:t xml:space="preserve">6 </w:t>
      </w:r>
      <w:r w:rsidRPr="00996016">
        <w:rPr>
          <w:rFonts w:eastAsiaTheme="minorEastAsia"/>
          <w:lang w:val="en-US"/>
        </w:rPr>
        <w:t>Joules</w:t>
      </w:r>
      <w:r w:rsidRPr="00996016">
        <w:rPr>
          <w:rFonts w:eastAsiaTheme="minorEastAsia"/>
          <w:vertAlign w:val="subscript"/>
          <w:lang w:val="en-US"/>
        </w:rPr>
        <w:t>.</w:t>
      </w:r>
      <w:r>
        <w:rPr>
          <w:rFonts w:eastAsiaTheme="minorEastAsia"/>
          <w:vertAlign w:val="subscript"/>
          <w:lang w:val="en-US"/>
        </w:rPr>
        <w:t xml:space="preserve"> </w:t>
      </w:r>
      <w:r w:rsidRPr="00996016">
        <w:rPr>
          <w:rFonts w:eastAsiaTheme="minorEastAsia"/>
          <w:vertAlign w:val="subscript"/>
          <w:lang w:val="en-US"/>
        </w:rPr>
        <w:t xml:space="preserve"> </w:t>
      </w:r>
      <w:r w:rsidRPr="00996016">
        <w:rPr>
          <w:rFonts w:eastAsiaTheme="minorEastAsia"/>
          <w:lang w:val="en-US"/>
        </w:rPr>
        <w:t xml:space="preserve">Hence, the enthalpy production is </w:t>
      </w:r>
      <w:r w:rsidR="00230575">
        <w:rPr>
          <w:rFonts w:eastAsiaTheme="minorEastAsia"/>
          <w:lang w:val="en-US"/>
        </w:rPr>
        <w:t>four</w:t>
      </w:r>
      <w:r w:rsidR="00230575" w:rsidRPr="00996016">
        <w:rPr>
          <w:rFonts w:eastAsiaTheme="minorEastAsia"/>
          <w:lang w:val="en-US"/>
        </w:rPr>
        <w:t xml:space="preserve"> </w:t>
      </w:r>
      <w:r w:rsidRPr="00996016">
        <w:rPr>
          <w:rFonts w:eastAsiaTheme="minorEastAsia"/>
          <w:lang w:val="en-US"/>
        </w:rPr>
        <w:t xml:space="preserve">times lower </w:t>
      </w:r>
      <w:r w:rsidRPr="00996016">
        <w:rPr>
          <w:rFonts w:eastAsiaTheme="minorEastAsia"/>
          <w:lang w:val="en-US"/>
        </w:rPr>
        <w:lastRenderedPageBreak/>
        <w:t>than the heat possible diffusion</w:t>
      </w:r>
      <w:r>
        <w:rPr>
          <w:rFonts w:eastAsiaTheme="minorEastAsia"/>
          <w:lang w:val="en-US"/>
        </w:rPr>
        <w:t xml:space="preserve"> (See the s</w:t>
      </w:r>
      <w:r w:rsidR="004F0B4A">
        <w:rPr>
          <w:rFonts w:eastAsiaTheme="minorEastAsia"/>
          <w:lang w:val="en-US"/>
        </w:rPr>
        <w:t>ection 2.</w:t>
      </w:r>
      <w:r>
        <w:rPr>
          <w:rFonts w:eastAsiaTheme="minorEastAsia"/>
          <w:lang w:val="en-US"/>
        </w:rPr>
        <w:t xml:space="preserve">3 </w:t>
      </w:r>
      <w:r w:rsidR="004F0B4A">
        <w:rPr>
          <w:rFonts w:eastAsiaTheme="minorEastAsia"/>
          <w:lang w:val="en-US"/>
        </w:rPr>
        <w:t>in Supplementary Note 1</w:t>
      </w:r>
      <w:r>
        <w:rPr>
          <w:rFonts w:eastAsiaTheme="minorEastAsia"/>
          <w:lang w:val="en-US"/>
        </w:rPr>
        <w:t>). Based on these results, we neglect the effect of latent heat release</w:t>
      </w:r>
      <w:r w:rsidRPr="00996016">
        <w:rPr>
          <w:rFonts w:eastAsiaTheme="minorEastAsia"/>
          <w:lang w:val="en-US"/>
        </w:rPr>
        <w:t xml:space="preserve"> in </w:t>
      </w:r>
      <w:r>
        <w:rPr>
          <w:rFonts w:eastAsiaTheme="minorEastAsia"/>
          <w:lang w:val="en-US"/>
        </w:rPr>
        <w:t>the thermal</w:t>
      </w:r>
      <w:r w:rsidRPr="00996016">
        <w:rPr>
          <w:rFonts w:eastAsiaTheme="minorEastAsia"/>
          <w:lang w:val="en-US"/>
        </w:rPr>
        <w:t xml:space="preserve"> modelling. </w:t>
      </w:r>
    </w:p>
    <w:p w14:paraId="7BCC27FB" w14:textId="77777777" w:rsidR="00B63041" w:rsidRPr="008D1BBE" w:rsidRDefault="00B63041" w:rsidP="00B63041">
      <w:pPr>
        <w:ind w:firstLine="708"/>
        <w:rPr>
          <w:lang w:val="en-US"/>
        </w:rPr>
      </w:pPr>
      <w:r>
        <w:rPr>
          <w:lang w:val="en-US"/>
        </w:rPr>
        <w:t xml:space="preserve">3.2 </w:t>
      </w:r>
      <w:r w:rsidRPr="008D1BBE">
        <w:rPr>
          <w:lang w:val="en-US"/>
        </w:rPr>
        <w:t>Carbonization of carbonaceous material</w:t>
      </w:r>
      <w:r>
        <w:rPr>
          <w:lang w:val="en-US"/>
        </w:rPr>
        <w:t xml:space="preserve"> modelling </w:t>
      </w:r>
    </w:p>
    <w:p w14:paraId="723856A3" w14:textId="4F205961" w:rsidR="008D442A" w:rsidRPr="00B63041" w:rsidRDefault="00B63041" w:rsidP="00B63041">
      <w:pPr>
        <w:rPr>
          <w:lang w:val="en-US"/>
        </w:rPr>
      </w:pPr>
      <w:r w:rsidRPr="002F53E5">
        <w:rPr>
          <w:lang w:val="en-US"/>
        </w:rPr>
        <w:t xml:space="preserve">In addition, the carbonization kinetics modelling established previously was integrated to the thermal modelling, in order to model the evolution with time of Raman spectroscopy parameter along the 1D profile.  </w:t>
      </w:r>
      <w:r w:rsidR="008D442A" w:rsidRPr="00B63041">
        <w:rPr>
          <w:b/>
          <w:lang w:val="en-US"/>
        </w:rPr>
        <w:br w:type="page"/>
      </w:r>
    </w:p>
    <w:p w14:paraId="76609A55" w14:textId="69C33602" w:rsidR="00654162" w:rsidRDefault="00654162" w:rsidP="00654162">
      <w:pPr>
        <w:rPr>
          <w:noProof/>
          <w:sz w:val="28"/>
          <w:lang w:val="en-US" w:eastAsia="fr-FR"/>
        </w:rPr>
      </w:pPr>
      <w:r w:rsidRPr="00A31CC2">
        <w:rPr>
          <w:noProof/>
          <w:sz w:val="28"/>
          <w:lang w:val="en-US" w:eastAsia="fr-FR"/>
        </w:rPr>
        <w:lastRenderedPageBreak/>
        <w:t>Supplementary</w:t>
      </w:r>
      <w:r>
        <w:rPr>
          <w:noProof/>
          <w:sz w:val="28"/>
          <w:lang w:val="en-US" w:eastAsia="fr-FR"/>
        </w:rPr>
        <w:t xml:space="preserve"> References </w:t>
      </w:r>
    </w:p>
    <w:p w14:paraId="05F1D8A6" w14:textId="77777777" w:rsidR="004A2565" w:rsidRPr="004A2565" w:rsidRDefault="0095174F" w:rsidP="004A2565">
      <w:pPr>
        <w:pStyle w:val="Bibliographie"/>
        <w:rPr>
          <w:rFonts w:cs="Times New Roman"/>
          <w:lang w:val="en-US"/>
        </w:rPr>
      </w:pPr>
      <w:r>
        <w:rPr>
          <w:noProof/>
          <w:sz w:val="28"/>
          <w:lang w:val="en-US" w:eastAsia="fr-FR"/>
        </w:rPr>
        <w:fldChar w:fldCharType="begin"/>
      </w:r>
      <w:r w:rsidR="004A2565">
        <w:rPr>
          <w:noProof/>
          <w:sz w:val="28"/>
          <w:lang w:val="en-US" w:eastAsia="fr-FR"/>
        </w:rPr>
        <w:instrText xml:space="preserve"> ADDIN ZOTERO_BIBL {"uncited":[],"omitted":[],"custom":[]} CSL_BIBLIOGRAPHY </w:instrText>
      </w:r>
      <w:r>
        <w:rPr>
          <w:noProof/>
          <w:sz w:val="28"/>
          <w:lang w:val="en-US" w:eastAsia="fr-FR"/>
        </w:rPr>
        <w:fldChar w:fldCharType="separate"/>
      </w:r>
      <w:r w:rsidR="004A2565" w:rsidRPr="004A2565">
        <w:rPr>
          <w:rFonts w:cs="Times New Roman"/>
          <w:lang w:val="en-US"/>
        </w:rPr>
        <w:t>1.</w:t>
      </w:r>
      <w:r w:rsidR="004A2565" w:rsidRPr="004A2565">
        <w:rPr>
          <w:rFonts w:cs="Times New Roman"/>
          <w:lang w:val="en-US"/>
        </w:rPr>
        <w:tab/>
        <w:t xml:space="preserve">Scholz, C. </w:t>
      </w:r>
      <w:r w:rsidR="004A2565" w:rsidRPr="004A2565">
        <w:rPr>
          <w:rFonts w:cs="Times New Roman"/>
          <w:i/>
          <w:iCs/>
          <w:lang w:val="en-US"/>
        </w:rPr>
        <w:t>The Mechanics of Earthquakes and Faulting</w:t>
      </w:r>
      <w:r w:rsidR="004A2565" w:rsidRPr="004A2565">
        <w:rPr>
          <w:rFonts w:cs="Times New Roman"/>
          <w:lang w:val="en-US"/>
        </w:rPr>
        <w:t>. (Cambridge University Press, 1990).</w:t>
      </w:r>
    </w:p>
    <w:p w14:paraId="2A110231" w14:textId="77777777" w:rsidR="004A2565" w:rsidRPr="004A2565" w:rsidRDefault="004A2565" w:rsidP="004A2565">
      <w:pPr>
        <w:pStyle w:val="Bibliographie"/>
        <w:rPr>
          <w:rFonts w:cs="Times New Roman"/>
          <w:lang w:val="en-US"/>
        </w:rPr>
      </w:pPr>
      <w:r w:rsidRPr="004A2565">
        <w:rPr>
          <w:rFonts w:cs="Times New Roman"/>
          <w:lang w:val="en-US"/>
        </w:rPr>
        <w:t>2.</w:t>
      </w:r>
      <w:r w:rsidRPr="004A2565">
        <w:rPr>
          <w:rFonts w:cs="Times New Roman"/>
          <w:lang w:val="en-US"/>
        </w:rPr>
        <w:tab/>
        <w:t xml:space="preserve">Di Toro, G. &amp; Pennacchioni, G. Pseudotachylytes and Earthquake Source Mechanics. in </w:t>
      </w:r>
      <w:r w:rsidRPr="004A2565">
        <w:rPr>
          <w:rFonts w:cs="Times New Roman"/>
          <w:i/>
          <w:iCs/>
          <w:lang w:val="en-US"/>
        </w:rPr>
        <w:t>Fault-Zone Properties and Earthquake Rupture Dynamics</w:t>
      </w:r>
      <w:r w:rsidRPr="004A2565">
        <w:rPr>
          <w:rFonts w:cs="Times New Roman"/>
          <w:lang w:val="en-US"/>
        </w:rPr>
        <w:t xml:space="preserve"> 88–133 (Fukuyama, E., 2009).</w:t>
      </w:r>
    </w:p>
    <w:p w14:paraId="698DD9E1" w14:textId="77777777" w:rsidR="004A2565" w:rsidRPr="004A2565" w:rsidRDefault="004A2565" w:rsidP="004A2565">
      <w:pPr>
        <w:pStyle w:val="Bibliographie"/>
        <w:rPr>
          <w:rFonts w:cs="Times New Roman"/>
        </w:rPr>
      </w:pPr>
      <w:r w:rsidRPr="004A2565">
        <w:rPr>
          <w:rFonts w:cs="Times New Roman"/>
          <w:lang w:val="en-US"/>
        </w:rPr>
        <w:t>3.</w:t>
      </w:r>
      <w:r w:rsidRPr="004A2565">
        <w:rPr>
          <w:rFonts w:cs="Times New Roman"/>
          <w:lang w:val="en-US"/>
        </w:rPr>
        <w:tab/>
        <w:t xml:space="preserve">Di Toro, G., Goldsby, D. L. &amp; Tullis, T. E. Friction falls towards zero in quartz rock as slip velocity approaches seismic rates. </w:t>
      </w:r>
      <w:r w:rsidRPr="004A2565">
        <w:rPr>
          <w:rFonts w:cs="Times New Roman"/>
          <w:i/>
          <w:iCs/>
        </w:rPr>
        <w:t>Nature</w:t>
      </w:r>
      <w:r w:rsidRPr="004A2565">
        <w:rPr>
          <w:rFonts w:cs="Times New Roman"/>
        </w:rPr>
        <w:t xml:space="preserve"> </w:t>
      </w:r>
      <w:r w:rsidRPr="004A2565">
        <w:rPr>
          <w:rFonts w:cs="Times New Roman"/>
          <w:b/>
          <w:bCs/>
        </w:rPr>
        <w:t>427</w:t>
      </w:r>
      <w:r w:rsidRPr="004A2565">
        <w:rPr>
          <w:rFonts w:cs="Times New Roman"/>
        </w:rPr>
        <w:t>, 436–439 (2004).</w:t>
      </w:r>
    </w:p>
    <w:p w14:paraId="01EC82E8" w14:textId="77777777" w:rsidR="004A2565" w:rsidRPr="004A2565" w:rsidRDefault="004A2565" w:rsidP="004A2565">
      <w:pPr>
        <w:pStyle w:val="Bibliographie"/>
        <w:rPr>
          <w:rFonts w:cs="Times New Roman"/>
        </w:rPr>
      </w:pPr>
      <w:r w:rsidRPr="004A2565">
        <w:rPr>
          <w:rFonts w:cs="Times New Roman"/>
        </w:rPr>
        <w:t>4.</w:t>
      </w:r>
      <w:r w:rsidRPr="004A2565">
        <w:rPr>
          <w:rFonts w:cs="Times New Roman"/>
        </w:rPr>
        <w:tab/>
        <w:t xml:space="preserve">Di Toro, G. </w:t>
      </w:r>
      <w:r w:rsidRPr="004A2565">
        <w:rPr>
          <w:rFonts w:cs="Times New Roman"/>
          <w:i/>
          <w:iCs/>
        </w:rPr>
        <w:t>et al.</w:t>
      </w:r>
      <w:r w:rsidRPr="004A2565">
        <w:rPr>
          <w:rFonts w:cs="Times New Roman"/>
        </w:rPr>
        <w:t xml:space="preserve"> Fault lubrication during earthquakes. </w:t>
      </w:r>
      <w:r w:rsidRPr="004A2565">
        <w:rPr>
          <w:rFonts w:cs="Times New Roman"/>
          <w:i/>
          <w:iCs/>
        </w:rPr>
        <w:t>Nature</w:t>
      </w:r>
      <w:r w:rsidRPr="004A2565">
        <w:rPr>
          <w:rFonts w:cs="Times New Roman"/>
        </w:rPr>
        <w:t xml:space="preserve"> </w:t>
      </w:r>
      <w:r w:rsidRPr="004A2565">
        <w:rPr>
          <w:rFonts w:cs="Times New Roman"/>
          <w:b/>
          <w:bCs/>
        </w:rPr>
        <w:t>471</w:t>
      </w:r>
      <w:r w:rsidRPr="004A2565">
        <w:rPr>
          <w:rFonts w:cs="Times New Roman"/>
        </w:rPr>
        <w:t>, 494–498 (2011).</w:t>
      </w:r>
    </w:p>
    <w:p w14:paraId="69669C8D" w14:textId="77777777" w:rsidR="004A2565" w:rsidRPr="004A2565" w:rsidRDefault="004A2565" w:rsidP="004A2565">
      <w:pPr>
        <w:pStyle w:val="Bibliographie"/>
        <w:rPr>
          <w:rFonts w:cs="Times New Roman"/>
          <w:lang w:val="en-US"/>
        </w:rPr>
      </w:pPr>
      <w:r w:rsidRPr="004A2565">
        <w:rPr>
          <w:rFonts w:cs="Times New Roman"/>
        </w:rPr>
        <w:t>5.</w:t>
      </w:r>
      <w:r w:rsidRPr="004A2565">
        <w:rPr>
          <w:rFonts w:cs="Times New Roman"/>
        </w:rPr>
        <w:tab/>
        <w:t xml:space="preserve">Lin, W. </w:t>
      </w:r>
      <w:r w:rsidRPr="004A2565">
        <w:rPr>
          <w:rFonts w:cs="Times New Roman"/>
          <w:i/>
          <w:iCs/>
        </w:rPr>
        <w:t>et al.</w:t>
      </w:r>
      <w:r w:rsidRPr="004A2565">
        <w:rPr>
          <w:rFonts w:cs="Times New Roman"/>
        </w:rPr>
        <w:t xml:space="preserve"> </w:t>
      </w:r>
      <w:r w:rsidRPr="004A2565">
        <w:rPr>
          <w:rFonts w:cs="Times New Roman"/>
          <w:lang w:val="en-US"/>
        </w:rPr>
        <w:t xml:space="preserve">Stress State in the Largest Displacement Area of the 2011 Tohoku-Oki Earthquake. </w:t>
      </w:r>
      <w:r w:rsidRPr="004A2565">
        <w:rPr>
          <w:rFonts w:cs="Times New Roman"/>
          <w:i/>
          <w:iCs/>
          <w:lang w:val="en-US"/>
        </w:rPr>
        <w:t>Science</w:t>
      </w:r>
      <w:r w:rsidRPr="004A2565">
        <w:rPr>
          <w:rFonts w:cs="Times New Roman"/>
          <w:lang w:val="en-US"/>
        </w:rPr>
        <w:t xml:space="preserve"> </w:t>
      </w:r>
      <w:r w:rsidRPr="004A2565">
        <w:rPr>
          <w:rFonts w:cs="Times New Roman"/>
          <w:b/>
          <w:bCs/>
          <w:lang w:val="en-US"/>
        </w:rPr>
        <w:t>339</w:t>
      </w:r>
      <w:r w:rsidRPr="004A2565">
        <w:rPr>
          <w:rFonts w:cs="Times New Roman"/>
          <w:lang w:val="en-US"/>
        </w:rPr>
        <w:t>, 687–690 (2013).</w:t>
      </w:r>
    </w:p>
    <w:p w14:paraId="2090B5C1" w14:textId="77777777" w:rsidR="004A2565" w:rsidRPr="004A2565" w:rsidRDefault="004A2565" w:rsidP="004A2565">
      <w:pPr>
        <w:pStyle w:val="Bibliographie"/>
        <w:rPr>
          <w:rFonts w:cs="Times New Roman"/>
          <w:lang w:val="en-US"/>
        </w:rPr>
      </w:pPr>
      <w:r w:rsidRPr="004A2565">
        <w:rPr>
          <w:rFonts w:cs="Times New Roman"/>
          <w:lang w:val="en-US"/>
        </w:rPr>
        <w:t>6.</w:t>
      </w:r>
      <w:r w:rsidRPr="004A2565">
        <w:rPr>
          <w:rFonts w:cs="Times New Roman"/>
          <w:lang w:val="en-US"/>
        </w:rPr>
        <w:tab/>
        <w:t xml:space="preserve">Yoshida, K. </w:t>
      </w:r>
      <w:r w:rsidRPr="004A2565">
        <w:rPr>
          <w:rFonts w:cs="Times New Roman"/>
          <w:i/>
          <w:iCs/>
          <w:lang w:val="en-US"/>
        </w:rPr>
        <w:t>et al.</w:t>
      </w:r>
      <w:r w:rsidRPr="004A2565">
        <w:rPr>
          <w:rFonts w:cs="Times New Roman"/>
          <w:lang w:val="en-US"/>
        </w:rPr>
        <w:t xml:space="preserve"> Stress before and after the 2011 great Tohoku-oki earthquake and induced earthquakes in inland areas of eastern Japan: STRESS CHANGE BY 2011 TOHOKU EARTHQUAKE. </w:t>
      </w:r>
      <w:r w:rsidRPr="004A2565">
        <w:rPr>
          <w:rFonts w:cs="Times New Roman"/>
          <w:i/>
          <w:iCs/>
          <w:lang w:val="en-US"/>
        </w:rPr>
        <w:t>Geophys. Res. Lett.</w:t>
      </w:r>
      <w:r w:rsidRPr="004A2565">
        <w:rPr>
          <w:rFonts w:cs="Times New Roman"/>
          <w:lang w:val="en-US"/>
        </w:rPr>
        <w:t xml:space="preserve"> </w:t>
      </w:r>
      <w:r w:rsidRPr="004A2565">
        <w:rPr>
          <w:rFonts w:cs="Times New Roman"/>
          <w:b/>
          <w:bCs/>
          <w:lang w:val="en-US"/>
        </w:rPr>
        <w:t>39</w:t>
      </w:r>
      <w:r w:rsidRPr="004A2565">
        <w:rPr>
          <w:rFonts w:cs="Times New Roman"/>
          <w:lang w:val="en-US"/>
        </w:rPr>
        <w:t>, (2012).</w:t>
      </w:r>
    </w:p>
    <w:p w14:paraId="6A996023" w14:textId="77777777" w:rsidR="004A2565" w:rsidRPr="004A2565" w:rsidRDefault="004A2565" w:rsidP="004A2565">
      <w:pPr>
        <w:pStyle w:val="Bibliographie"/>
        <w:rPr>
          <w:rFonts w:cs="Times New Roman"/>
          <w:lang w:val="en-US"/>
        </w:rPr>
      </w:pPr>
      <w:r w:rsidRPr="004A2565">
        <w:rPr>
          <w:rFonts w:cs="Times New Roman"/>
          <w:lang w:val="en-US"/>
        </w:rPr>
        <w:t>7.</w:t>
      </w:r>
      <w:r w:rsidRPr="004A2565">
        <w:rPr>
          <w:rFonts w:cs="Times New Roman"/>
          <w:lang w:val="en-US"/>
        </w:rPr>
        <w:tab/>
        <w:t xml:space="preserve">Hardebeck, J. L. Coseismic and postseismic stress rotations due to great subduction zone earthquakes: STRESS ROTATIONS IN SUBDUCTION ZONES. </w:t>
      </w:r>
      <w:r w:rsidRPr="004A2565">
        <w:rPr>
          <w:rFonts w:cs="Times New Roman"/>
          <w:i/>
          <w:iCs/>
          <w:lang w:val="en-US"/>
        </w:rPr>
        <w:t>Geophys. Res. Lett.</w:t>
      </w:r>
      <w:r w:rsidRPr="004A2565">
        <w:rPr>
          <w:rFonts w:cs="Times New Roman"/>
          <w:lang w:val="en-US"/>
        </w:rPr>
        <w:t xml:space="preserve"> </w:t>
      </w:r>
      <w:r w:rsidRPr="004A2565">
        <w:rPr>
          <w:rFonts w:cs="Times New Roman"/>
          <w:b/>
          <w:bCs/>
          <w:lang w:val="en-US"/>
        </w:rPr>
        <w:t>39</w:t>
      </w:r>
      <w:r w:rsidRPr="004A2565">
        <w:rPr>
          <w:rFonts w:cs="Times New Roman"/>
          <w:lang w:val="en-US"/>
        </w:rPr>
        <w:t>, (2012).</w:t>
      </w:r>
    </w:p>
    <w:p w14:paraId="190A134E" w14:textId="77777777" w:rsidR="004A2565" w:rsidRPr="004A2565" w:rsidRDefault="004A2565" w:rsidP="004A2565">
      <w:pPr>
        <w:pStyle w:val="Bibliographie"/>
        <w:rPr>
          <w:rFonts w:cs="Times New Roman"/>
          <w:lang w:val="en-US"/>
        </w:rPr>
      </w:pPr>
      <w:r w:rsidRPr="004A2565">
        <w:rPr>
          <w:rFonts w:cs="Times New Roman"/>
          <w:lang w:val="en-US"/>
        </w:rPr>
        <w:t>8.</w:t>
      </w:r>
      <w:r w:rsidRPr="004A2565">
        <w:rPr>
          <w:rFonts w:cs="Times New Roman"/>
          <w:lang w:val="en-US"/>
        </w:rPr>
        <w:tab/>
        <w:t xml:space="preserve">Hasegawa, A. </w:t>
      </w:r>
      <w:r w:rsidRPr="004A2565">
        <w:rPr>
          <w:rFonts w:cs="Times New Roman"/>
          <w:i/>
          <w:iCs/>
          <w:lang w:val="en-US"/>
        </w:rPr>
        <w:t>et al.</w:t>
      </w:r>
      <w:r w:rsidRPr="004A2565">
        <w:rPr>
          <w:rFonts w:cs="Times New Roman"/>
          <w:lang w:val="en-US"/>
        </w:rPr>
        <w:t xml:space="preserve"> Change in stress field after the 2011 great Tohoku-Oki earthquake. </w:t>
      </w:r>
      <w:r w:rsidRPr="004A2565">
        <w:rPr>
          <w:rFonts w:cs="Times New Roman"/>
          <w:i/>
          <w:iCs/>
          <w:lang w:val="en-US"/>
        </w:rPr>
        <w:t>Earth Planet. Sci. Lett.</w:t>
      </w:r>
      <w:r w:rsidRPr="004A2565">
        <w:rPr>
          <w:rFonts w:cs="Times New Roman"/>
          <w:lang w:val="en-US"/>
        </w:rPr>
        <w:t xml:space="preserve"> </w:t>
      </w:r>
      <w:r w:rsidRPr="004A2565">
        <w:rPr>
          <w:rFonts w:cs="Times New Roman"/>
          <w:b/>
          <w:bCs/>
          <w:lang w:val="en-US"/>
        </w:rPr>
        <w:t>355–356</w:t>
      </w:r>
      <w:r w:rsidRPr="004A2565">
        <w:rPr>
          <w:rFonts w:cs="Times New Roman"/>
          <w:lang w:val="en-US"/>
        </w:rPr>
        <w:t>, 231–243 (2012).</w:t>
      </w:r>
    </w:p>
    <w:p w14:paraId="32936317" w14:textId="77777777" w:rsidR="004A2565" w:rsidRPr="004A2565" w:rsidRDefault="004A2565" w:rsidP="004A2565">
      <w:pPr>
        <w:pStyle w:val="Bibliographie"/>
        <w:rPr>
          <w:rFonts w:cs="Times New Roman"/>
          <w:lang w:val="en-US"/>
        </w:rPr>
      </w:pPr>
      <w:r w:rsidRPr="004A2565">
        <w:rPr>
          <w:rFonts w:cs="Times New Roman"/>
          <w:lang w:val="en-US"/>
        </w:rPr>
        <w:t>9.</w:t>
      </w:r>
      <w:r w:rsidRPr="004A2565">
        <w:rPr>
          <w:rFonts w:cs="Times New Roman"/>
          <w:lang w:val="en-US"/>
        </w:rPr>
        <w:tab/>
        <w:t xml:space="preserve">Ujiie, K., Yamaguchi, H., Sakaguchi, A. &amp; Toh, S. Pseudotachylytes in an ancient accretionary complex and implications for melt lubrication during subduction zone earthquakes. </w:t>
      </w:r>
      <w:r w:rsidRPr="004A2565">
        <w:rPr>
          <w:rFonts w:cs="Times New Roman"/>
          <w:i/>
          <w:iCs/>
          <w:lang w:val="en-US"/>
        </w:rPr>
        <w:t>J. Struct. Geol.</w:t>
      </w:r>
      <w:r w:rsidRPr="004A2565">
        <w:rPr>
          <w:rFonts w:cs="Times New Roman"/>
          <w:lang w:val="en-US"/>
        </w:rPr>
        <w:t xml:space="preserve"> </w:t>
      </w:r>
      <w:r w:rsidRPr="004A2565">
        <w:rPr>
          <w:rFonts w:cs="Times New Roman"/>
          <w:b/>
          <w:bCs/>
          <w:lang w:val="en-US"/>
        </w:rPr>
        <w:t>29</w:t>
      </w:r>
      <w:r w:rsidRPr="004A2565">
        <w:rPr>
          <w:rFonts w:cs="Times New Roman"/>
          <w:lang w:val="en-US"/>
        </w:rPr>
        <w:t>, 599–613 (2007).</w:t>
      </w:r>
    </w:p>
    <w:p w14:paraId="5B4D3555" w14:textId="77777777" w:rsidR="004A2565" w:rsidRPr="004A2565" w:rsidRDefault="004A2565" w:rsidP="004A2565">
      <w:pPr>
        <w:pStyle w:val="Bibliographie"/>
        <w:rPr>
          <w:rFonts w:cs="Times New Roman"/>
          <w:lang w:val="en-US"/>
        </w:rPr>
      </w:pPr>
      <w:r w:rsidRPr="004A2565">
        <w:rPr>
          <w:rFonts w:cs="Times New Roman"/>
          <w:lang w:val="en-US"/>
        </w:rPr>
        <w:t>10.</w:t>
      </w:r>
      <w:r w:rsidRPr="004A2565">
        <w:rPr>
          <w:rFonts w:cs="Times New Roman"/>
          <w:lang w:val="en-US"/>
        </w:rPr>
        <w:tab/>
        <w:t xml:space="preserve">Mukoyoshi, H., Sakaguchi, A., Otsuki, K., Hirono, T. &amp; Soh, W. Co-seismic frictional melting along an out-of-sequence thrust in the Shimanto accretionary complex. Implications on the tsunamigenic potential of splay faults in modern subduction zones. </w:t>
      </w:r>
      <w:r w:rsidRPr="004A2565">
        <w:rPr>
          <w:rFonts w:cs="Times New Roman"/>
          <w:i/>
          <w:iCs/>
          <w:lang w:val="en-US"/>
        </w:rPr>
        <w:t>Earth Planet. Sci. Lett.</w:t>
      </w:r>
      <w:r w:rsidRPr="004A2565">
        <w:rPr>
          <w:rFonts w:cs="Times New Roman"/>
          <w:lang w:val="en-US"/>
        </w:rPr>
        <w:t xml:space="preserve"> </w:t>
      </w:r>
      <w:r w:rsidRPr="004A2565">
        <w:rPr>
          <w:rFonts w:cs="Times New Roman"/>
          <w:b/>
          <w:bCs/>
          <w:lang w:val="en-US"/>
        </w:rPr>
        <w:t>245</w:t>
      </w:r>
      <w:r w:rsidRPr="004A2565">
        <w:rPr>
          <w:rFonts w:cs="Times New Roman"/>
          <w:lang w:val="en-US"/>
        </w:rPr>
        <w:t>, 330–343 (2006).</w:t>
      </w:r>
    </w:p>
    <w:p w14:paraId="3C03DEC3" w14:textId="77777777" w:rsidR="004A2565" w:rsidRPr="004A2565" w:rsidRDefault="004A2565" w:rsidP="004A2565">
      <w:pPr>
        <w:pStyle w:val="Bibliographie"/>
        <w:rPr>
          <w:rFonts w:cs="Times New Roman"/>
          <w:lang w:val="en-US"/>
        </w:rPr>
      </w:pPr>
      <w:r w:rsidRPr="004A2565">
        <w:rPr>
          <w:rFonts w:cs="Times New Roman"/>
          <w:lang w:val="en-US"/>
        </w:rPr>
        <w:lastRenderedPageBreak/>
        <w:t>11.</w:t>
      </w:r>
      <w:r w:rsidRPr="004A2565">
        <w:rPr>
          <w:rFonts w:cs="Times New Roman"/>
          <w:lang w:val="en-US"/>
        </w:rPr>
        <w:tab/>
        <w:t xml:space="preserve">Ide, S. &amp; Takeo, M. Determination of constitutive relations of fault slip based on seismic wave analysis. </w:t>
      </w:r>
      <w:r w:rsidRPr="004A2565">
        <w:rPr>
          <w:rFonts w:cs="Times New Roman"/>
          <w:i/>
          <w:iCs/>
          <w:lang w:val="en-US"/>
        </w:rPr>
        <w:t>J. Geophys. Res. Solid Earth</w:t>
      </w:r>
      <w:r w:rsidRPr="004A2565">
        <w:rPr>
          <w:rFonts w:cs="Times New Roman"/>
          <w:lang w:val="en-US"/>
        </w:rPr>
        <w:t xml:space="preserve"> </w:t>
      </w:r>
      <w:r w:rsidRPr="004A2565">
        <w:rPr>
          <w:rFonts w:cs="Times New Roman"/>
          <w:b/>
          <w:bCs/>
          <w:lang w:val="en-US"/>
        </w:rPr>
        <w:t>102</w:t>
      </w:r>
      <w:r w:rsidRPr="004A2565">
        <w:rPr>
          <w:rFonts w:cs="Times New Roman"/>
          <w:lang w:val="en-US"/>
        </w:rPr>
        <w:t>, 27379–27391 (1997).</w:t>
      </w:r>
    </w:p>
    <w:p w14:paraId="7B85B35B" w14:textId="77777777" w:rsidR="004A2565" w:rsidRPr="004A2565" w:rsidRDefault="004A2565" w:rsidP="004A2565">
      <w:pPr>
        <w:pStyle w:val="Bibliographie"/>
        <w:rPr>
          <w:rFonts w:cs="Times New Roman"/>
          <w:lang w:val="en-US"/>
        </w:rPr>
      </w:pPr>
      <w:r w:rsidRPr="004A2565">
        <w:rPr>
          <w:rFonts w:cs="Times New Roman"/>
          <w:lang w:val="en-US"/>
        </w:rPr>
        <w:t>12.</w:t>
      </w:r>
      <w:r w:rsidRPr="004A2565">
        <w:rPr>
          <w:rFonts w:cs="Times New Roman"/>
          <w:lang w:val="en-US"/>
        </w:rPr>
        <w:tab/>
        <w:t xml:space="preserve">Spray, J. G. Pseudotachylyte controversy: Fact or friction? </w:t>
      </w:r>
      <w:r w:rsidRPr="004A2565">
        <w:rPr>
          <w:rFonts w:cs="Times New Roman"/>
          <w:i/>
          <w:iCs/>
          <w:lang w:val="en-US"/>
        </w:rPr>
        <w:t>Geology</w:t>
      </w:r>
      <w:r w:rsidRPr="004A2565">
        <w:rPr>
          <w:rFonts w:cs="Times New Roman"/>
          <w:lang w:val="en-US"/>
        </w:rPr>
        <w:t xml:space="preserve"> </w:t>
      </w:r>
      <w:r w:rsidRPr="004A2565">
        <w:rPr>
          <w:rFonts w:cs="Times New Roman"/>
          <w:b/>
          <w:bCs/>
          <w:lang w:val="en-US"/>
        </w:rPr>
        <w:t>23</w:t>
      </w:r>
      <w:r w:rsidRPr="004A2565">
        <w:rPr>
          <w:rFonts w:cs="Times New Roman"/>
          <w:lang w:val="en-US"/>
        </w:rPr>
        <w:t>, 1119 (1995).</w:t>
      </w:r>
    </w:p>
    <w:p w14:paraId="533EA610" w14:textId="77777777" w:rsidR="004A2565" w:rsidRPr="004A2565" w:rsidRDefault="004A2565" w:rsidP="004A2565">
      <w:pPr>
        <w:pStyle w:val="Bibliographie"/>
        <w:rPr>
          <w:rFonts w:cs="Times New Roman"/>
          <w:lang w:val="en-US"/>
        </w:rPr>
      </w:pPr>
      <w:r w:rsidRPr="004A2565">
        <w:rPr>
          <w:rFonts w:cs="Times New Roman"/>
          <w:lang w:val="en-US"/>
        </w:rPr>
        <w:t>13.</w:t>
      </w:r>
      <w:r w:rsidRPr="004A2565">
        <w:rPr>
          <w:rFonts w:cs="Times New Roman"/>
          <w:lang w:val="en-US"/>
        </w:rPr>
        <w:tab/>
        <w:t xml:space="preserve">Turcotte, Donald. L. &amp; Schubert, G. </w:t>
      </w:r>
      <w:r w:rsidRPr="004A2565">
        <w:rPr>
          <w:rFonts w:cs="Times New Roman"/>
          <w:i/>
          <w:iCs/>
          <w:lang w:val="en-US"/>
        </w:rPr>
        <w:t>Geodynamics</w:t>
      </w:r>
      <w:r w:rsidRPr="004A2565">
        <w:rPr>
          <w:rFonts w:cs="Times New Roman"/>
          <w:lang w:val="en-US"/>
        </w:rPr>
        <w:t>. (Cambridge, 1982).</w:t>
      </w:r>
    </w:p>
    <w:p w14:paraId="2575A555" w14:textId="77777777" w:rsidR="004A2565" w:rsidRPr="004A2565" w:rsidRDefault="004A2565" w:rsidP="004A2565">
      <w:pPr>
        <w:pStyle w:val="Bibliographie"/>
        <w:rPr>
          <w:rFonts w:cs="Times New Roman"/>
          <w:lang w:val="en-US"/>
        </w:rPr>
      </w:pPr>
      <w:r w:rsidRPr="004A2565">
        <w:rPr>
          <w:rFonts w:cs="Times New Roman"/>
          <w:lang w:val="en-US"/>
        </w:rPr>
        <w:t>14.</w:t>
      </w:r>
      <w:r w:rsidRPr="004A2565">
        <w:rPr>
          <w:rFonts w:cs="Times New Roman"/>
          <w:lang w:val="en-US"/>
        </w:rPr>
        <w:tab/>
        <w:t xml:space="preserve">Wei, S., Graves, R., Helmberger, D., Avouac, J.-P. &amp; Jiang, J. Sources of shaking and flooding during the Tohoku-Oki earthquake: A mixture of rupture styles. </w:t>
      </w:r>
      <w:r w:rsidRPr="004A2565">
        <w:rPr>
          <w:rFonts w:cs="Times New Roman"/>
          <w:i/>
          <w:iCs/>
          <w:lang w:val="en-US"/>
        </w:rPr>
        <w:t>Earth Planet. Sci. Lett.</w:t>
      </w:r>
      <w:r w:rsidRPr="004A2565">
        <w:rPr>
          <w:rFonts w:cs="Times New Roman"/>
          <w:lang w:val="en-US"/>
        </w:rPr>
        <w:t xml:space="preserve"> </w:t>
      </w:r>
      <w:r w:rsidRPr="004A2565">
        <w:rPr>
          <w:rFonts w:cs="Times New Roman"/>
          <w:b/>
          <w:bCs/>
          <w:lang w:val="en-US"/>
        </w:rPr>
        <w:t>333–334</w:t>
      </w:r>
      <w:r w:rsidRPr="004A2565">
        <w:rPr>
          <w:rFonts w:cs="Times New Roman"/>
          <w:lang w:val="en-US"/>
        </w:rPr>
        <w:t>, 91–100 (2012).</w:t>
      </w:r>
    </w:p>
    <w:p w14:paraId="2D546879" w14:textId="77777777" w:rsidR="004A2565" w:rsidRPr="004A2565" w:rsidRDefault="004A2565" w:rsidP="004A2565">
      <w:pPr>
        <w:pStyle w:val="Bibliographie"/>
        <w:rPr>
          <w:rFonts w:cs="Times New Roman"/>
          <w:lang w:val="en-US"/>
        </w:rPr>
      </w:pPr>
      <w:r w:rsidRPr="004A2565">
        <w:rPr>
          <w:rFonts w:cs="Times New Roman"/>
          <w:lang w:val="en-US"/>
        </w:rPr>
        <w:t>15.</w:t>
      </w:r>
      <w:r w:rsidRPr="004A2565">
        <w:rPr>
          <w:rFonts w:cs="Times New Roman"/>
          <w:lang w:val="en-US"/>
        </w:rPr>
        <w:tab/>
        <w:t xml:space="preserve">Kanamori, H. &amp; Heaton, T. H. Microscopic and macroscopic physics of earthquakes. in </w:t>
      </w:r>
      <w:r w:rsidRPr="004A2565">
        <w:rPr>
          <w:rFonts w:cs="Times New Roman"/>
          <w:i/>
          <w:iCs/>
          <w:lang w:val="en-US"/>
        </w:rPr>
        <w:t>Geophysical Monograph Series</w:t>
      </w:r>
      <w:r w:rsidRPr="004A2565">
        <w:rPr>
          <w:rFonts w:cs="Times New Roman"/>
          <w:lang w:val="en-US"/>
        </w:rPr>
        <w:t xml:space="preserve"> (eds. Rundle, J. B., Turcotte, D. L. &amp; Klein, W.) vol. 120 147–163 (American Geophysical Union, 2000).</w:t>
      </w:r>
    </w:p>
    <w:p w14:paraId="1A38C572" w14:textId="77777777" w:rsidR="004A2565" w:rsidRPr="004A2565" w:rsidRDefault="004A2565" w:rsidP="004A2565">
      <w:pPr>
        <w:pStyle w:val="Bibliographie"/>
        <w:rPr>
          <w:rFonts w:cs="Times New Roman"/>
          <w:lang w:val="en-US"/>
        </w:rPr>
      </w:pPr>
      <w:r w:rsidRPr="004A2565">
        <w:rPr>
          <w:rFonts w:cs="Times New Roman"/>
          <w:lang w:val="en-US"/>
        </w:rPr>
        <w:t>16.</w:t>
      </w:r>
      <w:r w:rsidRPr="004A2565">
        <w:rPr>
          <w:rFonts w:cs="Times New Roman"/>
          <w:lang w:val="en-US"/>
        </w:rPr>
        <w:tab/>
        <w:t xml:space="preserve">Sibson, R. H. Generation of Pseudotachylyte by Ancient Seismic Faulting. </w:t>
      </w:r>
      <w:r w:rsidRPr="004A2565">
        <w:rPr>
          <w:rFonts w:cs="Times New Roman"/>
          <w:i/>
          <w:iCs/>
          <w:lang w:val="en-US"/>
        </w:rPr>
        <w:t>Geophys. J. Int.</w:t>
      </w:r>
      <w:r w:rsidRPr="004A2565">
        <w:rPr>
          <w:rFonts w:cs="Times New Roman"/>
          <w:lang w:val="en-US"/>
        </w:rPr>
        <w:t xml:space="preserve"> </w:t>
      </w:r>
      <w:r w:rsidRPr="004A2565">
        <w:rPr>
          <w:rFonts w:cs="Times New Roman"/>
          <w:b/>
          <w:bCs/>
          <w:lang w:val="en-US"/>
        </w:rPr>
        <w:t>43</w:t>
      </w:r>
      <w:r w:rsidRPr="004A2565">
        <w:rPr>
          <w:rFonts w:cs="Times New Roman"/>
          <w:lang w:val="en-US"/>
        </w:rPr>
        <w:t>, 775–794 (1975).</w:t>
      </w:r>
    </w:p>
    <w:p w14:paraId="0EFB77F0" w14:textId="77777777" w:rsidR="004A2565" w:rsidRPr="004A2565" w:rsidRDefault="004A2565" w:rsidP="004A2565">
      <w:pPr>
        <w:pStyle w:val="Bibliographie"/>
        <w:rPr>
          <w:rFonts w:cs="Times New Roman"/>
          <w:lang w:val="en-US"/>
        </w:rPr>
      </w:pPr>
      <w:r w:rsidRPr="004A2565">
        <w:rPr>
          <w:rFonts w:cs="Times New Roman"/>
          <w:lang w:val="en-US"/>
        </w:rPr>
        <w:t>17.</w:t>
      </w:r>
      <w:r w:rsidRPr="004A2565">
        <w:rPr>
          <w:rFonts w:cs="Times New Roman"/>
          <w:lang w:val="en-US"/>
        </w:rPr>
        <w:tab/>
        <w:t xml:space="preserve">Tsutsumi, A. &amp; Shimamoto, T. High-velocity frictional properties of gabbro. </w:t>
      </w:r>
      <w:r w:rsidRPr="004A2565">
        <w:rPr>
          <w:rFonts w:cs="Times New Roman"/>
          <w:i/>
          <w:iCs/>
          <w:lang w:val="en-US"/>
        </w:rPr>
        <w:t>Geophys. Res. Lett.</w:t>
      </w:r>
      <w:r w:rsidRPr="004A2565">
        <w:rPr>
          <w:rFonts w:cs="Times New Roman"/>
          <w:lang w:val="en-US"/>
        </w:rPr>
        <w:t xml:space="preserve"> </w:t>
      </w:r>
      <w:r w:rsidRPr="004A2565">
        <w:rPr>
          <w:rFonts w:cs="Times New Roman"/>
          <w:b/>
          <w:bCs/>
          <w:lang w:val="en-US"/>
        </w:rPr>
        <w:t>24</w:t>
      </w:r>
      <w:r w:rsidRPr="004A2565">
        <w:rPr>
          <w:rFonts w:cs="Times New Roman"/>
          <w:lang w:val="en-US"/>
        </w:rPr>
        <w:t>, 699–702 (1997).</w:t>
      </w:r>
    </w:p>
    <w:p w14:paraId="6034FDA3" w14:textId="77777777" w:rsidR="004A2565" w:rsidRPr="004A2565" w:rsidRDefault="004A2565" w:rsidP="004A2565">
      <w:pPr>
        <w:pStyle w:val="Bibliographie"/>
        <w:rPr>
          <w:rFonts w:cs="Times New Roman"/>
          <w:lang w:val="en-US"/>
        </w:rPr>
      </w:pPr>
      <w:r w:rsidRPr="004A2565">
        <w:rPr>
          <w:rFonts w:cs="Times New Roman"/>
          <w:lang w:val="en-US"/>
        </w:rPr>
        <w:t>18.</w:t>
      </w:r>
      <w:r w:rsidRPr="004A2565">
        <w:rPr>
          <w:rFonts w:cs="Times New Roman"/>
          <w:lang w:val="en-US"/>
        </w:rPr>
        <w:tab/>
        <w:t xml:space="preserve">Madariaga, R. &amp; Olsen, K. B. </w:t>
      </w:r>
      <w:r w:rsidRPr="004A2565">
        <w:rPr>
          <w:rFonts w:cs="Times New Roman"/>
          <w:i/>
          <w:iCs/>
          <w:lang w:val="en-US"/>
        </w:rPr>
        <w:t>Earthquake dynamics, International handbook of earthquake and engineering seismology</w:t>
      </w:r>
      <w:r w:rsidRPr="004A2565">
        <w:rPr>
          <w:rFonts w:cs="Times New Roman"/>
          <w:lang w:val="en-US"/>
        </w:rPr>
        <w:t>. vol. 81A (Elsevier, 2012).</w:t>
      </w:r>
    </w:p>
    <w:p w14:paraId="6BF3530B" w14:textId="77777777" w:rsidR="004A2565" w:rsidRPr="004A2565" w:rsidRDefault="004A2565" w:rsidP="004A2565">
      <w:pPr>
        <w:pStyle w:val="Bibliographie"/>
        <w:rPr>
          <w:rFonts w:cs="Times New Roman"/>
          <w:lang w:val="en-US"/>
        </w:rPr>
      </w:pPr>
      <w:r w:rsidRPr="004A2565">
        <w:rPr>
          <w:rFonts w:cs="Times New Roman"/>
          <w:lang w:val="en-US"/>
        </w:rPr>
        <w:t>19.</w:t>
      </w:r>
      <w:r w:rsidRPr="004A2565">
        <w:rPr>
          <w:rFonts w:cs="Times New Roman"/>
          <w:lang w:val="en-US"/>
        </w:rPr>
        <w:tab/>
        <w:t xml:space="preserve">Kanamori, H. &amp; Brodsky, E. E. The physics of earthquakes. </w:t>
      </w:r>
      <w:r w:rsidRPr="004A2565">
        <w:rPr>
          <w:rFonts w:cs="Times New Roman"/>
          <w:i/>
          <w:iCs/>
          <w:lang w:val="en-US"/>
        </w:rPr>
        <w:t>Rep. Prog. Phys.</w:t>
      </w:r>
      <w:r w:rsidRPr="004A2565">
        <w:rPr>
          <w:rFonts w:cs="Times New Roman"/>
          <w:lang w:val="en-US"/>
        </w:rPr>
        <w:t xml:space="preserve"> </w:t>
      </w:r>
      <w:r w:rsidRPr="004A2565">
        <w:rPr>
          <w:rFonts w:cs="Times New Roman"/>
          <w:b/>
          <w:bCs/>
          <w:lang w:val="en-US"/>
        </w:rPr>
        <w:t>67</w:t>
      </w:r>
      <w:r w:rsidRPr="004A2565">
        <w:rPr>
          <w:rFonts w:cs="Times New Roman"/>
          <w:lang w:val="en-US"/>
        </w:rPr>
        <w:t>, 1429–1496 (2004).</w:t>
      </w:r>
    </w:p>
    <w:p w14:paraId="70C5BE5C" w14:textId="77777777" w:rsidR="004A2565" w:rsidRPr="004A2565" w:rsidRDefault="004A2565" w:rsidP="004A2565">
      <w:pPr>
        <w:pStyle w:val="Bibliographie"/>
        <w:rPr>
          <w:rFonts w:cs="Times New Roman"/>
          <w:lang w:val="en-US"/>
        </w:rPr>
      </w:pPr>
      <w:r w:rsidRPr="004A2565">
        <w:rPr>
          <w:rFonts w:cs="Times New Roman"/>
          <w:lang w:val="en-US"/>
        </w:rPr>
        <w:t>20.</w:t>
      </w:r>
      <w:r w:rsidRPr="004A2565">
        <w:rPr>
          <w:rFonts w:cs="Times New Roman"/>
          <w:lang w:val="en-US"/>
        </w:rPr>
        <w:tab/>
        <w:t xml:space="preserve">Sibson, R. H. Earthquake faulting as a structural process. </w:t>
      </w:r>
      <w:r w:rsidRPr="004A2565">
        <w:rPr>
          <w:rFonts w:cs="Times New Roman"/>
          <w:i/>
          <w:iCs/>
          <w:lang w:val="en-US"/>
        </w:rPr>
        <w:t>J. Struct. Geol.</w:t>
      </w:r>
      <w:r w:rsidRPr="004A2565">
        <w:rPr>
          <w:rFonts w:cs="Times New Roman"/>
          <w:lang w:val="en-US"/>
        </w:rPr>
        <w:t xml:space="preserve"> </w:t>
      </w:r>
      <w:r w:rsidRPr="004A2565">
        <w:rPr>
          <w:rFonts w:cs="Times New Roman"/>
          <w:b/>
          <w:bCs/>
          <w:lang w:val="en-US"/>
        </w:rPr>
        <w:t>11</w:t>
      </w:r>
      <w:r w:rsidRPr="004A2565">
        <w:rPr>
          <w:rFonts w:cs="Times New Roman"/>
          <w:lang w:val="en-US"/>
        </w:rPr>
        <w:t>, 1–14 (1989).</w:t>
      </w:r>
    </w:p>
    <w:p w14:paraId="6D24C8E1" w14:textId="77777777" w:rsidR="004A2565" w:rsidRPr="004A2565" w:rsidRDefault="004A2565" w:rsidP="004A2565">
      <w:pPr>
        <w:pStyle w:val="Bibliographie"/>
        <w:rPr>
          <w:rFonts w:cs="Times New Roman"/>
          <w:lang w:val="en-US"/>
        </w:rPr>
      </w:pPr>
      <w:r w:rsidRPr="004A2565">
        <w:rPr>
          <w:rFonts w:cs="Times New Roman"/>
          <w:lang w:val="en-US"/>
        </w:rPr>
        <w:t>21.</w:t>
      </w:r>
      <w:r w:rsidRPr="004A2565">
        <w:rPr>
          <w:rFonts w:cs="Times New Roman"/>
          <w:lang w:val="en-US"/>
        </w:rPr>
        <w:tab/>
        <w:t xml:space="preserve">Hasegawa, R. </w:t>
      </w:r>
      <w:r w:rsidRPr="004A2565">
        <w:rPr>
          <w:rFonts w:cs="Times New Roman"/>
          <w:i/>
          <w:iCs/>
          <w:lang w:val="en-US"/>
        </w:rPr>
        <w:t>et al.</w:t>
      </w:r>
      <w:r w:rsidRPr="004A2565">
        <w:rPr>
          <w:rFonts w:cs="Times New Roman"/>
          <w:lang w:val="en-US"/>
        </w:rPr>
        <w:t xml:space="preserve"> Postseismic fluid discharge chemically recorded in altered pseudotachylyte discovered from an ancient megasplay fault: an example from the Nobeoka Thrust in the Shimanto accretionary complex, SW Japan. </w:t>
      </w:r>
      <w:r w:rsidRPr="004A2565">
        <w:rPr>
          <w:rFonts w:cs="Times New Roman"/>
          <w:i/>
          <w:iCs/>
          <w:lang w:val="en-US"/>
        </w:rPr>
        <w:t>Prog. Earth Planet. Sci.</w:t>
      </w:r>
      <w:r w:rsidRPr="004A2565">
        <w:rPr>
          <w:rFonts w:cs="Times New Roman"/>
          <w:lang w:val="en-US"/>
        </w:rPr>
        <w:t xml:space="preserve"> </w:t>
      </w:r>
      <w:r w:rsidRPr="004A2565">
        <w:rPr>
          <w:rFonts w:cs="Times New Roman"/>
          <w:b/>
          <w:bCs/>
          <w:lang w:val="en-US"/>
        </w:rPr>
        <w:t>6</w:t>
      </w:r>
      <w:r w:rsidRPr="004A2565">
        <w:rPr>
          <w:rFonts w:cs="Times New Roman"/>
          <w:lang w:val="en-US"/>
        </w:rPr>
        <w:t>, (2019).</w:t>
      </w:r>
    </w:p>
    <w:p w14:paraId="373B4A83" w14:textId="77777777" w:rsidR="004A2565" w:rsidRPr="004A2565" w:rsidRDefault="004A2565" w:rsidP="004A2565">
      <w:pPr>
        <w:pStyle w:val="Bibliographie"/>
        <w:rPr>
          <w:rFonts w:cs="Times New Roman"/>
          <w:lang w:val="en-US"/>
        </w:rPr>
      </w:pPr>
      <w:r w:rsidRPr="004A2565">
        <w:rPr>
          <w:rFonts w:cs="Times New Roman"/>
          <w:lang w:val="en-US"/>
        </w:rPr>
        <w:lastRenderedPageBreak/>
        <w:t>22.</w:t>
      </w:r>
      <w:r w:rsidRPr="004A2565">
        <w:rPr>
          <w:rFonts w:cs="Times New Roman"/>
          <w:lang w:val="en-US"/>
        </w:rPr>
        <w:tab/>
        <w:t xml:space="preserve">Di Toro, G. &amp; Pennacchioni, G. Fault plane processes and mesoscopic structure of a strong-type seismogenic fault in tonalites (Adamello batholith, Southern Alps). </w:t>
      </w:r>
      <w:r w:rsidRPr="004A2565">
        <w:rPr>
          <w:rFonts w:cs="Times New Roman"/>
          <w:i/>
          <w:iCs/>
          <w:lang w:val="en-US"/>
        </w:rPr>
        <w:t>Tectonophysics</w:t>
      </w:r>
      <w:r w:rsidRPr="004A2565">
        <w:rPr>
          <w:rFonts w:cs="Times New Roman"/>
          <w:lang w:val="en-US"/>
        </w:rPr>
        <w:t xml:space="preserve"> </w:t>
      </w:r>
      <w:r w:rsidRPr="004A2565">
        <w:rPr>
          <w:rFonts w:cs="Times New Roman"/>
          <w:b/>
          <w:bCs/>
          <w:lang w:val="en-US"/>
        </w:rPr>
        <w:t>402</w:t>
      </w:r>
      <w:r w:rsidRPr="004A2565">
        <w:rPr>
          <w:rFonts w:cs="Times New Roman"/>
          <w:lang w:val="en-US"/>
        </w:rPr>
        <w:t>, 55–80 (2005).</w:t>
      </w:r>
    </w:p>
    <w:p w14:paraId="78A65748" w14:textId="77777777" w:rsidR="004A2565" w:rsidRPr="004A2565" w:rsidRDefault="004A2565" w:rsidP="004A2565">
      <w:pPr>
        <w:pStyle w:val="Bibliographie"/>
        <w:rPr>
          <w:rFonts w:cs="Times New Roman"/>
          <w:lang w:val="en-US"/>
        </w:rPr>
      </w:pPr>
      <w:r w:rsidRPr="004A2565">
        <w:rPr>
          <w:rFonts w:cs="Times New Roman"/>
          <w:lang w:val="en-US"/>
        </w:rPr>
        <w:t>23.</w:t>
      </w:r>
      <w:r w:rsidRPr="004A2565">
        <w:rPr>
          <w:rFonts w:cs="Times New Roman"/>
          <w:lang w:val="en-US"/>
        </w:rPr>
        <w:tab/>
        <w:t xml:space="preserve">Ma, K.-F. </w:t>
      </w:r>
      <w:r w:rsidRPr="004A2565">
        <w:rPr>
          <w:rFonts w:cs="Times New Roman"/>
          <w:i/>
          <w:iCs/>
          <w:lang w:val="en-US"/>
        </w:rPr>
        <w:t>et al.</w:t>
      </w:r>
      <w:r w:rsidRPr="004A2565">
        <w:rPr>
          <w:rFonts w:cs="Times New Roman"/>
          <w:lang w:val="en-US"/>
        </w:rPr>
        <w:t xml:space="preserve"> Slip zone and energetics of a large earthquake from the Taiwan Chelungpu-fault Drilling Project. </w:t>
      </w:r>
      <w:r w:rsidRPr="004A2565">
        <w:rPr>
          <w:rFonts w:cs="Times New Roman"/>
          <w:i/>
          <w:iCs/>
          <w:lang w:val="en-US"/>
        </w:rPr>
        <w:t>Nature</w:t>
      </w:r>
      <w:r w:rsidRPr="004A2565">
        <w:rPr>
          <w:rFonts w:cs="Times New Roman"/>
          <w:lang w:val="en-US"/>
        </w:rPr>
        <w:t xml:space="preserve"> </w:t>
      </w:r>
      <w:r w:rsidRPr="004A2565">
        <w:rPr>
          <w:rFonts w:cs="Times New Roman"/>
          <w:b/>
          <w:bCs/>
          <w:lang w:val="en-US"/>
        </w:rPr>
        <w:t>444</w:t>
      </w:r>
      <w:r w:rsidRPr="004A2565">
        <w:rPr>
          <w:rFonts w:cs="Times New Roman"/>
          <w:lang w:val="en-US"/>
        </w:rPr>
        <w:t>, 473–476 (2006).</w:t>
      </w:r>
    </w:p>
    <w:p w14:paraId="206F613D" w14:textId="77777777" w:rsidR="004A2565" w:rsidRPr="004A2565" w:rsidRDefault="004A2565" w:rsidP="004A2565">
      <w:pPr>
        <w:pStyle w:val="Bibliographie"/>
        <w:rPr>
          <w:rFonts w:cs="Times New Roman"/>
          <w:lang w:val="en-US"/>
        </w:rPr>
      </w:pPr>
      <w:r w:rsidRPr="004A2565">
        <w:rPr>
          <w:rFonts w:cs="Times New Roman"/>
          <w:lang w:val="en-US"/>
        </w:rPr>
        <w:t>24.</w:t>
      </w:r>
      <w:r w:rsidRPr="004A2565">
        <w:rPr>
          <w:rFonts w:cs="Times New Roman"/>
          <w:lang w:val="en-US"/>
        </w:rPr>
        <w:tab/>
        <w:t xml:space="preserve">Ujiie, K. &amp; Kimura, G. Earthquake faulting in subduction zones: insights from fault rocks in accretionary prisms. </w:t>
      </w:r>
      <w:r w:rsidRPr="004A2565">
        <w:rPr>
          <w:rFonts w:cs="Times New Roman"/>
          <w:i/>
          <w:iCs/>
          <w:lang w:val="en-US"/>
        </w:rPr>
        <w:t>Prog. Earth Planet. Sci.</w:t>
      </w:r>
      <w:r w:rsidRPr="004A2565">
        <w:rPr>
          <w:rFonts w:cs="Times New Roman"/>
          <w:lang w:val="en-US"/>
        </w:rPr>
        <w:t xml:space="preserve"> </w:t>
      </w:r>
      <w:r w:rsidRPr="004A2565">
        <w:rPr>
          <w:rFonts w:cs="Times New Roman"/>
          <w:b/>
          <w:bCs/>
          <w:lang w:val="en-US"/>
        </w:rPr>
        <w:t>1</w:t>
      </w:r>
      <w:r w:rsidRPr="004A2565">
        <w:rPr>
          <w:rFonts w:cs="Times New Roman"/>
          <w:lang w:val="en-US"/>
        </w:rPr>
        <w:t>, 7 (2014).</w:t>
      </w:r>
    </w:p>
    <w:p w14:paraId="6BF23334" w14:textId="77777777" w:rsidR="004A2565" w:rsidRPr="004A2565" w:rsidRDefault="004A2565" w:rsidP="004A2565">
      <w:pPr>
        <w:pStyle w:val="Bibliographie"/>
        <w:rPr>
          <w:rFonts w:cs="Times New Roman"/>
          <w:lang w:val="en-US"/>
        </w:rPr>
      </w:pPr>
      <w:r w:rsidRPr="004A2565">
        <w:rPr>
          <w:rFonts w:cs="Times New Roman"/>
          <w:lang w:val="en-US"/>
        </w:rPr>
        <w:t>25.</w:t>
      </w:r>
      <w:r w:rsidRPr="004A2565">
        <w:rPr>
          <w:rFonts w:cs="Times New Roman"/>
          <w:lang w:val="en-US"/>
        </w:rPr>
        <w:tab/>
        <w:t xml:space="preserve">Burnham, A. K. &amp; Sweeney, J. J. A chemical kinetic model of vitrinite maturation and reflectance. </w:t>
      </w:r>
      <w:r w:rsidRPr="004A2565">
        <w:rPr>
          <w:rFonts w:cs="Times New Roman"/>
          <w:i/>
          <w:iCs/>
          <w:lang w:val="en-US"/>
        </w:rPr>
        <w:t>Geochim. Cosmochim. Acta</w:t>
      </w:r>
      <w:r w:rsidRPr="004A2565">
        <w:rPr>
          <w:rFonts w:cs="Times New Roman"/>
          <w:lang w:val="en-US"/>
        </w:rPr>
        <w:t xml:space="preserve"> </w:t>
      </w:r>
      <w:r w:rsidRPr="004A2565">
        <w:rPr>
          <w:rFonts w:cs="Times New Roman"/>
          <w:b/>
          <w:bCs/>
          <w:lang w:val="en-US"/>
        </w:rPr>
        <w:t>53</w:t>
      </w:r>
      <w:r w:rsidRPr="004A2565">
        <w:rPr>
          <w:rFonts w:cs="Times New Roman"/>
          <w:lang w:val="en-US"/>
        </w:rPr>
        <w:t>, 2649–2657 (1989).</w:t>
      </w:r>
    </w:p>
    <w:p w14:paraId="45A34E1F" w14:textId="77777777" w:rsidR="004A2565" w:rsidRPr="004A2565" w:rsidRDefault="004A2565" w:rsidP="004A2565">
      <w:pPr>
        <w:pStyle w:val="Bibliographie"/>
        <w:rPr>
          <w:rFonts w:cs="Times New Roman"/>
          <w:lang w:val="en-US"/>
        </w:rPr>
      </w:pPr>
      <w:r w:rsidRPr="004A2565">
        <w:rPr>
          <w:rFonts w:cs="Times New Roman"/>
          <w:lang w:val="en-US"/>
        </w:rPr>
        <w:t>26.</w:t>
      </w:r>
      <w:r w:rsidRPr="004A2565">
        <w:rPr>
          <w:rFonts w:cs="Times New Roman"/>
          <w:lang w:val="en-US"/>
        </w:rPr>
        <w:tab/>
        <w:t xml:space="preserve">Silva, M. B. &amp; Kalkreuth, W. Petrological and geochemical characterization of Candiota coal seams, Brazil — Implication for coal facies interpretations and coal rank. </w:t>
      </w:r>
      <w:r w:rsidRPr="004A2565">
        <w:rPr>
          <w:rFonts w:cs="Times New Roman"/>
          <w:i/>
          <w:iCs/>
          <w:lang w:val="en-US"/>
        </w:rPr>
        <w:t>Int. J. Coal Geol.</w:t>
      </w:r>
      <w:r w:rsidRPr="004A2565">
        <w:rPr>
          <w:rFonts w:cs="Times New Roman"/>
          <w:lang w:val="en-US"/>
        </w:rPr>
        <w:t xml:space="preserve"> </w:t>
      </w:r>
      <w:r w:rsidRPr="004A2565">
        <w:rPr>
          <w:rFonts w:cs="Times New Roman"/>
          <w:b/>
          <w:bCs/>
          <w:lang w:val="en-US"/>
        </w:rPr>
        <w:t>64</w:t>
      </w:r>
      <w:r w:rsidRPr="004A2565">
        <w:rPr>
          <w:rFonts w:cs="Times New Roman"/>
          <w:lang w:val="en-US"/>
        </w:rPr>
        <w:t>, 217–238 (2005).</w:t>
      </w:r>
    </w:p>
    <w:p w14:paraId="24F8DB66" w14:textId="77777777" w:rsidR="004A2565" w:rsidRPr="004A2565" w:rsidRDefault="004A2565" w:rsidP="004A2565">
      <w:pPr>
        <w:pStyle w:val="Bibliographie"/>
        <w:rPr>
          <w:rFonts w:cs="Times New Roman"/>
          <w:lang w:val="en-US"/>
        </w:rPr>
      </w:pPr>
      <w:r w:rsidRPr="004A2565">
        <w:rPr>
          <w:rFonts w:cs="Times New Roman"/>
          <w:lang w:val="en-US"/>
        </w:rPr>
        <w:t>27.</w:t>
      </w:r>
      <w:r w:rsidRPr="004A2565">
        <w:rPr>
          <w:rFonts w:cs="Times New Roman"/>
          <w:lang w:val="en-US"/>
        </w:rPr>
        <w:tab/>
        <w:t xml:space="preserve">Nakamura, Y., Yoshino, T. &amp; Satish-Kumar, M. An experimental kinetic study on the structural evolution of natural carbonaceous material to graphite. </w:t>
      </w:r>
      <w:r w:rsidRPr="004A2565">
        <w:rPr>
          <w:rFonts w:cs="Times New Roman"/>
          <w:i/>
          <w:iCs/>
          <w:lang w:val="en-US"/>
        </w:rPr>
        <w:t>Am. Mineral.</w:t>
      </w:r>
      <w:r w:rsidRPr="004A2565">
        <w:rPr>
          <w:rFonts w:cs="Times New Roman"/>
          <w:lang w:val="en-US"/>
        </w:rPr>
        <w:t xml:space="preserve"> </w:t>
      </w:r>
      <w:r w:rsidRPr="004A2565">
        <w:rPr>
          <w:rFonts w:cs="Times New Roman"/>
          <w:b/>
          <w:bCs/>
          <w:lang w:val="en-US"/>
        </w:rPr>
        <w:t>102</w:t>
      </w:r>
      <w:r w:rsidRPr="004A2565">
        <w:rPr>
          <w:rFonts w:cs="Times New Roman"/>
          <w:lang w:val="en-US"/>
        </w:rPr>
        <w:t>, 135–148 (2017).</w:t>
      </w:r>
    </w:p>
    <w:p w14:paraId="7A058D40" w14:textId="77777777" w:rsidR="004A2565" w:rsidRPr="004A2565" w:rsidRDefault="004A2565" w:rsidP="004A2565">
      <w:pPr>
        <w:pStyle w:val="Bibliographie"/>
        <w:rPr>
          <w:rFonts w:cs="Times New Roman"/>
          <w:lang w:val="en-US"/>
        </w:rPr>
      </w:pPr>
      <w:r w:rsidRPr="004A2565">
        <w:rPr>
          <w:rFonts w:cs="Times New Roman"/>
          <w:lang w:val="en-US"/>
        </w:rPr>
        <w:t>28.</w:t>
      </w:r>
      <w:r w:rsidRPr="004A2565">
        <w:rPr>
          <w:rFonts w:cs="Times New Roman"/>
          <w:lang w:val="en-US"/>
        </w:rPr>
        <w:tab/>
        <w:t xml:space="preserve">Schön, J. </w:t>
      </w:r>
      <w:r w:rsidRPr="004A2565">
        <w:rPr>
          <w:rFonts w:cs="Times New Roman"/>
          <w:i/>
          <w:iCs/>
          <w:lang w:val="en-US"/>
        </w:rPr>
        <w:t>Physical Properties of Rocks Fundamentals and Principles of Petrophysics</w:t>
      </w:r>
      <w:r w:rsidRPr="004A2565">
        <w:rPr>
          <w:rFonts w:cs="Times New Roman"/>
          <w:lang w:val="en-US"/>
        </w:rPr>
        <w:t>. vol. 65 (Elsevier B.V., 1996).</w:t>
      </w:r>
    </w:p>
    <w:p w14:paraId="4208CF1B" w14:textId="77777777" w:rsidR="004A2565" w:rsidRPr="004A2565" w:rsidRDefault="004A2565" w:rsidP="004A2565">
      <w:pPr>
        <w:pStyle w:val="Bibliographie"/>
        <w:rPr>
          <w:rFonts w:cs="Times New Roman"/>
          <w:lang w:val="en-US"/>
        </w:rPr>
      </w:pPr>
      <w:r w:rsidRPr="004A2565">
        <w:rPr>
          <w:rFonts w:cs="Times New Roman"/>
          <w:lang w:val="en-US"/>
        </w:rPr>
        <w:t>29.</w:t>
      </w:r>
      <w:r w:rsidRPr="004A2565">
        <w:rPr>
          <w:rFonts w:cs="Times New Roman"/>
          <w:lang w:val="en-US"/>
        </w:rPr>
        <w:tab/>
        <w:t xml:space="preserve">Carslaw, H. S. &amp; Jaeger, J. C. </w:t>
      </w:r>
      <w:r w:rsidRPr="004A2565">
        <w:rPr>
          <w:rFonts w:cs="Times New Roman"/>
          <w:i/>
          <w:iCs/>
          <w:lang w:val="en-US"/>
        </w:rPr>
        <w:t>Conduction of Heat in Solids</w:t>
      </w:r>
      <w:r w:rsidRPr="004A2565">
        <w:rPr>
          <w:rFonts w:cs="Times New Roman"/>
          <w:lang w:val="en-US"/>
        </w:rPr>
        <w:t>. (Oxford University Press, 1959).</w:t>
      </w:r>
    </w:p>
    <w:p w14:paraId="66FE0637" w14:textId="77777777" w:rsidR="004A2565" w:rsidRPr="004A2565" w:rsidRDefault="004A2565" w:rsidP="004A2565">
      <w:pPr>
        <w:pStyle w:val="Bibliographie"/>
        <w:rPr>
          <w:rFonts w:cs="Times New Roman"/>
          <w:lang w:val="en-US"/>
        </w:rPr>
      </w:pPr>
      <w:r w:rsidRPr="004A2565">
        <w:rPr>
          <w:rFonts w:cs="Times New Roman"/>
          <w:lang w:val="en-US"/>
        </w:rPr>
        <w:t>30.</w:t>
      </w:r>
      <w:r w:rsidRPr="004A2565">
        <w:rPr>
          <w:rFonts w:cs="Times New Roman"/>
          <w:lang w:val="en-US"/>
        </w:rPr>
        <w:tab/>
        <w:t xml:space="preserve">Cermak, V. &amp; Rybach, L. </w:t>
      </w:r>
      <w:r w:rsidRPr="004A2565">
        <w:rPr>
          <w:rFonts w:cs="Times New Roman"/>
          <w:i/>
          <w:iCs/>
          <w:lang w:val="en-US"/>
        </w:rPr>
        <w:t>Thermal properties: Thermal conductivity and specific heat of minerals and rocks</w:t>
      </w:r>
      <w:r w:rsidRPr="004A2565">
        <w:rPr>
          <w:rFonts w:cs="Times New Roman"/>
          <w:lang w:val="en-US"/>
        </w:rPr>
        <w:t>. (G. Angeneister, 1982).</w:t>
      </w:r>
    </w:p>
    <w:p w14:paraId="3A4149CB" w14:textId="77777777" w:rsidR="004A2565" w:rsidRPr="004A2565" w:rsidRDefault="004A2565" w:rsidP="004A2565">
      <w:pPr>
        <w:pStyle w:val="Bibliographie"/>
        <w:rPr>
          <w:rFonts w:cs="Times New Roman"/>
        </w:rPr>
      </w:pPr>
      <w:r w:rsidRPr="004A2565">
        <w:rPr>
          <w:rFonts w:cs="Times New Roman"/>
          <w:lang w:val="en-US"/>
        </w:rPr>
        <w:t>31.</w:t>
      </w:r>
      <w:r w:rsidRPr="004A2565">
        <w:rPr>
          <w:rFonts w:cs="Times New Roman"/>
          <w:lang w:val="en-US"/>
        </w:rPr>
        <w:tab/>
        <w:t xml:space="preserve">Bohrson, W. A. &amp; Spera, F. J. Energy-constrained open-system magmatic processes IV: Geochemical, thermal and mass consequences of energy-constrained recharge, assimilation and fractional crystallization (EC-RAFC): OPEN-SYSTEM MAGMATIC PROCESSES. </w:t>
      </w:r>
      <w:r w:rsidRPr="004A2565">
        <w:rPr>
          <w:rFonts w:cs="Times New Roman"/>
          <w:i/>
          <w:iCs/>
        </w:rPr>
        <w:t>Geochem. Geophys. Geosystems</w:t>
      </w:r>
      <w:r w:rsidRPr="004A2565">
        <w:rPr>
          <w:rFonts w:cs="Times New Roman"/>
        </w:rPr>
        <w:t xml:space="preserve"> </w:t>
      </w:r>
      <w:r w:rsidRPr="004A2565">
        <w:rPr>
          <w:rFonts w:cs="Times New Roman"/>
          <w:b/>
          <w:bCs/>
        </w:rPr>
        <w:t>4</w:t>
      </w:r>
      <w:r w:rsidRPr="004A2565">
        <w:rPr>
          <w:rFonts w:cs="Times New Roman"/>
        </w:rPr>
        <w:t>, (2003).</w:t>
      </w:r>
    </w:p>
    <w:p w14:paraId="00FBDC66" w14:textId="75B8B41B" w:rsidR="0095174F" w:rsidRPr="00A31CC2" w:rsidRDefault="0095174F" w:rsidP="00654162">
      <w:pPr>
        <w:rPr>
          <w:noProof/>
          <w:sz w:val="28"/>
          <w:lang w:val="en-US" w:eastAsia="fr-FR"/>
        </w:rPr>
      </w:pPr>
      <w:r>
        <w:rPr>
          <w:noProof/>
          <w:sz w:val="28"/>
          <w:lang w:val="en-US" w:eastAsia="fr-FR"/>
        </w:rPr>
        <w:lastRenderedPageBreak/>
        <w:fldChar w:fldCharType="end"/>
      </w:r>
    </w:p>
    <w:sectPr w:rsidR="0095174F" w:rsidRPr="00A31CC2" w:rsidSect="00392E86">
      <w:pgSz w:w="11906" w:h="16838"/>
      <w:pgMar w:top="1417" w:right="1417" w:bottom="1417" w:left="1417"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77F1D0" w14:textId="77777777" w:rsidR="0015296B" w:rsidRDefault="0015296B" w:rsidP="00F04B97">
      <w:pPr>
        <w:spacing w:after="0" w:line="240" w:lineRule="auto"/>
      </w:pPr>
      <w:r>
        <w:separator/>
      </w:r>
    </w:p>
  </w:endnote>
  <w:endnote w:type="continuationSeparator" w:id="0">
    <w:p w14:paraId="5608A113" w14:textId="77777777" w:rsidR="0015296B" w:rsidRDefault="0015296B" w:rsidP="00F04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85E382" w14:textId="77777777" w:rsidR="0015296B" w:rsidRDefault="0015296B" w:rsidP="00F04B97">
      <w:pPr>
        <w:spacing w:after="0" w:line="240" w:lineRule="auto"/>
      </w:pPr>
      <w:r>
        <w:separator/>
      </w:r>
    </w:p>
  </w:footnote>
  <w:footnote w:type="continuationSeparator" w:id="0">
    <w:p w14:paraId="55D2AB82" w14:textId="77777777" w:rsidR="0015296B" w:rsidRDefault="0015296B" w:rsidP="00F04B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A7676"/>
    <w:multiLevelType w:val="hybridMultilevel"/>
    <w:tmpl w:val="67FC88B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8C77A66"/>
    <w:multiLevelType w:val="multilevel"/>
    <w:tmpl w:val="FFC844F4"/>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9BF1E8A"/>
    <w:multiLevelType w:val="multilevel"/>
    <w:tmpl w:val="9AC88A8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249324F"/>
    <w:multiLevelType w:val="hybridMultilevel"/>
    <w:tmpl w:val="A3F471B6"/>
    <w:lvl w:ilvl="0" w:tplc="EB92E902">
      <w:start w:val="2"/>
      <w:numFmt w:val="decimal"/>
      <w:lvlText w:val="%1."/>
      <w:lvlJc w:val="left"/>
      <w:pPr>
        <w:ind w:left="1430" w:hanging="360"/>
      </w:pPr>
      <w:rPr>
        <w:rFonts w:hint="default"/>
      </w:rPr>
    </w:lvl>
    <w:lvl w:ilvl="1" w:tplc="040C0019" w:tentative="1">
      <w:start w:val="1"/>
      <w:numFmt w:val="lowerLetter"/>
      <w:lvlText w:val="%2."/>
      <w:lvlJc w:val="left"/>
      <w:pPr>
        <w:ind w:left="2150" w:hanging="360"/>
      </w:pPr>
    </w:lvl>
    <w:lvl w:ilvl="2" w:tplc="040C001B" w:tentative="1">
      <w:start w:val="1"/>
      <w:numFmt w:val="lowerRoman"/>
      <w:lvlText w:val="%3."/>
      <w:lvlJc w:val="right"/>
      <w:pPr>
        <w:ind w:left="2870" w:hanging="180"/>
      </w:pPr>
    </w:lvl>
    <w:lvl w:ilvl="3" w:tplc="040C000F" w:tentative="1">
      <w:start w:val="1"/>
      <w:numFmt w:val="decimal"/>
      <w:lvlText w:val="%4."/>
      <w:lvlJc w:val="left"/>
      <w:pPr>
        <w:ind w:left="3590" w:hanging="360"/>
      </w:pPr>
    </w:lvl>
    <w:lvl w:ilvl="4" w:tplc="040C0019" w:tentative="1">
      <w:start w:val="1"/>
      <w:numFmt w:val="lowerLetter"/>
      <w:lvlText w:val="%5."/>
      <w:lvlJc w:val="left"/>
      <w:pPr>
        <w:ind w:left="4310" w:hanging="360"/>
      </w:pPr>
    </w:lvl>
    <w:lvl w:ilvl="5" w:tplc="040C001B" w:tentative="1">
      <w:start w:val="1"/>
      <w:numFmt w:val="lowerRoman"/>
      <w:lvlText w:val="%6."/>
      <w:lvlJc w:val="right"/>
      <w:pPr>
        <w:ind w:left="5030" w:hanging="180"/>
      </w:pPr>
    </w:lvl>
    <w:lvl w:ilvl="6" w:tplc="040C000F" w:tentative="1">
      <w:start w:val="1"/>
      <w:numFmt w:val="decimal"/>
      <w:lvlText w:val="%7."/>
      <w:lvlJc w:val="left"/>
      <w:pPr>
        <w:ind w:left="5750" w:hanging="360"/>
      </w:pPr>
    </w:lvl>
    <w:lvl w:ilvl="7" w:tplc="040C0019" w:tentative="1">
      <w:start w:val="1"/>
      <w:numFmt w:val="lowerLetter"/>
      <w:lvlText w:val="%8."/>
      <w:lvlJc w:val="left"/>
      <w:pPr>
        <w:ind w:left="6470" w:hanging="360"/>
      </w:pPr>
    </w:lvl>
    <w:lvl w:ilvl="8" w:tplc="040C001B" w:tentative="1">
      <w:start w:val="1"/>
      <w:numFmt w:val="lowerRoman"/>
      <w:lvlText w:val="%9."/>
      <w:lvlJc w:val="right"/>
      <w:pPr>
        <w:ind w:left="7190" w:hanging="180"/>
      </w:pPr>
    </w:lvl>
  </w:abstractNum>
  <w:abstractNum w:abstractNumId="4" w15:restartNumberingAfterBreak="0">
    <w:nsid w:val="1BF9479D"/>
    <w:multiLevelType w:val="multilevel"/>
    <w:tmpl w:val="CDB2D692"/>
    <w:lvl w:ilvl="0">
      <w:start w:val="2"/>
      <w:numFmt w:val="decimal"/>
      <w:lvlText w:val="%1."/>
      <w:lvlJc w:val="left"/>
      <w:pPr>
        <w:ind w:left="720" w:hanging="360"/>
      </w:pPr>
      <w:rPr>
        <w:rFonts w:hint="default"/>
      </w:rPr>
    </w:lvl>
    <w:lvl w:ilvl="1">
      <w:start w:val="2"/>
      <w:numFmt w:val="decimal"/>
      <w:isLgl/>
      <w:lvlText w:val="%1.%2"/>
      <w:lvlJc w:val="left"/>
      <w:pPr>
        <w:ind w:left="1072" w:hanging="540"/>
      </w:pPr>
      <w:rPr>
        <w:rFonts w:hint="default"/>
      </w:rPr>
    </w:lvl>
    <w:lvl w:ilvl="2">
      <w:start w:val="4"/>
      <w:numFmt w:val="decimal"/>
      <w:isLgl/>
      <w:lvlText w:val="%1.%2.%3"/>
      <w:lvlJc w:val="left"/>
      <w:pPr>
        <w:ind w:left="1424" w:hanging="720"/>
      </w:pPr>
      <w:rPr>
        <w:rFonts w:hint="default"/>
      </w:rPr>
    </w:lvl>
    <w:lvl w:ilvl="3">
      <w:start w:val="1"/>
      <w:numFmt w:val="decimal"/>
      <w:isLgl/>
      <w:lvlText w:val="%1.%2.%3.%4"/>
      <w:lvlJc w:val="left"/>
      <w:pPr>
        <w:ind w:left="1596" w:hanging="720"/>
      </w:pPr>
      <w:rPr>
        <w:rFonts w:hint="default"/>
      </w:rPr>
    </w:lvl>
    <w:lvl w:ilvl="4">
      <w:start w:val="1"/>
      <w:numFmt w:val="decimal"/>
      <w:isLgl/>
      <w:lvlText w:val="%1.%2.%3.%4.%5"/>
      <w:lvlJc w:val="left"/>
      <w:pPr>
        <w:ind w:left="2128" w:hanging="1080"/>
      </w:pPr>
      <w:rPr>
        <w:rFonts w:hint="default"/>
      </w:rPr>
    </w:lvl>
    <w:lvl w:ilvl="5">
      <w:start w:val="1"/>
      <w:numFmt w:val="decimal"/>
      <w:isLgl/>
      <w:lvlText w:val="%1.%2.%3.%4.%5.%6"/>
      <w:lvlJc w:val="left"/>
      <w:pPr>
        <w:ind w:left="2300" w:hanging="1080"/>
      </w:pPr>
      <w:rPr>
        <w:rFonts w:hint="default"/>
      </w:rPr>
    </w:lvl>
    <w:lvl w:ilvl="6">
      <w:start w:val="1"/>
      <w:numFmt w:val="decimal"/>
      <w:isLgl/>
      <w:lvlText w:val="%1.%2.%3.%4.%5.%6.%7"/>
      <w:lvlJc w:val="left"/>
      <w:pPr>
        <w:ind w:left="2832" w:hanging="1440"/>
      </w:pPr>
      <w:rPr>
        <w:rFonts w:hint="default"/>
      </w:rPr>
    </w:lvl>
    <w:lvl w:ilvl="7">
      <w:start w:val="1"/>
      <w:numFmt w:val="decimal"/>
      <w:isLgl/>
      <w:lvlText w:val="%1.%2.%3.%4.%5.%6.%7.%8"/>
      <w:lvlJc w:val="left"/>
      <w:pPr>
        <w:ind w:left="3004" w:hanging="1440"/>
      </w:pPr>
      <w:rPr>
        <w:rFonts w:hint="default"/>
      </w:rPr>
    </w:lvl>
    <w:lvl w:ilvl="8">
      <w:start w:val="1"/>
      <w:numFmt w:val="decimal"/>
      <w:isLgl/>
      <w:lvlText w:val="%1.%2.%3.%4.%5.%6.%7.%8.%9"/>
      <w:lvlJc w:val="left"/>
      <w:pPr>
        <w:ind w:left="3536" w:hanging="1800"/>
      </w:pPr>
      <w:rPr>
        <w:rFonts w:hint="default"/>
      </w:rPr>
    </w:lvl>
  </w:abstractNum>
  <w:abstractNum w:abstractNumId="5" w15:restartNumberingAfterBreak="0">
    <w:nsid w:val="1F5C4047"/>
    <w:multiLevelType w:val="hybridMultilevel"/>
    <w:tmpl w:val="529A4E2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31A13962"/>
    <w:multiLevelType w:val="hybridMultilevel"/>
    <w:tmpl w:val="351AADA6"/>
    <w:lvl w:ilvl="0" w:tplc="E5F4669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1B51773"/>
    <w:multiLevelType w:val="hybridMultilevel"/>
    <w:tmpl w:val="0E8ED94C"/>
    <w:lvl w:ilvl="0" w:tplc="386632D8">
      <w:start w:val="3"/>
      <w:numFmt w:val="decimal"/>
      <w:lvlText w:val="%1."/>
      <w:lvlJc w:val="left"/>
      <w:pPr>
        <w:ind w:left="1070" w:hanging="360"/>
      </w:pPr>
      <w:rPr>
        <w:rFonts w:hint="default"/>
      </w:rPr>
    </w:lvl>
    <w:lvl w:ilvl="1" w:tplc="040C0019" w:tentative="1">
      <w:start w:val="1"/>
      <w:numFmt w:val="lowerLetter"/>
      <w:lvlText w:val="%2."/>
      <w:lvlJc w:val="left"/>
      <w:pPr>
        <w:ind w:left="1790" w:hanging="360"/>
      </w:pPr>
    </w:lvl>
    <w:lvl w:ilvl="2" w:tplc="040C001B" w:tentative="1">
      <w:start w:val="1"/>
      <w:numFmt w:val="lowerRoman"/>
      <w:lvlText w:val="%3."/>
      <w:lvlJc w:val="right"/>
      <w:pPr>
        <w:ind w:left="2510" w:hanging="180"/>
      </w:pPr>
    </w:lvl>
    <w:lvl w:ilvl="3" w:tplc="040C000F" w:tentative="1">
      <w:start w:val="1"/>
      <w:numFmt w:val="decimal"/>
      <w:lvlText w:val="%4."/>
      <w:lvlJc w:val="left"/>
      <w:pPr>
        <w:ind w:left="3230" w:hanging="360"/>
      </w:pPr>
    </w:lvl>
    <w:lvl w:ilvl="4" w:tplc="040C0019" w:tentative="1">
      <w:start w:val="1"/>
      <w:numFmt w:val="lowerLetter"/>
      <w:lvlText w:val="%5."/>
      <w:lvlJc w:val="left"/>
      <w:pPr>
        <w:ind w:left="3950" w:hanging="360"/>
      </w:pPr>
    </w:lvl>
    <w:lvl w:ilvl="5" w:tplc="040C001B" w:tentative="1">
      <w:start w:val="1"/>
      <w:numFmt w:val="lowerRoman"/>
      <w:lvlText w:val="%6."/>
      <w:lvlJc w:val="right"/>
      <w:pPr>
        <w:ind w:left="4670" w:hanging="180"/>
      </w:pPr>
    </w:lvl>
    <w:lvl w:ilvl="6" w:tplc="040C000F" w:tentative="1">
      <w:start w:val="1"/>
      <w:numFmt w:val="decimal"/>
      <w:lvlText w:val="%7."/>
      <w:lvlJc w:val="left"/>
      <w:pPr>
        <w:ind w:left="5390" w:hanging="360"/>
      </w:pPr>
    </w:lvl>
    <w:lvl w:ilvl="7" w:tplc="040C0019" w:tentative="1">
      <w:start w:val="1"/>
      <w:numFmt w:val="lowerLetter"/>
      <w:lvlText w:val="%8."/>
      <w:lvlJc w:val="left"/>
      <w:pPr>
        <w:ind w:left="6110" w:hanging="360"/>
      </w:pPr>
    </w:lvl>
    <w:lvl w:ilvl="8" w:tplc="040C001B" w:tentative="1">
      <w:start w:val="1"/>
      <w:numFmt w:val="lowerRoman"/>
      <w:lvlText w:val="%9."/>
      <w:lvlJc w:val="right"/>
      <w:pPr>
        <w:ind w:left="6830" w:hanging="180"/>
      </w:pPr>
    </w:lvl>
  </w:abstractNum>
  <w:abstractNum w:abstractNumId="8" w15:restartNumberingAfterBreak="0">
    <w:nsid w:val="3A9521A8"/>
    <w:multiLevelType w:val="hybridMultilevel"/>
    <w:tmpl w:val="B2945038"/>
    <w:lvl w:ilvl="0" w:tplc="908242D0">
      <w:start w:val="1"/>
      <w:numFmt w:val="decimal"/>
      <w:lvlText w:val="%1."/>
      <w:lvlJc w:val="left"/>
      <w:pPr>
        <w:ind w:left="1070" w:hanging="360"/>
      </w:pPr>
      <w:rPr>
        <w:rFonts w:hint="default"/>
      </w:rPr>
    </w:lvl>
    <w:lvl w:ilvl="1" w:tplc="040C0019" w:tentative="1">
      <w:start w:val="1"/>
      <w:numFmt w:val="lowerLetter"/>
      <w:lvlText w:val="%2."/>
      <w:lvlJc w:val="left"/>
      <w:pPr>
        <w:ind w:left="1790" w:hanging="360"/>
      </w:pPr>
    </w:lvl>
    <w:lvl w:ilvl="2" w:tplc="040C001B" w:tentative="1">
      <w:start w:val="1"/>
      <w:numFmt w:val="lowerRoman"/>
      <w:lvlText w:val="%3."/>
      <w:lvlJc w:val="right"/>
      <w:pPr>
        <w:ind w:left="2510" w:hanging="180"/>
      </w:pPr>
    </w:lvl>
    <w:lvl w:ilvl="3" w:tplc="040C000F" w:tentative="1">
      <w:start w:val="1"/>
      <w:numFmt w:val="decimal"/>
      <w:lvlText w:val="%4."/>
      <w:lvlJc w:val="left"/>
      <w:pPr>
        <w:ind w:left="3230" w:hanging="360"/>
      </w:pPr>
    </w:lvl>
    <w:lvl w:ilvl="4" w:tplc="040C0019" w:tentative="1">
      <w:start w:val="1"/>
      <w:numFmt w:val="lowerLetter"/>
      <w:lvlText w:val="%5."/>
      <w:lvlJc w:val="left"/>
      <w:pPr>
        <w:ind w:left="3950" w:hanging="360"/>
      </w:pPr>
    </w:lvl>
    <w:lvl w:ilvl="5" w:tplc="040C001B" w:tentative="1">
      <w:start w:val="1"/>
      <w:numFmt w:val="lowerRoman"/>
      <w:lvlText w:val="%6."/>
      <w:lvlJc w:val="right"/>
      <w:pPr>
        <w:ind w:left="4670" w:hanging="180"/>
      </w:pPr>
    </w:lvl>
    <w:lvl w:ilvl="6" w:tplc="040C000F" w:tentative="1">
      <w:start w:val="1"/>
      <w:numFmt w:val="decimal"/>
      <w:lvlText w:val="%7."/>
      <w:lvlJc w:val="left"/>
      <w:pPr>
        <w:ind w:left="5390" w:hanging="360"/>
      </w:pPr>
    </w:lvl>
    <w:lvl w:ilvl="7" w:tplc="040C0019" w:tentative="1">
      <w:start w:val="1"/>
      <w:numFmt w:val="lowerLetter"/>
      <w:lvlText w:val="%8."/>
      <w:lvlJc w:val="left"/>
      <w:pPr>
        <w:ind w:left="6110" w:hanging="360"/>
      </w:pPr>
    </w:lvl>
    <w:lvl w:ilvl="8" w:tplc="040C001B" w:tentative="1">
      <w:start w:val="1"/>
      <w:numFmt w:val="lowerRoman"/>
      <w:lvlText w:val="%9."/>
      <w:lvlJc w:val="right"/>
      <w:pPr>
        <w:ind w:left="6830" w:hanging="180"/>
      </w:pPr>
    </w:lvl>
  </w:abstractNum>
  <w:abstractNum w:abstractNumId="9" w15:restartNumberingAfterBreak="0">
    <w:nsid w:val="3E435292"/>
    <w:multiLevelType w:val="hybridMultilevel"/>
    <w:tmpl w:val="CD48E32E"/>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0" w15:restartNumberingAfterBreak="0">
    <w:nsid w:val="4A875588"/>
    <w:multiLevelType w:val="multilevel"/>
    <w:tmpl w:val="14F8EFDA"/>
    <w:lvl w:ilvl="0">
      <w:start w:val="2"/>
      <w:numFmt w:val="decimal"/>
      <w:lvlText w:val="%1"/>
      <w:lvlJc w:val="left"/>
      <w:pPr>
        <w:ind w:left="360" w:hanging="360"/>
      </w:pPr>
      <w:rPr>
        <w:rFonts w:eastAsiaTheme="minorHAnsi" w:hint="default"/>
      </w:rPr>
    </w:lvl>
    <w:lvl w:ilvl="1">
      <w:start w:val="4"/>
      <w:numFmt w:val="decimal"/>
      <w:lvlText w:val="%1.%2"/>
      <w:lvlJc w:val="left"/>
      <w:pPr>
        <w:ind w:left="1064" w:hanging="360"/>
      </w:pPr>
      <w:rPr>
        <w:rFonts w:eastAsiaTheme="minorHAnsi" w:hint="default"/>
      </w:rPr>
    </w:lvl>
    <w:lvl w:ilvl="2">
      <w:start w:val="1"/>
      <w:numFmt w:val="decimal"/>
      <w:lvlText w:val="%1.%2.%3"/>
      <w:lvlJc w:val="left"/>
      <w:pPr>
        <w:ind w:left="2128" w:hanging="720"/>
      </w:pPr>
      <w:rPr>
        <w:rFonts w:eastAsiaTheme="minorHAnsi" w:hint="default"/>
      </w:rPr>
    </w:lvl>
    <w:lvl w:ilvl="3">
      <w:start w:val="1"/>
      <w:numFmt w:val="decimal"/>
      <w:lvlText w:val="%1.%2.%3.%4"/>
      <w:lvlJc w:val="left"/>
      <w:pPr>
        <w:ind w:left="2832" w:hanging="720"/>
      </w:pPr>
      <w:rPr>
        <w:rFonts w:eastAsiaTheme="minorHAnsi" w:hint="default"/>
      </w:rPr>
    </w:lvl>
    <w:lvl w:ilvl="4">
      <w:start w:val="1"/>
      <w:numFmt w:val="decimal"/>
      <w:lvlText w:val="%1.%2.%3.%4.%5"/>
      <w:lvlJc w:val="left"/>
      <w:pPr>
        <w:ind w:left="3896" w:hanging="1080"/>
      </w:pPr>
      <w:rPr>
        <w:rFonts w:eastAsiaTheme="minorHAnsi" w:hint="default"/>
      </w:rPr>
    </w:lvl>
    <w:lvl w:ilvl="5">
      <w:start w:val="1"/>
      <w:numFmt w:val="decimal"/>
      <w:lvlText w:val="%1.%2.%3.%4.%5.%6"/>
      <w:lvlJc w:val="left"/>
      <w:pPr>
        <w:ind w:left="4600" w:hanging="1080"/>
      </w:pPr>
      <w:rPr>
        <w:rFonts w:eastAsiaTheme="minorHAnsi" w:hint="default"/>
      </w:rPr>
    </w:lvl>
    <w:lvl w:ilvl="6">
      <w:start w:val="1"/>
      <w:numFmt w:val="decimal"/>
      <w:lvlText w:val="%1.%2.%3.%4.%5.%6.%7"/>
      <w:lvlJc w:val="left"/>
      <w:pPr>
        <w:ind w:left="5664" w:hanging="1440"/>
      </w:pPr>
      <w:rPr>
        <w:rFonts w:eastAsiaTheme="minorHAnsi" w:hint="default"/>
      </w:rPr>
    </w:lvl>
    <w:lvl w:ilvl="7">
      <w:start w:val="1"/>
      <w:numFmt w:val="decimal"/>
      <w:lvlText w:val="%1.%2.%3.%4.%5.%6.%7.%8"/>
      <w:lvlJc w:val="left"/>
      <w:pPr>
        <w:ind w:left="6368" w:hanging="1440"/>
      </w:pPr>
      <w:rPr>
        <w:rFonts w:eastAsiaTheme="minorHAnsi" w:hint="default"/>
      </w:rPr>
    </w:lvl>
    <w:lvl w:ilvl="8">
      <w:start w:val="1"/>
      <w:numFmt w:val="decimal"/>
      <w:lvlText w:val="%1.%2.%3.%4.%5.%6.%7.%8.%9"/>
      <w:lvlJc w:val="left"/>
      <w:pPr>
        <w:ind w:left="7432" w:hanging="1800"/>
      </w:pPr>
      <w:rPr>
        <w:rFonts w:eastAsiaTheme="minorHAnsi" w:hint="default"/>
      </w:rPr>
    </w:lvl>
  </w:abstractNum>
  <w:abstractNum w:abstractNumId="11" w15:restartNumberingAfterBreak="0">
    <w:nsid w:val="51FC05D3"/>
    <w:multiLevelType w:val="hybridMultilevel"/>
    <w:tmpl w:val="809448F6"/>
    <w:lvl w:ilvl="0" w:tplc="42205B92">
      <w:start w:val="1"/>
      <w:numFmt w:val="decimal"/>
      <w:lvlText w:val="%1"/>
      <w:lvlJc w:val="left"/>
      <w:pPr>
        <w:ind w:left="107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61403225"/>
    <w:multiLevelType w:val="hybridMultilevel"/>
    <w:tmpl w:val="8882802A"/>
    <w:lvl w:ilvl="0" w:tplc="820C6A68">
      <w:start w:val="2"/>
      <w:numFmt w:val="bullet"/>
      <w:lvlText w:val="-"/>
      <w:lvlJc w:val="left"/>
      <w:pPr>
        <w:ind w:left="1210" w:hanging="360"/>
      </w:pPr>
      <w:rPr>
        <w:rFonts w:ascii="Calibri" w:eastAsiaTheme="minorHAnsi" w:hAnsi="Calibri" w:cs="Calibri" w:hint="default"/>
      </w:rPr>
    </w:lvl>
    <w:lvl w:ilvl="1" w:tplc="040C0003" w:tentative="1">
      <w:start w:val="1"/>
      <w:numFmt w:val="bullet"/>
      <w:lvlText w:val="o"/>
      <w:lvlJc w:val="left"/>
      <w:pPr>
        <w:ind w:left="1930" w:hanging="360"/>
      </w:pPr>
      <w:rPr>
        <w:rFonts w:ascii="Courier New" w:hAnsi="Courier New" w:cs="Courier New" w:hint="default"/>
      </w:rPr>
    </w:lvl>
    <w:lvl w:ilvl="2" w:tplc="040C0005" w:tentative="1">
      <w:start w:val="1"/>
      <w:numFmt w:val="bullet"/>
      <w:lvlText w:val=""/>
      <w:lvlJc w:val="left"/>
      <w:pPr>
        <w:ind w:left="2650" w:hanging="360"/>
      </w:pPr>
      <w:rPr>
        <w:rFonts w:ascii="Wingdings" w:hAnsi="Wingdings" w:hint="default"/>
      </w:rPr>
    </w:lvl>
    <w:lvl w:ilvl="3" w:tplc="040C0001" w:tentative="1">
      <w:start w:val="1"/>
      <w:numFmt w:val="bullet"/>
      <w:lvlText w:val=""/>
      <w:lvlJc w:val="left"/>
      <w:pPr>
        <w:ind w:left="3370" w:hanging="360"/>
      </w:pPr>
      <w:rPr>
        <w:rFonts w:ascii="Symbol" w:hAnsi="Symbol" w:hint="default"/>
      </w:rPr>
    </w:lvl>
    <w:lvl w:ilvl="4" w:tplc="040C0003" w:tentative="1">
      <w:start w:val="1"/>
      <w:numFmt w:val="bullet"/>
      <w:lvlText w:val="o"/>
      <w:lvlJc w:val="left"/>
      <w:pPr>
        <w:ind w:left="4090" w:hanging="360"/>
      </w:pPr>
      <w:rPr>
        <w:rFonts w:ascii="Courier New" w:hAnsi="Courier New" w:cs="Courier New" w:hint="default"/>
      </w:rPr>
    </w:lvl>
    <w:lvl w:ilvl="5" w:tplc="040C0005" w:tentative="1">
      <w:start w:val="1"/>
      <w:numFmt w:val="bullet"/>
      <w:lvlText w:val=""/>
      <w:lvlJc w:val="left"/>
      <w:pPr>
        <w:ind w:left="4810" w:hanging="360"/>
      </w:pPr>
      <w:rPr>
        <w:rFonts w:ascii="Wingdings" w:hAnsi="Wingdings" w:hint="default"/>
      </w:rPr>
    </w:lvl>
    <w:lvl w:ilvl="6" w:tplc="040C0001" w:tentative="1">
      <w:start w:val="1"/>
      <w:numFmt w:val="bullet"/>
      <w:lvlText w:val=""/>
      <w:lvlJc w:val="left"/>
      <w:pPr>
        <w:ind w:left="5530" w:hanging="360"/>
      </w:pPr>
      <w:rPr>
        <w:rFonts w:ascii="Symbol" w:hAnsi="Symbol" w:hint="default"/>
      </w:rPr>
    </w:lvl>
    <w:lvl w:ilvl="7" w:tplc="040C0003" w:tentative="1">
      <w:start w:val="1"/>
      <w:numFmt w:val="bullet"/>
      <w:lvlText w:val="o"/>
      <w:lvlJc w:val="left"/>
      <w:pPr>
        <w:ind w:left="6250" w:hanging="360"/>
      </w:pPr>
      <w:rPr>
        <w:rFonts w:ascii="Courier New" w:hAnsi="Courier New" w:cs="Courier New" w:hint="default"/>
      </w:rPr>
    </w:lvl>
    <w:lvl w:ilvl="8" w:tplc="040C0005" w:tentative="1">
      <w:start w:val="1"/>
      <w:numFmt w:val="bullet"/>
      <w:lvlText w:val=""/>
      <w:lvlJc w:val="left"/>
      <w:pPr>
        <w:ind w:left="6970" w:hanging="360"/>
      </w:pPr>
      <w:rPr>
        <w:rFonts w:ascii="Wingdings" w:hAnsi="Wingdings" w:hint="default"/>
      </w:rPr>
    </w:lvl>
  </w:abstractNum>
  <w:abstractNum w:abstractNumId="13" w15:restartNumberingAfterBreak="0">
    <w:nsid w:val="67C06ECE"/>
    <w:multiLevelType w:val="hybridMultilevel"/>
    <w:tmpl w:val="3C9690F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CEF4BB3"/>
    <w:multiLevelType w:val="hybridMultilevel"/>
    <w:tmpl w:val="E306E596"/>
    <w:lvl w:ilvl="0" w:tplc="31AAA5D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7DFD2B81"/>
    <w:multiLevelType w:val="multilevel"/>
    <w:tmpl w:val="50F88C1C"/>
    <w:lvl w:ilvl="0">
      <w:start w:val="2"/>
      <w:numFmt w:val="decimal"/>
      <w:lvlText w:val="%1"/>
      <w:lvlJc w:val="left"/>
      <w:pPr>
        <w:ind w:left="360" w:hanging="360"/>
      </w:pPr>
      <w:rPr>
        <w:rFonts w:hint="default"/>
      </w:rPr>
    </w:lvl>
    <w:lvl w:ilvl="1">
      <w:start w:val="1"/>
      <w:numFmt w:val="decimal"/>
      <w:lvlText w:val="%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2"/>
  </w:num>
  <w:num w:numId="2">
    <w:abstractNumId w:val="9"/>
  </w:num>
  <w:num w:numId="3">
    <w:abstractNumId w:val="6"/>
  </w:num>
  <w:num w:numId="4">
    <w:abstractNumId w:val="5"/>
  </w:num>
  <w:num w:numId="5">
    <w:abstractNumId w:val="13"/>
  </w:num>
  <w:num w:numId="6">
    <w:abstractNumId w:val="14"/>
  </w:num>
  <w:num w:numId="7">
    <w:abstractNumId w:val="1"/>
  </w:num>
  <w:num w:numId="8">
    <w:abstractNumId w:val="2"/>
  </w:num>
  <w:num w:numId="9">
    <w:abstractNumId w:val="15"/>
  </w:num>
  <w:num w:numId="10">
    <w:abstractNumId w:val="11"/>
  </w:num>
  <w:num w:numId="11">
    <w:abstractNumId w:val="7"/>
  </w:num>
  <w:num w:numId="12">
    <w:abstractNumId w:val="3"/>
  </w:num>
  <w:num w:numId="13">
    <w:abstractNumId w:val="4"/>
  </w:num>
  <w:num w:numId="14">
    <w:abstractNumId w:val="8"/>
  </w:num>
  <w:num w:numId="15">
    <w:abstractNumId w:val="0"/>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A55"/>
    <w:rsid w:val="000065B5"/>
    <w:rsid w:val="00006BFB"/>
    <w:rsid w:val="000157CF"/>
    <w:rsid w:val="00016B95"/>
    <w:rsid w:val="000211F7"/>
    <w:rsid w:val="00027849"/>
    <w:rsid w:val="00031DD6"/>
    <w:rsid w:val="00032087"/>
    <w:rsid w:val="00040210"/>
    <w:rsid w:val="000406AA"/>
    <w:rsid w:val="00042188"/>
    <w:rsid w:val="00044F82"/>
    <w:rsid w:val="00047713"/>
    <w:rsid w:val="0006095D"/>
    <w:rsid w:val="000733F3"/>
    <w:rsid w:val="00086903"/>
    <w:rsid w:val="00090B54"/>
    <w:rsid w:val="00090EDC"/>
    <w:rsid w:val="00093351"/>
    <w:rsid w:val="000941FA"/>
    <w:rsid w:val="000A2426"/>
    <w:rsid w:val="000A2C84"/>
    <w:rsid w:val="000B1117"/>
    <w:rsid w:val="000C6699"/>
    <w:rsid w:val="000C6907"/>
    <w:rsid w:val="000D35F3"/>
    <w:rsid w:val="000D5368"/>
    <w:rsid w:val="000F367C"/>
    <w:rsid w:val="000F3E2F"/>
    <w:rsid w:val="000F5C9A"/>
    <w:rsid w:val="00110730"/>
    <w:rsid w:val="0011120A"/>
    <w:rsid w:val="0013300B"/>
    <w:rsid w:val="00150F39"/>
    <w:rsid w:val="00151F14"/>
    <w:rsid w:val="001527CD"/>
    <w:rsid w:val="0015296B"/>
    <w:rsid w:val="00156A6B"/>
    <w:rsid w:val="00157A61"/>
    <w:rsid w:val="00160790"/>
    <w:rsid w:val="001859CB"/>
    <w:rsid w:val="0018762E"/>
    <w:rsid w:val="001A4E19"/>
    <w:rsid w:val="001B0A03"/>
    <w:rsid w:val="001B5E4D"/>
    <w:rsid w:val="001C4F4A"/>
    <w:rsid w:val="001C7F39"/>
    <w:rsid w:val="001D1D80"/>
    <w:rsid w:val="001D3749"/>
    <w:rsid w:val="001F47E9"/>
    <w:rsid w:val="00215964"/>
    <w:rsid w:val="002167F0"/>
    <w:rsid w:val="00221F34"/>
    <w:rsid w:val="00226A99"/>
    <w:rsid w:val="00230575"/>
    <w:rsid w:val="00234247"/>
    <w:rsid w:val="00243F0A"/>
    <w:rsid w:val="00245C41"/>
    <w:rsid w:val="0024757D"/>
    <w:rsid w:val="002567E0"/>
    <w:rsid w:val="002607C7"/>
    <w:rsid w:val="00264250"/>
    <w:rsid w:val="002657C8"/>
    <w:rsid w:val="00272A88"/>
    <w:rsid w:val="00273712"/>
    <w:rsid w:val="002750FB"/>
    <w:rsid w:val="0028178A"/>
    <w:rsid w:val="00294B87"/>
    <w:rsid w:val="002A18EE"/>
    <w:rsid w:val="002B2743"/>
    <w:rsid w:val="002B460E"/>
    <w:rsid w:val="002B4935"/>
    <w:rsid w:val="002B5850"/>
    <w:rsid w:val="002B6533"/>
    <w:rsid w:val="002D5C2C"/>
    <w:rsid w:val="002E6DC9"/>
    <w:rsid w:val="002E7A07"/>
    <w:rsid w:val="002F53E5"/>
    <w:rsid w:val="002F5BCA"/>
    <w:rsid w:val="003065F1"/>
    <w:rsid w:val="00316BEB"/>
    <w:rsid w:val="003252E8"/>
    <w:rsid w:val="00331DA9"/>
    <w:rsid w:val="00343B32"/>
    <w:rsid w:val="00345D15"/>
    <w:rsid w:val="00346F5C"/>
    <w:rsid w:val="003476C2"/>
    <w:rsid w:val="00355370"/>
    <w:rsid w:val="00371B62"/>
    <w:rsid w:val="0037305C"/>
    <w:rsid w:val="00374813"/>
    <w:rsid w:val="003756BA"/>
    <w:rsid w:val="00380154"/>
    <w:rsid w:val="00382D2F"/>
    <w:rsid w:val="003851E8"/>
    <w:rsid w:val="00392E86"/>
    <w:rsid w:val="003A5BA0"/>
    <w:rsid w:val="003A7D4B"/>
    <w:rsid w:val="003B44DA"/>
    <w:rsid w:val="003B5F1F"/>
    <w:rsid w:val="003C2678"/>
    <w:rsid w:val="003C3F55"/>
    <w:rsid w:val="003D00A5"/>
    <w:rsid w:val="003D5821"/>
    <w:rsid w:val="003D790C"/>
    <w:rsid w:val="003E473C"/>
    <w:rsid w:val="003E55CA"/>
    <w:rsid w:val="003E6700"/>
    <w:rsid w:val="003F1EC7"/>
    <w:rsid w:val="003F21D8"/>
    <w:rsid w:val="003F37CC"/>
    <w:rsid w:val="003F6B27"/>
    <w:rsid w:val="00401BA7"/>
    <w:rsid w:val="00404BA8"/>
    <w:rsid w:val="004118CC"/>
    <w:rsid w:val="004214BE"/>
    <w:rsid w:val="0042158B"/>
    <w:rsid w:val="004321FA"/>
    <w:rsid w:val="004363FC"/>
    <w:rsid w:val="00442962"/>
    <w:rsid w:val="00442A49"/>
    <w:rsid w:val="00445998"/>
    <w:rsid w:val="00446A23"/>
    <w:rsid w:val="00450143"/>
    <w:rsid w:val="00450B58"/>
    <w:rsid w:val="004543F8"/>
    <w:rsid w:val="00457AE5"/>
    <w:rsid w:val="00463CA3"/>
    <w:rsid w:val="0047175E"/>
    <w:rsid w:val="0047684D"/>
    <w:rsid w:val="00481424"/>
    <w:rsid w:val="00494E88"/>
    <w:rsid w:val="004A2565"/>
    <w:rsid w:val="004A261A"/>
    <w:rsid w:val="004A42A7"/>
    <w:rsid w:val="004B035F"/>
    <w:rsid w:val="004B0E6F"/>
    <w:rsid w:val="004B2D86"/>
    <w:rsid w:val="004C2464"/>
    <w:rsid w:val="004C4797"/>
    <w:rsid w:val="004C50A9"/>
    <w:rsid w:val="004D2D37"/>
    <w:rsid w:val="004E68F0"/>
    <w:rsid w:val="004F0B4A"/>
    <w:rsid w:val="004F673D"/>
    <w:rsid w:val="004F79AD"/>
    <w:rsid w:val="00504F59"/>
    <w:rsid w:val="00510B30"/>
    <w:rsid w:val="00515E86"/>
    <w:rsid w:val="00515EC0"/>
    <w:rsid w:val="005171F4"/>
    <w:rsid w:val="005179D3"/>
    <w:rsid w:val="0052155B"/>
    <w:rsid w:val="00524488"/>
    <w:rsid w:val="005311AC"/>
    <w:rsid w:val="00541D6B"/>
    <w:rsid w:val="0054789E"/>
    <w:rsid w:val="005542D3"/>
    <w:rsid w:val="00554C20"/>
    <w:rsid w:val="00561BD3"/>
    <w:rsid w:val="00576A48"/>
    <w:rsid w:val="005803EF"/>
    <w:rsid w:val="0059286C"/>
    <w:rsid w:val="00595E12"/>
    <w:rsid w:val="005A1BE9"/>
    <w:rsid w:val="005A2100"/>
    <w:rsid w:val="005A6041"/>
    <w:rsid w:val="005C34EC"/>
    <w:rsid w:val="005C551B"/>
    <w:rsid w:val="005D2401"/>
    <w:rsid w:val="005D3063"/>
    <w:rsid w:val="005F18DC"/>
    <w:rsid w:val="00600BEE"/>
    <w:rsid w:val="00606B44"/>
    <w:rsid w:val="00622AFB"/>
    <w:rsid w:val="0062435C"/>
    <w:rsid w:val="00626356"/>
    <w:rsid w:val="00630057"/>
    <w:rsid w:val="006300A5"/>
    <w:rsid w:val="00630592"/>
    <w:rsid w:val="0063675D"/>
    <w:rsid w:val="00637661"/>
    <w:rsid w:val="00642F24"/>
    <w:rsid w:val="006510BA"/>
    <w:rsid w:val="00654162"/>
    <w:rsid w:val="00661762"/>
    <w:rsid w:val="0066599D"/>
    <w:rsid w:val="00673B0D"/>
    <w:rsid w:val="00681E04"/>
    <w:rsid w:val="00686FF2"/>
    <w:rsid w:val="0069502B"/>
    <w:rsid w:val="006A3794"/>
    <w:rsid w:val="006A4A87"/>
    <w:rsid w:val="006A4B35"/>
    <w:rsid w:val="006A50CA"/>
    <w:rsid w:val="006B2D5B"/>
    <w:rsid w:val="006B4DE0"/>
    <w:rsid w:val="006B7585"/>
    <w:rsid w:val="006B7F9F"/>
    <w:rsid w:val="006C0F4E"/>
    <w:rsid w:val="006C1115"/>
    <w:rsid w:val="006C5FEC"/>
    <w:rsid w:val="006D41E5"/>
    <w:rsid w:val="006D7D52"/>
    <w:rsid w:val="006E6D10"/>
    <w:rsid w:val="006F0D07"/>
    <w:rsid w:val="0070091D"/>
    <w:rsid w:val="007033D1"/>
    <w:rsid w:val="007051CE"/>
    <w:rsid w:val="0071028B"/>
    <w:rsid w:val="007126E8"/>
    <w:rsid w:val="007128E9"/>
    <w:rsid w:val="00716033"/>
    <w:rsid w:val="00716460"/>
    <w:rsid w:val="00725216"/>
    <w:rsid w:val="00725B59"/>
    <w:rsid w:val="00727A8C"/>
    <w:rsid w:val="00734EB2"/>
    <w:rsid w:val="00735E2E"/>
    <w:rsid w:val="007572D1"/>
    <w:rsid w:val="007572E5"/>
    <w:rsid w:val="00757877"/>
    <w:rsid w:val="00775894"/>
    <w:rsid w:val="0078175F"/>
    <w:rsid w:val="00790BBC"/>
    <w:rsid w:val="00792238"/>
    <w:rsid w:val="007928B5"/>
    <w:rsid w:val="007A0BD2"/>
    <w:rsid w:val="007A7274"/>
    <w:rsid w:val="007A7E1D"/>
    <w:rsid w:val="007B2A59"/>
    <w:rsid w:val="007C67FA"/>
    <w:rsid w:val="007D6178"/>
    <w:rsid w:val="007E16F9"/>
    <w:rsid w:val="007E63FC"/>
    <w:rsid w:val="007E6B57"/>
    <w:rsid w:val="00801936"/>
    <w:rsid w:val="008062D9"/>
    <w:rsid w:val="008074AB"/>
    <w:rsid w:val="00810BAD"/>
    <w:rsid w:val="00817A56"/>
    <w:rsid w:val="00824B77"/>
    <w:rsid w:val="00824D4D"/>
    <w:rsid w:val="00830EE8"/>
    <w:rsid w:val="00847509"/>
    <w:rsid w:val="00853BE7"/>
    <w:rsid w:val="0086039D"/>
    <w:rsid w:val="008622D8"/>
    <w:rsid w:val="00862F92"/>
    <w:rsid w:val="008652C8"/>
    <w:rsid w:val="008827D6"/>
    <w:rsid w:val="00890154"/>
    <w:rsid w:val="00895FBD"/>
    <w:rsid w:val="008A266C"/>
    <w:rsid w:val="008A6E6D"/>
    <w:rsid w:val="008B0E08"/>
    <w:rsid w:val="008B3078"/>
    <w:rsid w:val="008C1D1E"/>
    <w:rsid w:val="008C4EAF"/>
    <w:rsid w:val="008D0AAC"/>
    <w:rsid w:val="008D1BBE"/>
    <w:rsid w:val="008D1DBD"/>
    <w:rsid w:val="008D2940"/>
    <w:rsid w:val="008D2ED9"/>
    <w:rsid w:val="008D3973"/>
    <w:rsid w:val="008D442A"/>
    <w:rsid w:val="008D4FED"/>
    <w:rsid w:val="008D5898"/>
    <w:rsid w:val="008E4D1B"/>
    <w:rsid w:val="008F16AB"/>
    <w:rsid w:val="00900875"/>
    <w:rsid w:val="0090333C"/>
    <w:rsid w:val="009049BC"/>
    <w:rsid w:val="0093354D"/>
    <w:rsid w:val="009363D4"/>
    <w:rsid w:val="00941B83"/>
    <w:rsid w:val="00942669"/>
    <w:rsid w:val="0095174F"/>
    <w:rsid w:val="00952E62"/>
    <w:rsid w:val="00953D89"/>
    <w:rsid w:val="0095657E"/>
    <w:rsid w:val="00980D7A"/>
    <w:rsid w:val="00982C4D"/>
    <w:rsid w:val="00987C9C"/>
    <w:rsid w:val="00987E83"/>
    <w:rsid w:val="009917E0"/>
    <w:rsid w:val="00996016"/>
    <w:rsid w:val="009977CE"/>
    <w:rsid w:val="009A3AFC"/>
    <w:rsid w:val="009A3C43"/>
    <w:rsid w:val="009B3191"/>
    <w:rsid w:val="009C4487"/>
    <w:rsid w:val="009C59B6"/>
    <w:rsid w:val="009D1E66"/>
    <w:rsid w:val="009D7CA2"/>
    <w:rsid w:val="009E09CB"/>
    <w:rsid w:val="009E0A27"/>
    <w:rsid w:val="009E3B37"/>
    <w:rsid w:val="009F2CC2"/>
    <w:rsid w:val="009F3735"/>
    <w:rsid w:val="009F5732"/>
    <w:rsid w:val="00A008BB"/>
    <w:rsid w:val="00A05279"/>
    <w:rsid w:val="00A13DED"/>
    <w:rsid w:val="00A31CC2"/>
    <w:rsid w:val="00A322EA"/>
    <w:rsid w:val="00A34A77"/>
    <w:rsid w:val="00A47C78"/>
    <w:rsid w:val="00A568CE"/>
    <w:rsid w:val="00A56A60"/>
    <w:rsid w:val="00A5749C"/>
    <w:rsid w:val="00A64823"/>
    <w:rsid w:val="00A65D33"/>
    <w:rsid w:val="00A7621F"/>
    <w:rsid w:val="00A82648"/>
    <w:rsid w:val="00A83A55"/>
    <w:rsid w:val="00A854E6"/>
    <w:rsid w:val="00A87C63"/>
    <w:rsid w:val="00A91F86"/>
    <w:rsid w:val="00AA11A7"/>
    <w:rsid w:val="00AA4EBF"/>
    <w:rsid w:val="00AA76D5"/>
    <w:rsid w:val="00AB157A"/>
    <w:rsid w:val="00AC4B1B"/>
    <w:rsid w:val="00AD2C8C"/>
    <w:rsid w:val="00AE4006"/>
    <w:rsid w:val="00B05B79"/>
    <w:rsid w:val="00B11842"/>
    <w:rsid w:val="00B11F1D"/>
    <w:rsid w:val="00B164CE"/>
    <w:rsid w:val="00B22241"/>
    <w:rsid w:val="00B22966"/>
    <w:rsid w:val="00B27184"/>
    <w:rsid w:val="00B33FAA"/>
    <w:rsid w:val="00B36E19"/>
    <w:rsid w:val="00B4391F"/>
    <w:rsid w:val="00B43AD2"/>
    <w:rsid w:val="00B45BCE"/>
    <w:rsid w:val="00B52E5C"/>
    <w:rsid w:val="00B55444"/>
    <w:rsid w:val="00B60DB4"/>
    <w:rsid w:val="00B61E9E"/>
    <w:rsid w:val="00B63041"/>
    <w:rsid w:val="00B71CAA"/>
    <w:rsid w:val="00B72579"/>
    <w:rsid w:val="00B72D1D"/>
    <w:rsid w:val="00B750AB"/>
    <w:rsid w:val="00B82EA9"/>
    <w:rsid w:val="00B84E6E"/>
    <w:rsid w:val="00B86A1C"/>
    <w:rsid w:val="00B876C6"/>
    <w:rsid w:val="00B906A8"/>
    <w:rsid w:val="00B91C78"/>
    <w:rsid w:val="00B9417F"/>
    <w:rsid w:val="00B94C92"/>
    <w:rsid w:val="00BA0BF6"/>
    <w:rsid w:val="00BA1678"/>
    <w:rsid w:val="00BA1EB8"/>
    <w:rsid w:val="00BA5D9D"/>
    <w:rsid w:val="00BA6970"/>
    <w:rsid w:val="00BA7DF6"/>
    <w:rsid w:val="00BB3330"/>
    <w:rsid w:val="00BB6586"/>
    <w:rsid w:val="00BB6F8B"/>
    <w:rsid w:val="00BC1B92"/>
    <w:rsid w:val="00BD095E"/>
    <w:rsid w:val="00BD76E4"/>
    <w:rsid w:val="00BE6CFA"/>
    <w:rsid w:val="00BE7A6A"/>
    <w:rsid w:val="00BF6FE1"/>
    <w:rsid w:val="00C0384C"/>
    <w:rsid w:val="00C11964"/>
    <w:rsid w:val="00C216FB"/>
    <w:rsid w:val="00C256C8"/>
    <w:rsid w:val="00C25840"/>
    <w:rsid w:val="00C32AE9"/>
    <w:rsid w:val="00C35D01"/>
    <w:rsid w:val="00C475E7"/>
    <w:rsid w:val="00C51B3B"/>
    <w:rsid w:val="00C52594"/>
    <w:rsid w:val="00C61FFB"/>
    <w:rsid w:val="00C67AD2"/>
    <w:rsid w:val="00C831AF"/>
    <w:rsid w:val="00C84E7D"/>
    <w:rsid w:val="00C87256"/>
    <w:rsid w:val="00C872D0"/>
    <w:rsid w:val="00C90DE7"/>
    <w:rsid w:val="00C94234"/>
    <w:rsid w:val="00C94543"/>
    <w:rsid w:val="00C94976"/>
    <w:rsid w:val="00C95485"/>
    <w:rsid w:val="00CA0642"/>
    <w:rsid w:val="00CA1527"/>
    <w:rsid w:val="00CA5C23"/>
    <w:rsid w:val="00CB22BD"/>
    <w:rsid w:val="00CB5DDE"/>
    <w:rsid w:val="00CC27F5"/>
    <w:rsid w:val="00CC2DF6"/>
    <w:rsid w:val="00CD63A1"/>
    <w:rsid w:val="00CE0194"/>
    <w:rsid w:val="00CE214F"/>
    <w:rsid w:val="00CE526D"/>
    <w:rsid w:val="00CE7AE9"/>
    <w:rsid w:val="00D01B3D"/>
    <w:rsid w:val="00D04D35"/>
    <w:rsid w:val="00D105EE"/>
    <w:rsid w:val="00D26C87"/>
    <w:rsid w:val="00D3014C"/>
    <w:rsid w:val="00D31130"/>
    <w:rsid w:val="00D3779D"/>
    <w:rsid w:val="00D46348"/>
    <w:rsid w:val="00D52D36"/>
    <w:rsid w:val="00D545C4"/>
    <w:rsid w:val="00D5601A"/>
    <w:rsid w:val="00D621DA"/>
    <w:rsid w:val="00D625C6"/>
    <w:rsid w:val="00D67E3B"/>
    <w:rsid w:val="00D769C2"/>
    <w:rsid w:val="00D83FA4"/>
    <w:rsid w:val="00D8523F"/>
    <w:rsid w:val="00D8599C"/>
    <w:rsid w:val="00D8631E"/>
    <w:rsid w:val="00D94D4D"/>
    <w:rsid w:val="00D97CA4"/>
    <w:rsid w:val="00DA017D"/>
    <w:rsid w:val="00DA5CB9"/>
    <w:rsid w:val="00DA6B91"/>
    <w:rsid w:val="00DB3A40"/>
    <w:rsid w:val="00DB54B6"/>
    <w:rsid w:val="00DB618A"/>
    <w:rsid w:val="00DB7A16"/>
    <w:rsid w:val="00DC1D0E"/>
    <w:rsid w:val="00DC45E5"/>
    <w:rsid w:val="00DD6B14"/>
    <w:rsid w:val="00DE205C"/>
    <w:rsid w:val="00DE3033"/>
    <w:rsid w:val="00DE4076"/>
    <w:rsid w:val="00DE5E26"/>
    <w:rsid w:val="00DE77C6"/>
    <w:rsid w:val="00E02A5D"/>
    <w:rsid w:val="00E0653A"/>
    <w:rsid w:val="00E17D73"/>
    <w:rsid w:val="00E2295A"/>
    <w:rsid w:val="00E4044E"/>
    <w:rsid w:val="00E40894"/>
    <w:rsid w:val="00E47674"/>
    <w:rsid w:val="00E53BBC"/>
    <w:rsid w:val="00E53E7E"/>
    <w:rsid w:val="00E579F6"/>
    <w:rsid w:val="00E62627"/>
    <w:rsid w:val="00E6366E"/>
    <w:rsid w:val="00E82031"/>
    <w:rsid w:val="00E836E0"/>
    <w:rsid w:val="00E876AF"/>
    <w:rsid w:val="00EA0EDA"/>
    <w:rsid w:val="00EA35CD"/>
    <w:rsid w:val="00EA4CC1"/>
    <w:rsid w:val="00EB456E"/>
    <w:rsid w:val="00EB45B8"/>
    <w:rsid w:val="00EB73D1"/>
    <w:rsid w:val="00EC65D0"/>
    <w:rsid w:val="00EC7985"/>
    <w:rsid w:val="00ED0CA3"/>
    <w:rsid w:val="00EE0D01"/>
    <w:rsid w:val="00EE3550"/>
    <w:rsid w:val="00EE4360"/>
    <w:rsid w:val="00EE4630"/>
    <w:rsid w:val="00EE5F07"/>
    <w:rsid w:val="00EE7461"/>
    <w:rsid w:val="00EF01DE"/>
    <w:rsid w:val="00EF2199"/>
    <w:rsid w:val="00EF6559"/>
    <w:rsid w:val="00F04B97"/>
    <w:rsid w:val="00F172C1"/>
    <w:rsid w:val="00F20D34"/>
    <w:rsid w:val="00F33249"/>
    <w:rsid w:val="00F406E7"/>
    <w:rsid w:val="00F4521D"/>
    <w:rsid w:val="00F45638"/>
    <w:rsid w:val="00F511F7"/>
    <w:rsid w:val="00F536AC"/>
    <w:rsid w:val="00F536E5"/>
    <w:rsid w:val="00F5637E"/>
    <w:rsid w:val="00F61AF1"/>
    <w:rsid w:val="00F6536F"/>
    <w:rsid w:val="00F700DB"/>
    <w:rsid w:val="00F744B7"/>
    <w:rsid w:val="00F817A2"/>
    <w:rsid w:val="00F84EEC"/>
    <w:rsid w:val="00FA2B20"/>
    <w:rsid w:val="00FA4751"/>
    <w:rsid w:val="00FB172E"/>
    <w:rsid w:val="00FB5ECA"/>
    <w:rsid w:val="00FC53FE"/>
    <w:rsid w:val="00FD06E0"/>
    <w:rsid w:val="00FD3E95"/>
    <w:rsid w:val="00FD6227"/>
    <w:rsid w:val="00FD62CE"/>
    <w:rsid w:val="00FE660B"/>
    <w:rsid w:val="00FF280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FC707"/>
  <w15:chartTrackingRefBased/>
  <w15:docId w15:val="{E95DC1E0-9E30-432E-B15E-0222B9AFF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06AA"/>
    <w:pPr>
      <w:spacing w:line="480" w:lineRule="auto"/>
      <w:jc w:val="both"/>
    </w:pPr>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52594"/>
    <w:pPr>
      <w:ind w:left="720"/>
      <w:contextualSpacing/>
    </w:pPr>
  </w:style>
  <w:style w:type="character" w:styleId="Textedelespacerserv">
    <w:name w:val="Placeholder Text"/>
    <w:basedOn w:val="Policepardfaut"/>
    <w:uiPriority w:val="99"/>
    <w:semiHidden/>
    <w:rsid w:val="008827D6"/>
    <w:rPr>
      <w:color w:val="808080"/>
    </w:rPr>
  </w:style>
  <w:style w:type="character" w:styleId="Lienhypertexte">
    <w:name w:val="Hyperlink"/>
    <w:basedOn w:val="Policepardfaut"/>
    <w:uiPriority w:val="99"/>
    <w:semiHidden/>
    <w:unhideWhenUsed/>
    <w:rsid w:val="008827D6"/>
    <w:rPr>
      <w:color w:val="0000FF"/>
      <w:u w:val="single"/>
    </w:rPr>
  </w:style>
  <w:style w:type="table" w:styleId="Grilledutableau">
    <w:name w:val="Table Grid"/>
    <w:basedOn w:val="TableauNormal"/>
    <w:uiPriority w:val="39"/>
    <w:rsid w:val="008827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1Clair">
    <w:name w:val="Grid Table 1 Light"/>
    <w:basedOn w:val="TableauNormal"/>
    <w:uiPriority w:val="46"/>
    <w:rsid w:val="00B2224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Lgende">
    <w:name w:val="caption"/>
    <w:basedOn w:val="Normal"/>
    <w:next w:val="Normal"/>
    <w:uiPriority w:val="35"/>
    <w:unhideWhenUsed/>
    <w:qFormat/>
    <w:rsid w:val="00A5749C"/>
    <w:pPr>
      <w:spacing w:after="200" w:line="240" w:lineRule="auto"/>
    </w:pPr>
    <w:rPr>
      <w:i/>
      <w:iCs/>
      <w:sz w:val="18"/>
      <w:szCs w:val="18"/>
    </w:rPr>
  </w:style>
  <w:style w:type="paragraph" w:styleId="Bibliographie">
    <w:name w:val="Bibliography"/>
    <w:basedOn w:val="Normal"/>
    <w:next w:val="Normal"/>
    <w:uiPriority w:val="37"/>
    <w:unhideWhenUsed/>
    <w:rsid w:val="00BA0BF6"/>
    <w:pPr>
      <w:tabs>
        <w:tab w:val="left" w:pos="264"/>
      </w:tabs>
      <w:spacing w:after="0"/>
      <w:ind w:left="264" w:hanging="264"/>
    </w:pPr>
  </w:style>
  <w:style w:type="paragraph" w:styleId="En-tte">
    <w:name w:val="header"/>
    <w:basedOn w:val="Normal"/>
    <w:link w:val="En-tteCar"/>
    <w:uiPriority w:val="99"/>
    <w:unhideWhenUsed/>
    <w:rsid w:val="00F04B97"/>
    <w:pPr>
      <w:tabs>
        <w:tab w:val="center" w:pos="4536"/>
        <w:tab w:val="right" w:pos="9072"/>
      </w:tabs>
      <w:spacing w:after="0" w:line="240" w:lineRule="auto"/>
    </w:pPr>
  </w:style>
  <w:style w:type="character" w:customStyle="1" w:styleId="En-tteCar">
    <w:name w:val="En-tête Car"/>
    <w:basedOn w:val="Policepardfaut"/>
    <w:link w:val="En-tte"/>
    <w:uiPriority w:val="99"/>
    <w:rsid w:val="00F04B97"/>
    <w:rPr>
      <w:rFonts w:ascii="Times New Roman" w:hAnsi="Times New Roman"/>
      <w:sz w:val="24"/>
    </w:rPr>
  </w:style>
  <w:style w:type="paragraph" w:styleId="Pieddepage">
    <w:name w:val="footer"/>
    <w:basedOn w:val="Normal"/>
    <w:link w:val="PieddepageCar"/>
    <w:uiPriority w:val="99"/>
    <w:unhideWhenUsed/>
    <w:rsid w:val="00F04B9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04B97"/>
    <w:rPr>
      <w:rFonts w:ascii="Times New Roman" w:hAnsi="Times New Roman"/>
      <w:sz w:val="24"/>
    </w:rPr>
  </w:style>
  <w:style w:type="character" w:styleId="Marquedecommentaire">
    <w:name w:val="annotation reference"/>
    <w:basedOn w:val="Policepardfaut"/>
    <w:uiPriority w:val="99"/>
    <w:semiHidden/>
    <w:unhideWhenUsed/>
    <w:rsid w:val="005171F4"/>
    <w:rPr>
      <w:sz w:val="16"/>
      <w:szCs w:val="16"/>
    </w:rPr>
  </w:style>
  <w:style w:type="paragraph" w:styleId="Commentaire">
    <w:name w:val="annotation text"/>
    <w:basedOn w:val="Normal"/>
    <w:link w:val="CommentaireCar"/>
    <w:uiPriority w:val="99"/>
    <w:semiHidden/>
    <w:unhideWhenUsed/>
    <w:rsid w:val="005171F4"/>
    <w:pPr>
      <w:spacing w:line="240" w:lineRule="auto"/>
    </w:pPr>
    <w:rPr>
      <w:sz w:val="20"/>
      <w:szCs w:val="20"/>
    </w:rPr>
  </w:style>
  <w:style w:type="character" w:customStyle="1" w:styleId="CommentaireCar">
    <w:name w:val="Commentaire Car"/>
    <w:basedOn w:val="Policepardfaut"/>
    <w:link w:val="Commentaire"/>
    <w:uiPriority w:val="99"/>
    <w:semiHidden/>
    <w:rsid w:val="005171F4"/>
    <w:rPr>
      <w:rFonts w:ascii="Times New Roman" w:hAnsi="Times New Roman"/>
      <w:sz w:val="20"/>
      <w:szCs w:val="20"/>
    </w:rPr>
  </w:style>
  <w:style w:type="paragraph" w:styleId="Objetducommentaire">
    <w:name w:val="annotation subject"/>
    <w:basedOn w:val="Commentaire"/>
    <w:next w:val="Commentaire"/>
    <w:link w:val="ObjetducommentaireCar"/>
    <w:uiPriority w:val="99"/>
    <w:semiHidden/>
    <w:unhideWhenUsed/>
    <w:rsid w:val="005171F4"/>
    <w:rPr>
      <w:b/>
      <w:bCs/>
    </w:rPr>
  </w:style>
  <w:style w:type="character" w:customStyle="1" w:styleId="ObjetducommentaireCar">
    <w:name w:val="Objet du commentaire Car"/>
    <w:basedOn w:val="CommentaireCar"/>
    <w:link w:val="Objetducommentaire"/>
    <w:uiPriority w:val="99"/>
    <w:semiHidden/>
    <w:rsid w:val="005171F4"/>
    <w:rPr>
      <w:rFonts w:ascii="Times New Roman" w:hAnsi="Times New Roman"/>
      <w:b/>
      <w:bCs/>
      <w:sz w:val="20"/>
      <w:szCs w:val="20"/>
    </w:rPr>
  </w:style>
  <w:style w:type="paragraph" w:styleId="Textedebulles">
    <w:name w:val="Balloon Text"/>
    <w:basedOn w:val="Normal"/>
    <w:link w:val="TextedebullesCar"/>
    <w:uiPriority w:val="99"/>
    <w:semiHidden/>
    <w:unhideWhenUsed/>
    <w:rsid w:val="005171F4"/>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5171F4"/>
    <w:rPr>
      <w:rFonts w:ascii="Segoe UI" w:hAnsi="Segoe UI" w:cs="Segoe UI"/>
      <w:sz w:val="18"/>
      <w:szCs w:val="18"/>
    </w:rPr>
  </w:style>
  <w:style w:type="character" w:styleId="Numrodeligne">
    <w:name w:val="line number"/>
    <w:basedOn w:val="Policepardfaut"/>
    <w:uiPriority w:val="99"/>
    <w:semiHidden/>
    <w:unhideWhenUsed/>
    <w:rsid w:val="00392E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0817284">
      <w:bodyDiv w:val="1"/>
      <w:marLeft w:val="0"/>
      <w:marRight w:val="0"/>
      <w:marTop w:val="0"/>
      <w:marBottom w:val="0"/>
      <w:divBdr>
        <w:top w:val="none" w:sz="0" w:space="0" w:color="auto"/>
        <w:left w:val="none" w:sz="0" w:space="0" w:color="auto"/>
        <w:bottom w:val="none" w:sz="0" w:space="0" w:color="auto"/>
        <w:right w:val="none" w:sz="0" w:space="0" w:color="auto"/>
      </w:divBdr>
    </w:div>
    <w:div w:id="1321036495">
      <w:bodyDiv w:val="1"/>
      <w:marLeft w:val="0"/>
      <w:marRight w:val="0"/>
      <w:marTop w:val="0"/>
      <w:marBottom w:val="0"/>
      <w:divBdr>
        <w:top w:val="none" w:sz="0" w:space="0" w:color="auto"/>
        <w:left w:val="none" w:sz="0" w:space="0" w:color="auto"/>
        <w:bottom w:val="none" w:sz="0" w:space="0" w:color="auto"/>
        <w:right w:val="none" w:sz="0" w:space="0" w:color="auto"/>
      </w:divBdr>
    </w:div>
    <w:div w:id="1461848568">
      <w:bodyDiv w:val="1"/>
      <w:marLeft w:val="0"/>
      <w:marRight w:val="0"/>
      <w:marTop w:val="0"/>
      <w:marBottom w:val="0"/>
      <w:divBdr>
        <w:top w:val="none" w:sz="0" w:space="0" w:color="auto"/>
        <w:left w:val="none" w:sz="0" w:space="0" w:color="auto"/>
        <w:bottom w:val="none" w:sz="0" w:space="0" w:color="auto"/>
        <w:right w:val="none" w:sz="0" w:space="0" w:color="auto"/>
      </w:divBdr>
    </w:div>
    <w:div w:id="1565023169">
      <w:bodyDiv w:val="1"/>
      <w:marLeft w:val="0"/>
      <w:marRight w:val="0"/>
      <w:marTop w:val="0"/>
      <w:marBottom w:val="0"/>
      <w:divBdr>
        <w:top w:val="none" w:sz="0" w:space="0" w:color="auto"/>
        <w:left w:val="none" w:sz="0" w:space="0" w:color="auto"/>
        <w:bottom w:val="none" w:sz="0" w:space="0" w:color="auto"/>
        <w:right w:val="none" w:sz="0" w:space="0" w:color="auto"/>
      </w:divBdr>
    </w:div>
    <w:div w:id="1649901320">
      <w:bodyDiv w:val="1"/>
      <w:marLeft w:val="0"/>
      <w:marRight w:val="0"/>
      <w:marTop w:val="0"/>
      <w:marBottom w:val="0"/>
      <w:divBdr>
        <w:top w:val="none" w:sz="0" w:space="0" w:color="auto"/>
        <w:left w:val="none" w:sz="0" w:space="0" w:color="auto"/>
        <w:bottom w:val="none" w:sz="0" w:space="0" w:color="auto"/>
        <w:right w:val="none" w:sz="0" w:space="0" w:color="auto"/>
      </w:divBdr>
    </w:div>
    <w:div w:id="1709910479">
      <w:bodyDiv w:val="1"/>
      <w:marLeft w:val="0"/>
      <w:marRight w:val="0"/>
      <w:marTop w:val="0"/>
      <w:marBottom w:val="0"/>
      <w:divBdr>
        <w:top w:val="none" w:sz="0" w:space="0" w:color="auto"/>
        <w:left w:val="none" w:sz="0" w:space="0" w:color="auto"/>
        <w:bottom w:val="none" w:sz="0" w:space="0" w:color="auto"/>
        <w:right w:val="none" w:sz="0" w:space="0" w:color="auto"/>
      </w:divBdr>
    </w:div>
    <w:div w:id="210954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fr.wiktionary.org/wiki/%CE%BA" TargetMode="External"/><Relationship Id="rId2" Type="http://schemas.openxmlformats.org/officeDocument/2006/relationships/numbering" Target="numbering.xml"/><Relationship Id="rId16" Type="http://schemas.openxmlformats.org/officeDocument/2006/relationships/hyperlink" Target="https://fr.wiktionary.org/wiki/%CE%B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7094F4-4E7A-43FD-8FF3-9C1DB0059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1</Pages>
  <Words>15262</Words>
  <Characters>83946</Characters>
  <Application>Microsoft Office Word</Application>
  <DocSecurity>0</DocSecurity>
  <Lines>699</Lines>
  <Paragraphs>198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99010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MORIS-MUTTONI</dc:creator>
  <cp:keywords/>
  <dc:description/>
  <cp:lastModifiedBy>Benjamin MORIS-MUTTONI</cp:lastModifiedBy>
  <cp:revision>7</cp:revision>
  <dcterms:created xsi:type="dcterms:W3CDTF">2021-12-22T12:26:00Z</dcterms:created>
  <dcterms:modified xsi:type="dcterms:W3CDTF">2022-01-14T12:40:00Z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zotero-version="5.0.66"&gt;&lt;session id="3xe6LGGe"/&gt;&lt;style id="http://www.zotero.org/styles/nature" hasBibliography="1" bibliographyStyleHasBeenSet="1"/&gt;&lt;prefs&gt;&lt;pref name="fieldType" value="Field"/&gt;&lt;pref name="automaticJournalAbbreviati</vt:lpwstr>
  </property>
  <property fmtid="{D5CDD505-2E9C-101B-9397-08002B2CF9AE}" pid="3" name="ZOTERO_PREF_2">
    <vt:lpwstr>ons" value="true"/&gt;&lt;/prefs&gt;&lt;/data&gt;</vt:lpwstr>
  </property>
</Properties>
</file>