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1667D" w14:textId="3ADE5FF4" w:rsidR="00D2211D" w:rsidRPr="000F507F" w:rsidRDefault="00232BDE" w:rsidP="00232BD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F507F">
        <w:rPr>
          <w:rStyle w:val="Egyiksem"/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Dual Isoform Sequencing Reveals </w:t>
      </w:r>
      <w:r w:rsidRPr="000F507F">
        <w:rPr>
          <w:rStyle w:val="Egyiksem"/>
          <w:rFonts w:ascii="Times New Roman" w:hAnsi="Times New Roman"/>
          <w:b/>
          <w:bCs/>
          <w:color w:val="000000" w:themeColor="text1"/>
          <w:sz w:val="24"/>
          <w:szCs w:val="24"/>
          <w:u w:color="0070C0"/>
        </w:rPr>
        <w:t xml:space="preserve">Complex </w:t>
      </w:r>
      <w:r w:rsidRPr="000F507F">
        <w:rPr>
          <w:rStyle w:val="Egyiksem"/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Transcriptomic </w:t>
      </w:r>
      <w:r w:rsidRPr="000F507F">
        <w:rPr>
          <w:rStyle w:val="Egyiksem"/>
          <w:rFonts w:ascii="Times New Roman" w:hAnsi="Times New Roman"/>
          <w:b/>
          <w:bCs/>
          <w:color w:val="000000" w:themeColor="text1"/>
          <w:sz w:val="24"/>
          <w:szCs w:val="24"/>
          <w:u w:color="0070C0"/>
        </w:rPr>
        <w:t>and Epitranscriptomic Landscapes</w:t>
      </w:r>
      <w:r w:rsidRPr="000F507F">
        <w:rPr>
          <w:rStyle w:val="Egyiksem"/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of a Prototype Baculovirus</w:t>
      </w:r>
    </w:p>
    <w:p w14:paraId="5315B575" w14:textId="7DE9C39F" w:rsidR="00D2211D" w:rsidRPr="00D2211D" w:rsidRDefault="00D2211D" w:rsidP="00D2211D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</w:pPr>
      <w:r w:rsidRPr="00D2211D">
        <w:rPr>
          <w:rFonts w:ascii="Times New Roman" w:eastAsia="Times New Roman" w:hAnsi="Times New Roman" w:cs="Times New Roman"/>
          <w:bCs/>
          <w:sz w:val="24"/>
          <w:szCs w:val="24"/>
        </w:rPr>
        <w:t xml:space="preserve">Gábor Torma, Dóra Tombácz, Norbert Moldován, </w:t>
      </w:r>
      <w:r w:rsidR="005E3F6A" w:rsidRPr="00D2211D">
        <w:rPr>
          <w:rFonts w:ascii="Times New Roman" w:eastAsia="Times New Roman" w:hAnsi="Times New Roman" w:cs="Times New Roman"/>
          <w:bCs/>
          <w:sz w:val="24"/>
          <w:szCs w:val="24"/>
        </w:rPr>
        <w:t xml:space="preserve">Ádám Fülöp, </w:t>
      </w:r>
      <w:r w:rsidR="005E3F6A" w:rsidRPr="00925346">
        <w:rPr>
          <w:rStyle w:val="Egyiksem"/>
          <w:rFonts w:ascii="Times New Roman" w:hAnsi="Times New Roman"/>
          <w:sz w:val="24"/>
          <w:szCs w:val="24"/>
        </w:rPr>
        <w:t>István Prazsák</w:t>
      </w:r>
      <w:r w:rsidR="005E3F6A" w:rsidRPr="005E3F6A">
        <w:rPr>
          <w:rStyle w:val="Egyiksem"/>
          <w:rFonts w:ascii="Times New Roman" w:hAnsi="Times New Roman"/>
          <w:sz w:val="24"/>
          <w:szCs w:val="24"/>
        </w:rPr>
        <w:t>,</w:t>
      </w:r>
      <w:r w:rsidR="005E3F6A">
        <w:rPr>
          <w:rStyle w:val="Egyiksem"/>
          <w:rFonts w:ascii="Times New Roman" w:hAnsi="Times New Roman"/>
          <w:sz w:val="24"/>
          <w:szCs w:val="24"/>
          <w:vertAlign w:val="superscript"/>
        </w:rPr>
        <w:t xml:space="preserve"> </w:t>
      </w:r>
      <w:r w:rsidRPr="00D2211D">
        <w:rPr>
          <w:rFonts w:ascii="Times New Roman" w:eastAsia="Times New Roman" w:hAnsi="Times New Roman" w:cs="Times New Roman"/>
          <w:bCs/>
          <w:sz w:val="24"/>
          <w:szCs w:val="24"/>
        </w:rPr>
        <w:t xml:space="preserve">Zsolt Csabai, Michael Snyder, </w:t>
      </w:r>
      <w:r w:rsidR="005E3F6A">
        <w:rPr>
          <w:rFonts w:ascii="Times New Roman" w:eastAsia="Times New Roman" w:hAnsi="Times New Roman" w:cs="Times New Roman"/>
          <w:bCs/>
          <w:sz w:val="24"/>
          <w:szCs w:val="24"/>
        </w:rPr>
        <w:t xml:space="preserve">and </w:t>
      </w:r>
      <w:r w:rsidRPr="00D2211D">
        <w:rPr>
          <w:rFonts w:ascii="Times New Roman" w:eastAsia="Times New Roman" w:hAnsi="Times New Roman" w:cs="Times New Roman"/>
          <w:bCs/>
          <w:sz w:val="24"/>
          <w:szCs w:val="24"/>
        </w:rPr>
        <w:t>Zsolt Boldogkői</w:t>
      </w:r>
    </w:p>
    <w:p w14:paraId="395658D4" w14:textId="409A9A4D" w:rsidR="005001EE" w:rsidRDefault="005001EE" w:rsidP="005001EE">
      <w:pPr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noProof/>
          <w:lang w:val="hu-HU"/>
        </w:rPr>
        <w:drawing>
          <wp:inline distT="0" distB="0" distL="0" distR="0" wp14:anchorId="3B1E71E1" wp14:editId="1A03A4E0">
            <wp:extent cx="4000500" cy="449580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94585" w14:textId="5CB8D1D2" w:rsidR="005001EE" w:rsidRPr="00692B83" w:rsidRDefault="005001EE" w:rsidP="005001EE">
      <w:pPr>
        <w:spacing w:after="120" w:line="240" w:lineRule="auto"/>
        <w:jc w:val="both"/>
        <w:rPr>
          <w:rFonts w:ascii="Times New Roman" w:hAnsi="Times New Roman" w:cs="Times New Roman"/>
          <w:b/>
          <w:bCs/>
        </w:rPr>
      </w:pPr>
      <w:r w:rsidRPr="00BC4E0A">
        <w:rPr>
          <w:rFonts w:ascii="Times New Roman" w:hAnsi="Times New Roman" w:cs="Times New Roman"/>
          <w:b/>
          <w:bCs/>
        </w:rPr>
        <w:t>Supplementary figure 1.</w:t>
      </w:r>
      <w:r>
        <w:rPr>
          <w:rFonts w:ascii="Times New Roman" w:hAnsi="Times New Roman" w:cs="Times New Roman"/>
          <w:b/>
          <w:bCs/>
        </w:rPr>
        <w:t xml:space="preserve"> </w:t>
      </w:r>
      <w:r w:rsidRPr="00BC4E0A">
        <w:rPr>
          <w:rFonts w:ascii="Times New Roman" w:hAnsi="Times New Roman" w:cs="Times New Roman"/>
        </w:rPr>
        <w:t>Boxplot distribution of transcript reads.</w:t>
      </w:r>
    </w:p>
    <w:p w14:paraId="7666B42F" w14:textId="7B5CFC85" w:rsidR="00B43F5A" w:rsidRDefault="00B43F5A"/>
    <w:p w14:paraId="30D0EF99" w14:textId="5A849A0C" w:rsidR="00D2211D" w:rsidRDefault="00D2211D" w:rsidP="00E514FE"/>
    <w:p w14:paraId="2C16938E" w14:textId="65F1721B" w:rsidR="00D2211D" w:rsidRDefault="00D2211D" w:rsidP="00D2211D">
      <w:pPr>
        <w:jc w:val="center"/>
      </w:pPr>
      <w:r>
        <w:rPr>
          <w:noProof/>
          <w:lang w:val="hu-HU"/>
        </w:rPr>
        <w:lastRenderedPageBreak/>
        <w:drawing>
          <wp:inline distT="0" distB="0" distL="0" distR="0" wp14:anchorId="02F1CC68" wp14:editId="5836BACE">
            <wp:extent cx="5760720" cy="5469255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46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C6429" w14:textId="7541395C" w:rsidR="00692B83" w:rsidRPr="00692B83" w:rsidRDefault="00692B83" w:rsidP="00692B83">
      <w:pPr>
        <w:spacing w:after="120" w:line="240" w:lineRule="auto"/>
        <w:jc w:val="both"/>
        <w:rPr>
          <w:rFonts w:ascii="Times New Roman" w:hAnsi="Times New Roman" w:cs="Times New Roman"/>
          <w:b/>
          <w:bCs/>
        </w:rPr>
      </w:pPr>
      <w:r w:rsidRPr="00BC4E0A">
        <w:rPr>
          <w:rFonts w:ascii="Times New Roman" w:hAnsi="Times New Roman" w:cs="Times New Roman"/>
          <w:b/>
          <w:bCs/>
        </w:rPr>
        <w:t xml:space="preserve">Supplementary figure </w:t>
      </w:r>
      <w:r w:rsidR="00D547C4">
        <w:rPr>
          <w:rFonts w:ascii="Times New Roman" w:hAnsi="Times New Roman" w:cs="Times New Roman"/>
          <w:b/>
          <w:bCs/>
        </w:rPr>
        <w:t>2</w:t>
      </w:r>
      <w:r w:rsidRPr="00BC4E0A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 w:rsidRPr="00BC4E0A">
        <w:rPr>
          <w:rFonts w:ascii="Times New Roman" w:hAnsi="Times New Roman" w:cs="Times New Roman"/>
        </w:rPr>
        <w:t>Semi-quantitative abundance of AcMNPV transcripts. Color code: light grey: low-abundance transcripts (1-5 reads); dark grey: medium-abundance transcripts (6-10 reads); high-abundance transcripts (11 – 10,000 reads). Single-read transcripts were identified on the basis of multiple TSSs and/or TESs by the LoRTIA suit.</w:t>
      </w:r>
    </w:p>
    <w:p w14:paraId="7AB374BC" w14:textId="65B25843" w:rsidR="00692B83" w:rsidRDefault="00692B83" w:rsidP="00D2211D">
      <w:pPr>
        <w:jc w:val="center"/>
      </w:pPr>
    </w:p>
    <w:p w14:paraId="05F0FF79" w14:textId="09858579" w:rsidR="00E31F1B" w:rsidRDefault="00E31F1B" w:rsidP="00D2211D">
      <w:pPr>
        <w:jc w:val="center"/>
      </w:pPr>
    </w:p>
    <w:p w14:paraId="625E357E" w14:textId="38C79B64" w:rsidR="00E31F1B" w:rsidRDefault="00E31F1B" w:rsidP="00D2211D">
      <w:pPr>
        <w:jc w:val="center"/>
      </w:pPr>
      <w:r>
        <w:rPr>
          <w:noProof/>
          <w:lang w:val="hu-HU"/>
        </w:rPr>
        <w:lastRenderedPageBreak/>
        <w:drawing>
          <wp:inline distT="0" distB="0" distL="0" distR="0" wp14:anchorId="4872AC86" wp14:editId="5E7CAE5F">
            <wp:extent cx="5760720" cy="4287520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8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25806" w14:textId="2B5139D6" w:rsidR="00E31F1B" w:rsidRPr="00692B83" w:rsidRDefault="00E31F1B" w:rsidP="00E31F1B">
      <w:pPr>
        <w:spacing w:after="120" w:line="240" w:lineRule="auto"/>
        <w:jc w:val="both"/>
        <w:rPr>
          <w:rFonts w:ascii="Times New Roman" w:hAnsi="Times New Roman" w:cs="Times New Roman"/>
          <w:b/>
          <w:bCs/>
        </w:rPr>
      </w:pPr>
      <w:r w:rsidRPr="00BC4E0A">
        <w:rPr>
          <w:rFonts w:ascii="Times New Roman" w:hAnsi="Times New Roman" w:cs="Times New Roman"/>
          <w:b/>
          <w:bCs/>
        </w:rPr>
        <w:t xml:space="preserve">Supplementary figure </w:t>
      </w:r>
      <w:r w:rsidR="00D547C4">
        <w:rPr>
          <w:rFonts w:ascii="Times New Roman" w:hAnsi="Times New Roman" w:cs="Times New Roman"/>
          <w:b/>
          <w:bCs/>
        </w:rPr>
        <w:t>3</w:t>
      </w:r>
      <w:r w:rsidRPr="00BC4E0A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 w:rsidRPr="00E31F1B">
        <w:rPr>
          <w:rFonts w:ascii="Times New Roman" w:hAnsi="Times New Roman" w:cs="Times New Roman"/>
        </w:rPr>
        <w:t>Distribution of 5-methylcytosines along the AcMNPV genome. Red peaks show methylation on the positive DNA strand and blue peaks on the negative strand.</w:t>
      </w:r>
    </w:p>
    <w:p w14:paraId="5CA10B04" w14:textId="77777777" w:rsidR="00E31F1B" w:rsidRDefault="00E31F1B" w:rsidP="00D2211D">
      <w:pPr>
        <w:jc w:val="center"/>
      </w:pPr>
    </w:p>
    <w:sectPr w:rsidR="00E31F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11D"/>
    <w:rsid w:val="000E3D5D"/>
    <w:rsid w:val="000F507F"/>
    <w:rsid w:val="00232BDE"/>
    <w:rsid w:val="00266FC9"/>
    <w:rsid w:val="00490B76"/>
    <w:rsid w:val="005001EE"/>
    <w:rsid w:val="005E3F6A"/>
    <w:rsid w:val="00692B83"/>
    <w:rsid w:val="00717BE3"/>
    <w:rsid w:val="00B43F5A"/>
    <w:rsid w:val="00D2211D"/>
    <w:rsid w:val="00D547C4"/>
    <w:rsid w:val="00D562A9"/>
    <w:rsid w:val="00DE1DF2"/>
    <w:rsid w:val="00E31F1B"/>
    <w:rsid w:val="00E514FE"/>
    <w:rsid w:val="00F00E41"/>
    <w:rsid w:val="00FC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29CF8"/>
  <w15:chartTrackingRefBased/>
  <w15:docId w15:val="{5F255BA4-D571-4D41-8177-4A05AD83C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2211D"/>
    <w:rPr>
      <w:rFonts w:ascii="Calibri" w:eastAsia="Calibri" w:hAnsi="Calibri" w:cs="Calibri"/>
      <w:lang w:val="en-US"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Egyiksem">
    <w:name w:val="Egyik sem"/>
    <w:rsid w:val="00232B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105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Mexx Gábor</dc:creator>
  <cp:keywords/>
  <dc:description/>
  <cp:lastModifiedBy>Mexx Gábor</cp:lastModifiedBy>
  <cp:revision>11</cp:revision>
  <dcterms:created xsi:type="dcterms:W3CDTF">2021-06-17T14:05:00Z</dcterms:created>
  <dcterms:modified xsi:type="dcterms:W3CDTF">2021-11-23T13:27:00Z</dcterms:modified>
</cp:coreProperties>
</file>