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5022" w14:textId="0FD90118" w:rsidR="00A500FB" w:rsidRPr="00A500FB" w:rsidRDefault="00A500FB" w:rsidP="00A500FB">
      <w:pPr>
        <w:bidi w:val="0"/>
        <w:spacing w:after="0" w:line="276" w:lineRule="auto"/>
        <w:jc w:val="both"/>
        <w:rPr>
          <w:rFonts w:ascii="Times New Roman" w:eastAsia="Times New Roman" w:hAnsi="Times New Roman" w:cs="Times New Roman"/>
          <w:lang w:bidi="fa-IR"/>
        </w:rPr>
      </w:pPr>
      <w:r w:rsidRPr="00A500FB">
        <w:rPr>
          <w:rFonts w:ascii="Times New Roman" w:eastAsia="Times New Roman" w:hAnsi="Times New Roman" w:cs="Times New Roman"/>
          <w:lang w:bidi="fa-IR"/>
        </w:rPr>
        <w:t xml:space="preserve">Supplementary Table </w:t>
      </w:r>
      <w:r w:rsidR="006D1156">
        <w:rPr>
          <w:rFonts w:ascii="Times New Roman" w:eastAsia="Times New Roman" w:hAnsi="Times New Roman" w:cs="Times New Roman" w:hint="cs"/>
          <w:rtl/>
          <w:lang w:bidi="fa-IR"/>
        </w:rPr>
        <w:t>3</w:t>
      </w:r>
      <w:r w:rsidRPr="00A500FB">
        <w:rPr>
          <w:rFonts w:ascii="Times New Roman" w:eastAsia="Times New Roman" w:hAnsi="Times New Roman" w:cs="Times New Roman"/>
          <w:lang w:bidi="fa-IR"/>
        </w:rPr>
        <w:t>. Sensitivity analyses of the impact of unmeasured mediator-CVD confounding (U) on hazard ratios (HR) for direct, indirect effects, and proportion mediated (PM) of overweight, general obesity and central obesity on CVD for three metabolic mediators combined</w:t>
      </w:r>
    </w:p>
    <w:p w14:paraId="34C2C773" w14:textId="77777777" w:rsidR="00A500FB" w:rsidRPr="00A500FB" w:rsidRDefault="00A500FB" w:rsidP="00A500FB">
      <w:pPr>
        <w:bidi w:val="0"/>
        <w:spacing w:after="0" w:line="276" w:lineRule="auto"/>
        <w:jc w:val="both"/>
        <w:rPr>
          <w:rFonts w:ascii="Times New Roman" w:eastAsia="Times New Roman" w:hAnsi="Times New Roman" w:cs="Times New Roman"/>
          <w:lang w:bidi="fa-IR"/>
        </w:rPr>
      </w:pPr>
    </w:p>
    <w:tbl>
      <w:tblPr>
        <w:tblStyle w:val="TableGrid1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947"/>
        <w:gridCol w:w="967"/>
        <w:gridCol w:w="999"/>
        <w:gridCol w:w="810"/>
        <w:gridCol w:w="966"/>
        <w:gridCol w:w="869"/>
        <w:gridCol w:w="811"/>
        <w:gridCol w:w="755"/>
        <w:gridCol w:w="920"/>
      </w:tblGrid>
      <w:tr w:rsidR="00CB69A5" w:rsidRPr="00A500FB" w14:paraId="2735EF7D" w14:textId="77777777" w:rsidTr="00D86EE3">
        <w:tc>
          <w:tcPr>
            <w:tcW w:w="70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80C86" w14:textId="1A0E758D" w:rsidR="00CB69A5" w:rsidRPr="00A500FB" w:rsidRDefault="00D86EE3" w:rsidP="00D86EE3">
            <w:pPr>
              <w:jc w:val="center"/>
              <w:rPr>
                <w:rFonts w:ascii="TimesNewRomanPS-BoldMT" w:hAnsi="TimesNewRomanPS-BoldMT" w:cs="Arial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  <w:t>E</w:t>
            </w:r>
            <w:r w:rsidR="00CB69A5"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  <w:t>xposures</w:t>
            </w:r>
          </w:p>
          <w:p w14:paraId="2F6A48DE" w14:textId="53296AB4" w:rsidR="00A500FB" w:rsidRPr="00A500FB" w:rsidRDefault="00A500FB" w:rsidP="00D86EE3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bidi="fa-IR"/>
              </w:rPr>
            </w:pPr>
          </w:p>
        </w:tc>
        <w:tc>
          <w:tcPr>
            <w:tcW w:w="161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7A3392" w14:textId="77777777" w:rsidR="00A500FB" w:rsidRPr="00A500FB" w:rsidRDefault="00A500FB" w:rsidP="00A500FB">
            <w:pPr>
              <w:jc w:val="center"/>
              <w:rPr>
                <w:rFonts w:ascii="TimesNewRomanPS-BoldMT" w:hAnsi="TimesNewRomanPS-BoldMT" w:cs="Arial"/>
                <w:color w:val="000000"/>
                <w:sz w:val="24"/>
                <w:szCs w:val="24"/>
                <w:vertAlign w:val="superscript"/>
              </w:rPr>
            </w:pPr>
            <w:r w:rsidRPr="00A500FB"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  <w:t>Observed analysis</w:t>
            </w:r>
          </w:p>
          <w:p w14:paraId="3A192BBD" w14:textId="77777777" w:rsidR="00A500FB" w:rsidRPr="00A500FB" w:rsidRDefault="00A500FB" w:rsidP="00A500FB">
            <w:pPr>
              <w:rPr>
                <w:rFonts w:ascii="Times New Roman" w:hAnsi="Times New Roman" w:cs="Times New Roman"/>
                <w:b/>
                <w:bCs/>
                <w:vertAlign w:val="superscript"/>
                <w:lang w:bidi="fa-IR"/>
              </w:rPr>
            </w:pPr>
            <w:r w:rsidRPr="00A500FB">
              <w:rPr>
                <w:rFonts w:ascii="TimesNewRomanPS-BoldMT" w:hAnsi="TimesNewRomanPS-BoldMT" w:cs="Arial"/>
                <w:color w:val="000000"/>
              </w:rPr>
              <w:t>(No unmeasured confounding, HR</w:t>
            </w:r>
            <w:r w:rsidRPr="00A500FB">
              <w:rPr>
                <w:rFonts w:ascii="TimesNewRomanPS-BoldMT" w:hAnsi="TimesNewRomanPS-BoldMT" w:cs="Arial"/>
                <w:color w:val="000000"/>
                <w:vertAlign w:val="subscript"/>
              </w:rPr>
              <w:t>U</w:t>
            </w:r>
            <w:r w:rsidRPr="00A500FB">
              <w:rPr>
                <w:rFonts w:ascii="TimesNewRomanPS-BoldMT" w:hAnsi="TimesNewRomanPS-BoldMT" w:cs="Arial"/>
                <w:color w:val="000000"/>
              </w:rPr>
              <w:t>=1)</w:t>
            </w:r>
            <w:r w:rsidRPr="00A500FB">
              <w:rPr>
                <w:rFonts w:ascii="TimesNewRomanPS-BoldMT" w:hAnsi="TimesNewRomanPS-BoldMT" w:cs="Arial"/>
                <w:color w:val="000000"/>
                <w:vertAlign w:val="superscript"/>
              </w:rPr>
              <w:t>2</w:t>
            </w:r>
          </w:p>
        </w:tc>
        <w:tc>
          <w:tcPr>
            <w:tcW w:w="129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FBCA0" w14:textId="77777777" w:rsidR="00A500FB" w:rsidRPr="00A500FB" w:rsidRDefault="00A500FB" w:rsidP="00A500FB">
            <w:pPr>
              <w:jc w:val="center"/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</w:pPr>
            <w:r w:rsidRPr="00A500FB"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  <w:t>Mild unmeasured confounding</w:t>
            </w:r>
          </w:p>
          <w:p w14:paraId="5AE428E1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A500FB">
              <w:rPr>
                <w:rFonts w:ascii="TimesNewRomanPS-BoldMT" w:hAnsi="TimesNewRomanPS-BoldMT" w:cs="Arial"/>
                <w:color w:val="000000"/>
              </w:rPr>
              <w:t>(HR</w:t>
            </w:r>
            <w:r w:rsidRPr="00A500FB">
              <w:rPr>
                <w:rFonts w:ascii="TimesNewRomanPS-BoldMT" w:hAnsi="TimesNewRomanPS-BoldMT" w:cs="Arial"/>
                <w:color w:val="000000"/>
                <w:vertAlign w:val="subscript"/>
              </w:rPr>
              <w:t>U</w:t>
            </w:r>
            <w:r w:rsidRPr="00A500FB">
              <w:rPr>
                <w:rFonts w:ascii="TimesNewRomanPS-BoldMT" w:hAnsi="TimesNewRomanPS-BoldMT" w:cs="Arial"/>
                <w:color w:val="000000"/>
              </w:rPr>
              <w:t>=1.1)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012929" w14:textId="77777777" w:rsidR="00A500FB" w:rsidRPr="00A500FB" w:rsidRDefault="00A500FB" w:rsidP="00A500FB">
            <w:pPr>
              <w:jc w:val="both"/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</w:pPr>
            <w:r w:rsidRPr="00A500FB">
              <w:rPr>
                <w:rFonts w:ascii="TimesNewRomanPS-BoldMT" w:hAnsi="TimesNewRomanPS-BoldMT" w:cs="Arial"/>
                <w:b/>
                <w:bCs/>
                <w:color w:val="000000"/>
                <w:sz w:val="24"/>
                <w:szCs w:val="24"/>
              </w:rPr>
              <w:t>Strong unmeasured confounding</w:t>
            </w:r>
          </w:p>
          <w:p w14:paraId="0D94F98B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A500FB">
              <w:rPr>
                <w:rFonts w:ascii="TimesNewRomanPS-BoldMT" w:hAnsi="TimesNewRomanPS-BoldMT" w:cs="Arial"/>
                <w:color w:val="000000"/>
              </w:rPr>
              <w:t>(HR</w:t>
            </w:r>
            <w:r w:rsidRPr="00A500FB">
              <w:rPr>
                <w:rFonts w:ascii="TimesNewRomanPS-BoldMT" w:hAnsi="TimesNewRomanPS-BoldMT" w:cs="Arial"/>
                <w:color w:val="000000"/>
                <w:vertAlign w:val="subscript"/>
              </w:rPr>
              <w:t>U</w:t>
            </w:r>
            <w:r w:rsidRPr="00A500FB">
              <w:rPr>
                <w:rFonts w:ascii="TimesNewRomanPS-BoldMT" w:hAnsi="TimesNewRomanPS-BoldMT" w:cs="Arial"/>
                <w:color w:val="000000"/>
              </w:rPr>
              <w:t>=1.98)</w:t>
            </w:r>
          </w:p>
        </w:tc>
      </w:tr>
      <w:tr w:rsidR="00CB69A5" w:rsidRPr="00A500FB" w14:paraId="1B97213C" w14:textId="77777777" w:rsidTr="00D86EE3">
        <w:tc>
          <w:tcPr>
            <w:tcW w:w="709" w:type="pct"/>
            <w:vMerge/>
            <w:tcBorders>
              <w:top w:val="single" w:sz="4" w:space="0" w:color="auto"/>
            </w:tcBorders>
            <w:vAlign w:val="center"/>
          </w:tcPr>
          <w:p w14:paraId="5B314568" w14:textId="77777777" w:rsidR="00A500FB" w:rsidRPr="00A500FB" w:rsidRDefault="00A500FB" w:rsidP="00D86EE3">
            <w:pPr>
              <w:jc w:val="center"/>
              <w:rPr>
                <w:rFonts w:ascii="Times New Roman" w:hAnsi="Times New Roman" w:cs="Times New Roman"/>
                <w:b/>
                <w:bCs/>
                <w:lang w:bidi="fa-IR"/>
              </w:rPr>
            </w:pP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0C408D10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vertAlign w:val="subscript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HR</w:t>
            </w:r>
            <w:r w:rsidRPr="00A500FB">
              <w:rPr>
                <w:rFonts w:ascii="Times New Roman" w:hAnsi="Times New Roman" w:cs="Times New Roman"/>
                <w:vertAlign w:val="subscript"/>
                <w:lang w:bidi="fa-IR"/>
              </w:rPr>
              <w:t>NDE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</w:tcPr>
          <w:p w14:paraId="23704FF8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vertAlign w:val="subscript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HR</w:t>
            </w:r>
            <w:r w:rsidRPr="00A500FB">
              <w:rPr>
                <w:rFonts w:ascii="Times New Roman" w:hAnsi="Times New Roman" w:cs="Times New Roman"/>
                <w:vertAlign w:val="subscript"/>
                <w:lang w:bidi="fa-IR"/>
              </w:rPr>
              <w:t>NIE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26B89691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PM (%)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14:paraId="1274F85E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vertAlign w:val="subscript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HR</w:t>
            </w:r>
            <w:r w:rsidRPr="00A500FB">
              <w:rPr>
                <w:rFonts w:ascii="Times New Roman" w:hAnsi="Times New Roman" w:cs="Times New Roman"/>
                <w:vertAlign w:val="subscript"/>
                <w:lang w:bidi="fa-IR"/>
              </w:rPr>
              <w:t>NDE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2C68F0C3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vertAlign w:val="subscript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HR</w:t>
            </w:r>
            <w:r w:rsidRPr="00A500FB">
              <w:rPr>
                <w:rFonts w:ascii="Times New Roman" w:hAnsi="Times New Roman" w:cs="Times New Roman"/>
                <w:vertAlign w:val="subscript"/>
                <w:lang w:bidi="fa-IR"/>
              </w:rPr>
              <w:t>NIE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</w:tcPr>
          <w:p w14:paraId="50E92EAC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PM (%)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14:paraId="1CB0616A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vertAlign w:val="subscript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HR</w:t>
            </w:r>
            <w:r w:rsidRPr="00A500FB">
              <w:rPr>
                <w:rFonts w:ascii="Times New Roman" w:hAnsi="Times New Roman" w:cs="Times New Roman"/>
                <w:vertAlign w:val="subscript"/>
                <w:lang w:bidi="fa-IR"/>
              </w:rPr>
              <w:t>NDE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14:paraId="3595ECAF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vertAlign w:val="subscript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HR</w:t>
            </w:r>
            <w:r w:rsidRPr="00A500FB">
              <w:rPr>
                <w:rFonts w:ascii="Times New Roman" w:hAnsi="Times New Roman" w:cs="Times New Roman"/>
                <w:vertAlign w:val="subscript"/>
                <w:lang w:bidi="fa-IR"/>
              </w:rPr>
              <w:t>NIE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</w:tcPr>
          <w:p w14:paraId="53A5D2DC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lang w:bidi="fa-IR"/>
              </w:rPr>
            </w:pPr>
            <w:r w:rsidRPr="00A500FB">
              <w:rPr>
                <w:rFonts w:ascii="Times New Roman" w:hAnsi="Times New Roman" w:cs="Times New Roman"/>
                <w:lang w:bidi="fa-IR"/>
              </w:rPr>
              <w:t>PM (%)</w:t>
            </w:r>
          </w:p>
        </w:tc>
      </w:tr>
      <w:tr w:rsidR="00CB69A5" w:rsidRPr="00A500FB" w14:paraId="2F3A3017" w14:textId="77777777" w:rsidTr="00D86EE3">
        <w:tc>
          <w:tcPr>
            <w:tcW w:w="709" w:type="pct"/>
            <w:vAlign w:val="center"/>
          </w:tcPr>
          <w:p w14:paraId="644CFD35" w14:textId="623BD2BD" w:rsidR="00A500FB" w:rsidRPr="00A500FB" w:rsidRDefault="00D86EE3" w:rsidP="00D86EE3">
            <w:pPr>
              <w:jc w:val="center"/>
              <w:rPr>
                <w:rFonts w:ascii="Times New Roman" w:hAnsi="Times New Roman" w:cs="Times New Roman"/>
                <w:b/>
                <w:bCs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lang w:bidi="fa-IR"/>
              </w:rPr>
              <w:t>Overweight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AD7D5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1.29 (1.07-1.58)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6F0B3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1.19 (1.15-1.24)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CF9A4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46 (31-75)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1D0A9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1.30 (1.07-1.59)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EB331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1.19(1.16-1.25)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D49CD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45 (31-74)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4FFA3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1.24 (1.03-1.52)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FD29B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1.15 (1.11-1.19)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F353D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44 (32-71)</w:t>
            </w:r>
          </w:p>
        </w:tc>
      </w:tr>
      <w:tr w:rsidR="00CB69A5" w:rsidRPr="00A500FB" w14:paraId="4C4D2A46" w14:textId="77777777" w:rsidTr="00D86EE3">
        <w:tc>
          <w:tcPr>
            <w:tcW w:w="709" w:type="pct"/>
            <w:vAlign w:val="center"/>
          </w:tcPr>
          <w:p w14:paraId="3356B3A2" w14:textId="1CA0B00F" w:rsidR="00A500FB" w:rsidRPr="00D95B62" w:rsidRDefault="00D95B62" w:rsidP="00D86EE3">
            <w:pPr>
              <w:jc w:val="center"/>
              <w:rPr>
                <w:rFonts w:ascii="Times New Roman" w:hAnsi="Times New Roman" w:cs="Times New Roman"/>
                <w:b/>
                <w:bCs/>
                <w:lang w:bidi="fa-IR"/>
              </w:rPr>
            </w:pPr>
            <w:r w:rsidRPr="00D95B62">
              <w:rPr>
                <w:rFonts w:ascii="Times New Roman" w:hAnsi="Times New Roman" w:cs="Times New Roman"/>
                <w:b/>
                <w:bCs/>
                <w:lang w:bidi="fa-IR"/>
              </w:rPr>
              <w:t>General obesity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61E40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1.20 (0.96-1.52)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35344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1.33 (1.26-1.42)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E459F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66 (45-100)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1D083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1.21 (0.96-1.53)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8ECB5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1.34 (1.27-1.43)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DC1A8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66 (44-99)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B2511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1.16 (0.92-1.46)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9F19D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1.28 (1.21-1.36)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6F837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69 (46-100)</w:t>
            </w:r>
          </w:p>
        </w:tc>
      </w:tr>
      <w:tr w:rsidR="00CB69A5" w:rsidRPr="00A500FB" w14:paraId="795FC6C5" w14:textId="77777777" w:rsidTr="00D86EE3">
        <w:tc>
          <w:tcPr>
            <w:tcW w:w="709" w:type="pct"/>
            <w:vAlign w:val="center"/>
          </w:tcPr>
          <w:p w14:paraId="221086DA" w14:textId="5F5DFE55" w:rsidR="00A500FB" w:rsidRPr="00D95B62" w:rsidRDefault="00D95B62" w:rsidP="00D86EE3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bidi="fa-IR"/>
              </w:rPr>
            </w:pPr>
            <w:r w:rsidRPr="00D95B62">
              <w:rPr>
                <w:rFonts w:ascii="Times New Roman" w:hAnsi="Times New Roman" w:cs="Times New Roman"/>
                <w:b/>
                <w:bCs/>
                <w:lang w:bidi="fa-IR"/>
              </w:rPr>
              <w:t>Visceral</w:t>
            </w:r>
            <w:r w:rsidRPr="00D95B62">
              <w:rPr>
                <w:rFonts w:ascii="Times New Roman" w:hAnsi="Times New Roman" w:cs="Times New Roman"/>
                <w:b/>
                <w:bCs/>
                <w:vertAlign w:val="superscript"/>
                <w:lang w:bidi="fa-IR"/>
              </w:rPr>
              <w:t xml:space="preserve"> </w:t>
            </w:r>
            <w:r w:rsidRPr="00D95B62">
              <w:rPr>
                <w:rFonts w:ascii="Times New Roman" w:hAnsi="Times New Roman" w:cs="Times New Roman"/>
                <w:b/>
                <w:bCs/>
                <w:lang w:bidi="fa-IR"/>
              </w:rPr>
              <w:t>adiposity</w:t>
            </w:r>
          </w:p>
        </w:tc>
        <w:tc>
          <w:tcPr>
            <w:tcW w:w="533" w:type="pct"/>
            <w:tcBorders>
              <w:top w:val="single" w:sz="4" w:space="0" w:color="auto"/>
            </w:tcBorders>
          </w:tcPr>
          <w:p w14:paraId="6F120BB2" w14:textId="77777777" w:rsidR="00A500FB" w:rsidRPr="00A500FB" w:rsidRDefault="00A500FB" w:rsidP="00A500F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1.25 (1.03-1.46)</w:t>
            </w:r>
          </w:p>
        </w:tc>
        <w:tc>
          <w:tcPr>
            <w:tcW w:w="533" w:type="pct"/>
            <w:tcBorders>
              <w:top w:val="single" w:sz="4" w:space="0" w:color="auto"/>
            </w:tcBorders>
          </w:tcPr>
          <w:p w14:paraId="225795D7" w14:textId="77777777" w:rsidR="00A500FB" w:rsidRPr="00A500FB" w:rsidRDefault="00A500FB" w:rsidP="00A500F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1.22 (1.17-1.27)</w:t>
            </w:r>
          </w:p>
        </w:tc>
        <w:tc>
          <w:tcPr>
            <w:tcW w:w="550" w:type="pct"/>
            <w:tcBorders>
              <w:top w:val="single" w:sz="4" w:space="0" w:color="auto"/>
            </w:tcBorders>
          </w:tcPr>
          <w:p w14:paraId="151C1B6C" w14:textId="77777777" w:rsidR="00A500FB" w:rsidRPr="00A500FB" w:rsidRDefault="00A500FB" w:rsidP="00A500F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52 (39-87)</w:t>
            </w:r>
          </w:p>
        </w:tc>
        <w:tc>
          <w:tcPr>
            <w:tcW w:w="424" w:type="pct"/>
            <w:tcBorders>
              <w:top w:val="single" w:sz="4" w:space="0" w:color="auto"/>
            </w:tcBorders>
            <w:vAlign w:val="center"/>
          </w:tcPr>
          <w:p w14:paraId="7254A831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1.26 (1.03-1.47)</w:t>
            </w:r>
          </w:p>
        </w:tc>
        <w:tc>
          <w:tcPr>
            <w:tcW w:w="395" w:type="pct"/>
            <w:tcBorders>
              <w:top w:val="single" w:sz="4" w:space="0" w:color="auto"/>
            </w:tcBorders>
            <w:vAlign w:val="center"/>
          </w:tcPr>
          <w:p w14:paraId="34C55537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1.23 (1.17-1.28)</w:t>
            </w:r>
          </w:p>
        </w:tc>
        <w:tc>
          <w:tcPr>
            <w:tcW w:w="480" w:type="pct"/>
            <w:tcBorders>
              <w:top w:val="single" w:sz="4" w:space="0" w:color="auto"/>
            </w:tcBorders>
            <w:vAlign w:val="center"/>
          </w:tcPr>
          <w:p w14:paraId="1162EABC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53 (39-86)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1AD3FA47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1.20 (0.99-1.40)</w:t>
            </w:r>
          </w:p>
        </w:tc>
        <w:tc>
          <w:tcPr>
            <w:tcW w:w="418" w:type="pct"/>
            <w:tcBorders>
              <w:top w:val="single" w:sz="4" w:space="0" w:color="auto"/>
            </w:tcBorders>
            <w:vAlign w:val="center"/>
          </w:tcPr>
          <w:p w14:paraId="51353050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1.18 (1.13-1.22)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14:paraId="008B4196" w14:textId="77777777" w:rsidR="00A500FB" w:rsidRPr="00A500FB" w:rsidRDefault="00A500FB" w:rsidP="00A500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A500FB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55 (39-87)</w:t>
            </w:r>
          </w:p>
        </w:tc>
      </w:tr>
    </w:tbl>
    <w:p w14:paraId="6A596502" w14:textId="77777777" w:rsidR="00A500FB" w:rsidRPr="00A500FB" w:rsidRDefault="00A500FB" w:rsidP="00A500FB">
      <w:pPr>
        <w:numPr>
          <w:ilvl w:val="0"/>
          <w:numId w:val="1"/>
        </w:numPr>
        <w:bidi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fa-IR"/>
        </w:rPr>
      </w:pPr>
      <w:r w:rsidRPr="00A500FB">
        <w:rPr>
          <w:rFonts w:ascii="Times New Roman" w:eastAsia="Times New Roman" w:hAnsi="Times New Roman" w:cs="Times New Roman"/>
          <w:sz w:val="20"/>
          <w:szCs w:val="20"/>
          <w:lang w:bidi="fa-IR"/>
        </w:rPr>
        <w:t>Compared with normal weight (BMI 20 to &lt;25 kg/m</w:t>
      </w:r>
      <w:r w:rsidRPr="00A500FB">
        <w:rPr>
          <w:rFonts w:ascii="Times New Roman" w:eastAsia="Times New Roman" w:hAnsi="Times New Roman" w:cs="Times New Roman"/>
          <w:sz w:val="20"/>
          <w:szCs w:val="20"/>
          <w:vertAlign w:val="superscript"/>
          <w:lang w:bidi="fa-IR"/>
        </w:rPr>
        <w:t>2</w:t>
      </w:r>
      <w:r w:rsidRPr="00A500FB">
        <w:rPr>
          <w:rFonts w:ascii="Times New Roman" w:eastAsia="Times New Roman" w:hAnsi="Times New Roman" w:cs="Times New Roman"/>
          <w:sz w:val="20"/>
          <w:szCs w:val="20"/>
          <w:lang w:bidi="fa-IR"/>
        </w:rPr>
        <w:t>)</w:t>
      </w:r>
    </w:p>
    <w:p w14:paraId="0284E342" w14:textId="77777777" w:rsidR="00A500FB" w:rsidRPr="00A500FB" w:rsidRDefault="00A500FB" w:rsidP="00A500FB">
      <w:pPr>
        <w:numPr>
          <w:ilvl w:val="0"/>
          <w:numId w:val="1"/>
        </w:numPr>
        <w:bidi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fa-IR"/>
        </w:rPr>
      </w:pPr>
      <w:r w:rsidRPr="00A500FB">
        <w:rPr>
          <w:rFonts w:ascii="Times New Roman" w:eastAsia="Times New Roman" w:hAnsi="Times New Roman" w:cs="Times New Roman"/>
          <w:sz w:val="20"/>
          <w:szCs w:val="20"/>
          <w:lang w:bidi="fa-IR"/>
        </w:rPr>
        <w:t>HR</w:t>
      </w:r>
      <w:r w:rsidRPr="00A500FB">
        <w:rPr>
          <w:rFonts w:ascii="Times New Roman" w:eastAsia="Times New Roman" w:hAnsi="Times New Roman" w:cs="Times New Roman"/>
          <w:sz w:val="20"/>
          <w:szCs w:val="20"/>
          <w:vertAlign w:val="subscript"/>
          <w:lang w:bidi="fa-IR"/>
        </w:rPr>
        <w:t>U</w:t>
      </w:r>
      <w:r w:rsidRPr="00A500FB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 refers to the effect if unmeasured confounding enlarged the hazard of CVD by a factor of 1.1 or 1.98. The hazard ratio of U on CVD was adjusted for BMI, mediators and other covariates.</w:t>
      </w:r>
    </w:p>
    <w:p w14:paraId="3F0F132C" w14:textId="77777777" w:rsidR="00A500FB" w:rsidRPr="00A500FB" w:rsidRDefault="00A500FB" w:rsidP="00A500FB">
      <w:pPr>
        <w:numPr>
          <w:ilvl w:val="0"/>
          <w:numId w:val="1"/>
        </w:numPr>
        <w:bidi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bidi="fa-IR"/>
        </w:rPr>
      </w:pPr>
      <w:r w:rsidRPr="00A500FB">
        <w:rPr>
          <w:rFonts w:ascii="Times New Roman" w:eastAsia="Times New Roman" w:hAnsi="Times New Roman" w:cs="Times New Roman"/>
          <w:sz w:val="20"/>
          <w:szCs w:val="20"/>
          <w:lang w:bidi="fa-IR"/>
        </w:rPr>
        <w:t xml:space="preserve">The same values were used for unmeasured sensitivity analysis of general and central adiposity because of high correlation (r≥0.9) between the </w:t>
      </w:r>
      <w:r w:rsidRPr="00A500FB">
        <w:rPr>
          <w:rFonts w:ascii="Times New Roman" w:eastAsia="Times New Roman" w:hAnsi="Times New Roman" w:cs="Times New Roman"/>
          <w:sz w:val="18"/>
          <w:szCs w:val="18"/>
          <w:lang w:bidi="fa-IR"/>
        </w:rPr>
        <w:t>BMI ≥ 30 kg/m</w:t>
      </w:r>
      <w:r w:rsidRPr="00A500FB">
        <w:rPr>
          <w:rFonts w:ascii="Times New Roman" w:eastAsia="Times New Roman" w:hAnsi="Times New Roman" w:cs="Times New Roman"/>
          <w:sz w:val="18"/>
          <w:szCs w:val="18"/>
          <w:vertAlign w:val="superscript"/>
          <w:lang w:bidi="fa-IR"/>
        </w:rPr>
        <w:t>2</w:t>
      </w:r>
      <w:r w:rsidRPr="00A500FB">
        <w:rPr>
          <w:rFonts w:ascii="Times New Roman" w:eastAsia="Times New Roman" w:hAnsi="Times New Roman" w:cs="Times New Roman"/>
          <w:sz w:val="18"/>
          <w:szCs w:val="18"/>
          <w:lang w:bidi="fa-IR"/>
        </w:rPr>
        <w:t xml:space="preserve"> and WC≥90cm.</w:t>
      </w:r>
    </w:p>
    <w:p w14:paraId="405F61AB" w14:textId="77777777" w:rsidR="00A500FB" w:rsidRPr="00A500FB" w:rsidRDefault="00A500FB" w:rsidP="00A500FB">
      <w:p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bidi="fa-IR"/>
        </w:rPr>
      </w:pPr>
    </w:p>
    <w:p w14:paraId="6D322F7A" w14:textId="77777777" w:rsidR="00D4186C" w:rsidRDefault="00D4186C"/>
    <w:sectPr w:rsidR="00D41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70DE8"/>
    <w:multiLevelType w:val="hybridMultilevel"/>
    <w:tmpl w:val="CC0CA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27"/>
    <w:rsid w:val="00537227"/>
    <w:rsid w:val="006D1156"/>
    <w:rsid w:val="00A4189D"/>
    <w:rsid w:val="00A500FB"/>
    <w:rsid w:val="00CB69A5"/>
    <w:rsid w:val="00D4186C"/>
    <w:rsid w:val="00D86EE3"/>
    <w:rsid w:val="00D9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BEED1"/>
  <w15:chartTrackingRefBased/>
  <w15:docId w15:val="{9014DB20-0D31-43B8-A7F0-9E58CF3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500FB"/>
    <w:pPr>
      <w:bidi w:val="0"/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50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Sepehr</dc:creator>
  <cp:keywords/>
  <dc:description/>
  <cp:lastModifiedBy> </cp:lastModifiedBy>
  <cp:revision>9</cp:revision>
  <dcterms:created xsi:type="dcterms:W3CDTF">2021-06-05T13:06:00Z</dcterms:created>
  <dcterms:modified xsi:type="dcterms:W3CDTF">2021-12-30T09:32:00Z</dcterms:modified>
</cp:coreProperties>
</file>