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CB0CE9" w14:textId="77777777" w:rsidR="00E903C8" w:rsidRDefault="006B06E1">
      <w:pPr>
        <w:spacing w:after="60"/>
        <w:rPr>
          <w:color w:val="000000"/>
          <w:sz w:val="52"/>
          <w:szCs w:val="52"/>
        </w:rPr>
      </w:pPr>
      <w:r>
        <w:rPr>
          <w:color w:val="000000"/>
          <w:sz w:val="52"/>
          <w:szCs w:val="52"/>
        </w:rPr>
        <w:t xml:space="preserve">Supplementary Materials </w:t>
      </w:r>
    </w:p>
    <w:p w14:paraId="34BAFCAB" w14:textId="77777777" w:rsidR="00E903C8" w:rsidRDefault="006B06E1">
      <w:pPr>
        <w:spacing w:before="400" w:after="120"/>
        <w:rPr>
          <w:color w:val="000000"/>
          <w:sz w:val="40"/>
          <w:szCs w:val="40"/>
        </w:rPr>
      </w:pPr>
      <w:r>
        <w:rPr>
          <w:color w:val="000000"/>
          <w:sz w:val="40"/>
          <w:szCs w:val="40"/>
        </w:rPr>
        <w:t>1. Methods</w:t>
      </w:r>
    </w:p>
    <w:p w14:paraId="047C048A" w14:textId="77777777" w:rsidR="00E903C8" w:rsidRDefault="006B06E1">
      <w:pPr>
        <w:rPr>
          <w:color w:val="000000"/>
          <w:sz w:val="32"/>
          <w:szCs w:val="32"/>
        </w:rPr>
      </w:pPr>
      <w:r>
        <w:rPr>
          <w:color w:val="000000"/>
          <w:sz w:val="32"/>
          <w:szCs w:val="32"/>
        </w:rPr>
        <w:t xml:space="preserve">1.1. Example list of strategies </w:t>
      </w:r>
    </w:p>
    <w:p w14:paraId="24C6E280" w14:textId="77777777" w:rsidR="00E903C8" w:rsidRDefault="006B06E1">
      <w:pPr>
        <w:rPr>
          <w:color w:val="000000"/>
          <w:sz w:val="22"/>
          <w:szCs w:val="22"/>
        </w:rPr>
      </w:pPr>
      <w:r>
        <w:rPr>
          <w:color w:val="000000"/>
          <w:sz w:val="22"/>
          <w:szCs w:val="22"/>
        </w:rPr>
        <w:t>(</w:t>
      </w:r>
      <w:proofErr w:type="gramStart"/>
      <w:r>
        <w:rPr>
          <w:color w:val="000000"/>
          <w:sz w:val="22"/>
          <w:szCs w:val="22"/>
        </w:rPr>
        <w:t>shown</w:t>
      </w:r>
      <w:proofErr w:type="gramEnd"/>
      <w:r>
        <w:rPr>
          <w:color w:val="000000"/>
          <w:sz w:val="22"/>
          <w:szCs w:val="22"/>
        </w:rPr>
        <w:t xml:space="preserve"> to participants when they were being instructed on Day 0 and FCNef Days 1-4)</w:t>
      </w:r>
    </w:p>
    <w:p w14:paraId="7CEBFD19" w14:textId="77777777" w:rsidR="00E903C8" w:rsidRDefault="006B06E1">
      <w:pPr>
        <w:rPr>
          <w:color w:val="000000"/>
          <w:sz w:val="22"/>
          <w:szCs w:val="22"/>
        </w:rPr>
      </w:pPr>
      <w:r>
        <w:rPr>
          <w:color w:val="000000"/>
          <w:sz w:val="22"/>
          <w:szCs w:val="22"/>
        </w:rPr>
        <w:t xml:space="preserve">●       </w:t>
      </w:r>
      <w:r>
        <w:rPr>
          <w:color w:val="000000"/>
          <w:sz w:val="22"/>
          <w:szCs w:val="22"/>
        </w:rPr>
        <w:tab/>
        <w:t>Mathematics (addition, subtraction, multiplication, division)</w:t>
      </w:r>
    </w:p>
    <w:p w14:paraId="0459958E" w14:textId="77777777" w:rsidR="00E903C8" w:rsidRDefault="006B06E1">
      <w:pPr>
        <w:rPr>
          <w:color w:val="000000"/>
          <w:sz w:val="22"/>
          <w:szCs w:val="22"/>
        </w:rPr>
      </w:pPr>
      <w:r>
        <w:rPr>
          <w:color w:val="000000"/>
          <w:sz w:val="22"/>
          <w:szCs w:val="22"/>
        </w:rPr>
        <w:t xml:space="preserve">●       </w:t>
      </w:r>
      <w:r>
        <w:rPr>
          <w:color w:val="000000"/>
          <w:sz w:val="22"/>
          <w:szCs w:val="22"/>
        </w:rPr>
        <w:tab/>
        <w:t>Word play (shiritori*, listing words that begin with the same first letter, listing category items such as animals, foods, or your favorite things)</w:t>
      </w:r>
    </w:p>
    <w:p w14:paraId="7BCB2A98" w14:textId="77777777" w:rsidR="00E903C8" w:rsidRDefault="006B06E1">
      <w:pPr>
        <w:rPr>
          <w:color w:val="000000"/>
          <w:sz w:val="22"/>
          <w:szCs w:val="22"/>
        </w:rPr>
      </w:pPr>
      <w:r>
        <w:rPr>
          <w:color w:val="000000"/>
          <w:sz w:val="22"/>
          <w:szCs w:val="22"/>
        </w:rPr>
        <w:t xml:space="preserve">●       </w:t>
      </w:r>
      <w:r>
        <w:rPr>
          <w:color w:val="000000"/>
          <w:sz w:val="22"/>
          <w:szCs w:val="22"/>
        </w:rPr>
        <w:tab/>
        <w:t>Thinking in Japanese or English</w:t>
      </w:r>
    </w:p>
    <w:p w14:paraId="3C2E0A65" w14:textId="77777777" w:rsidR="00E903C8" w:rsidRDefault="006B06E1">
      <w:pPr>
        <w:rPr>
          <w:color w:val="000000"/>
          <w:sz w:val="22"/>
          <w:szCs w:val="22"/>
        </w:rPr>
      </w:pPr>
      <w:r>
        <w:rPr>
          <w:color w:val="000000"/>
          <w:sz w:val="22"/>
          <w:szCs w:val="22"/>
        </w:rPr>
        <w:t xml:space="preserve">●       </w:t>
      </w:r>
      <w:r>
        <w:rPr>
          <w:color w:val="000000"/>
          <w:sz w:val="22"/>
          <w:szCs w:val="22"/>
        </w:rPr>
        <w:tab/>
      </w:r>
      <w:proofErr w:type="gramStart"/>
      <w:r>
        <w:rPr>
          <w:color w:val="000000"/>
          <w:sz w:val="22"/>
          <w:szCs w:val="22"/>
        </w:rPr>
        <w:t>Thinking</w:t>
      </w:r>
      <w:proofErr w:type="gramEnd"/>
      <w:r>
        <w:rPr>
          <w:color w:val="000000"/>
          <w:sz w:val="22"/>
          <w:szCs w:val="22"/>
        </w:rPr>
        <w:t xml:space="preserve"> quickly or slowly</w:t>
      </w:r>
    </w:p>
    <w:p w14:paraId="4D51A439" w14:textId="77777777" w:rsidR="00E903C8" w:rsidRDefault="006B06E1">
      <w:pPr>
        <w:rPr>
          <w:color w:val="000000"/>
          <w:sz w:val="22"/>
          <w:szCs w:val="22"/>
        </w:rPr>
      </w:pPr>
      <w:r>
        <w:rPr>
          <w:color w:val="000000"/>
          <w:sz w:val="22"/>
          <w:szCs w:val="22"/>
        </w:rPr>
        <w:t xml:space="preserve">●       </w:t>
      </w:r>
      <w:r>
        <w:rPr>
          <w:color w:val="000000"/>
          <w:sz w:val="22"/>
          <w:szCs w:val="22"/>
        </w:rPr>
        <w:tab/>
        <w:t>Continue with the same strategy across sessions or changing the strategy between sessions</w:t>
      </w:r>
    </w:p>
    <w:p w14:paraId="50160F40" w14:textId="77777777" w:rsidR="00E903C8" w:rsidRDefault="006B06E1">
      <w:pPr>
        <w:rPr>
          <w:color w:val="000000"/>
          <w:sz w:val="22"/>
          <w:szCs w:val="22"/>
        </w:rPr>
      </w:pPr>
      <w:r>
        <w:rPr>
          <w:color w:val="000000"/>
          <w:sz w:val="22"/>
          <w:szCs w:val="22"/>
        </w:rPr>
        <w:t xml:space="preserve">●       </w:t>
      </w:r>
      <w:r>
        <w:rPr>
          <w:color w:val="000000"/>
          <w:sz w:val="22"/>
          <w:szCs w:val="22"/>
        </w:rPr>
        <w:tab/>
      </w:r>
      <w:proofErr w:type="gramStart"/>
      <w:r>
        <w:rPr>
          <w:color w:val="000000"/>
          <w:sz w:val="22"/>
          <w:szCs w:val="22"/>
        </w:rPr>
        <w:t>Using</w:t>
      </w:r>
      <w:proofErr w:type="gramEnd"/>
      <w:r>
        <w:rPr>
          <w:color w:val="000000"/>
          <w:sz w:val="22"/>
          <w:szCs w:val="22"/>
        </w:rPr>
        <w:t xml:space="preserve"> an easier or more difficult strategy</w:t>
      </w:r>
    </w:p>
    <w:p w14:paraId="7953DD58" w14:textId="77777777" w:rsidR="00E903C8" w:rsidRDefault="006B06E1">
      <w:pPr>
        <w:rPr>
          <w:color w:val="000000"/>
          <w:sz w:val="22"/>
          <w:szCs w:val="22"/>
        </w:rPr>
      </w:pPr>
      <w:r>
        <w:rPr>
          <w:color w:val="000000"/>
          <w:sz w:val="22"/>
          <w:szCs w:val="22"/>
        </w:rPr>
        <w:t xml:space="preserve"> </w:t>
      </w:r>
    </w:p>
    <w:p w14:paraId="215F63AB" w14:textId="77777777" w:rsidR="00E903C8" w:rsidRDefault="006B06E1">
      <w:pPr>
        <w:rPr>
          <w:color w:val="000000"/>
          <w:sz w:val="22"/>
          <w:szCs w:val="22"/>
        </w:rPr>
      </w:pPr>
      <w:r>
        <w:rPr>
          <w:color w:val="000000"/>
          <w:sz w:val="22"/>
          <w:szCs w:val="22"/>
        </w:rPr>
        <w:t xml:space="preserve">*Shiritori is a Japanese game where words are sequentially listed; </w:t>
      </w:r>
      <w:proofErr w:type="gramStart"/>
      <w:r>
        <w:rPr>
          <w:color w:val="000000"/>
          <w:sz w:val="22"/>
          <w:szCs w:val="22"/>
        </w:rPr>
        <w:t>The</w:t>
      </w:r>
      <w:proofErr w:type="gramEnd"/>
      <w:r>
        <w:rPr>
          <w:color w:val="000000"/>
          <w:sz w:val="22"/>
          <w:szCs w:val="22"/>
        </w:rPr>
        <w:t xml:space="preserve"> first letter of each word should begin with the last letter of the word before it.</w:t>
      </w:r>
    </w:p>
    <w:p w14:paraId="637F63C5" w14:textId="77777777" w:rsidR="00E903C8" w:rsidRDefault="006B06E1">
      <w:pPr>
        <w:spacing w:before="400" w:after="120"/>
        <w:rPr>
          <w:color w:val="000000"/>
          <w:sz w:val="40"/>
          <w:szCs w:val="40"/>
        </w:rPr>
      </w:pPr>
      <w:r>
        <w:rPr>
          <w:color w:val="000000"/>
          <w:sz w:val="40"/>
          <w:szCs w:val="40"/>
        </w:rPr>
        <w:t>2. Results</w:t>
      </w:r>
    </w:p>
    <w:p w14:paraId="292375CD" w14:textId="77777777" w:rsidR="00E903C8" w:rsidRDefault="006B06E1">
      <w:pPr>
        <w:spacing w:before="360" w:after="120"/>
        <w:rPr>
          <w:color w:val="000000"/>
          <w:sz w:val="32"/>
          <w:szCs w:val="32"/>
        </w:rPr>
      </w:pPr>
      <w:r>
        <w:rPr>
          <w:color w:val="000000"/>
          <w:sz w:val="32"/>
          <w:szCs w:val="32"/>
        </w:rPr>
        <w:t>2.1. 1st FCNef Experiment</w:t>
      </w:r>
    </w:p>
    <w:p w14:paraId="506B0F44" w14:textId="77777777" w:rsidR="00E903C8" w:rsidRDefault="006B06E1">
      <w:pPr>
        <w:spacing w:before="320" w:after="80"/>
        <w:rPr>
          <w:color w:val="000000"/>
          <w:sz w:val="28"/>
          <w:szCs w:val="28"/>
        </w:rPr>
      </w:pPr>
      <w:r>
        <w:rPr>
          <w:color w:val="000000"/>
          <w:sz w:val="28"/>
          <w:szCs w:val="28"/>
        </w:rPr>
        <w:t xml:space="preserve">2.1.1. Results from FCNef Day 4 compared to Day 0. </w:t>
      </w:r>
    </w:p>
    <w:p w14:paraId="36357CB8" w14:textId="77777777" w:rsidR="00E903C8" w:rsidRDefault="006B06E1">
      <w:pPr>
        <w:ind w:firstLine="720"/>
        <w:rPr>
          <w:color w:val="000000"/>
          <w:sz w:val="22"/>
          <w:szCs w:val="22"/>
        </w:rPr>
      </w:pPr>
      <w:r>
        <w:rPr>
          <w:color w:val="000000"/>
          <w:sz w:val="22"/>
          <w:szCs w:val="22"/>
        </w:rPr>
        <w:t>For the nine participants in this experiment, average BDI scores decreased from Day 0 to the FCNef Day 4, although this only reached a trend for significance (t(8)=2.00 p=0.08). RRS scores for all three factors (Brooding, Depression, and Deflection) did not significantly change (ps&gt;0.05) and neither did STAI2 scores (</w:t>
      </w:r>
      <w:proofErr w:type="gramStart"/>
      <w:r>
        <w:rPr>
          <w:color w:val="000000"/>
          <w:sz w:val="22"/>
          <w:szCs w:val="22"/>
        </w:rPr>
        <w:t>t(</w:t>
      </w:r>
      <w:proofErr w:type="gramEnd"/>
      <w:r>
        <w:rPr>
          <w:color w:val="000000"/>
          <w:sz w:val="22"/>
          <w:szCs w:val="22"/>
        </w:rPr>
        <w:t>8)=0.48 p=0.65). The rs-FC of interest decreased from Day 0 to FCNef Day 4, although not significantly (p&gt;0.05). These questionnaire scores and participants’ rs-FCs can be seen on Supplementary Table 1.</w:t>
      </w:r>
    </w:p>
    <w:p w14:paraId="3CFE7097" w14:textId="77777777" w:rsidR="00E903C8" w:rsidRDefault="006B06E1">
      <w:pPr>
        <w:rPr>
          <w:color w:val="000000"/>
        </w:rPr>
      </w:pPr>
      <w:r>
        <w:rPr>
          <w:color w:val="000000"/>
        </w:rPr>
        <w:t xml:space="preserve"> </w:t>
      </w:r>
    </w:p>
    <w:p w14:paraId="08323138" w14:textId="77777777" w:rsidR="00E903C8" w:rsidRDefault="006B06E1">
      <w:pPr>
        <w:ind w:firstLine="720"/>
        <w:rPr>
          <w:color w:val="000000"/>
          <w:sz w:val="22"/>
          <w:szCs w:val="22"/>
        </w:rPr>
      </w:pPr>
      <w:r>
        <w:rPr>
          <w:color w:val="000000"/>
          <w:sz w:val="22"/>
          <w:szCs w:val="22"/>
        </w:rPr>
        <w:t xml:space="preserve">In support of the idea that this FC is related to depressive symptoms, a significant correlation was found between decreases in BDI and decreases in the targeted rs-FC from Day 0 to the FCNef Day 4; the more negative this rs-FC became the more participants’ depressive symptoms were reduced (r=0.68, p&lt;0.05). In support of the idea that this FC is related to specifically Brooding symptoms, a significant correlation was found between decreases in the Brooding factor of the RRS and decreases in this rs-FC from Day 0 to FCNef Day 4; the more negative this rs-FC became the more participants’ Brooding symptoms were reduced (r=0.68, p&lt;0.05). Note that this result was not induced just by the participant whose Brooding score dramatically increased by 5. When this person was removed from the analysis the correlation coefficient remained of a similar strength and in the same direction (r=0.58, p=0.13). Decreases in the other two factors of the RRS (Depression and Reflection) and decreases in STAI2 did not relate to decreases in this rs-FC from Day 0 to FCNef Day 4 (ps&gt;0.05). </w:t>
      </w:r>
    </w:p>
    <w:p w14:paraId="0896D517" w14:textId="77777777" w:rsidR="00E903C8" w:rsidRDefault="006B06E1">
      <w:pPr>
        <w:spacing w:before="360" w:after="120"/>
        <w:rPr>
          <w:color w:val="000000"/>
          <w:sz w:val="32"/>
          <w:szCs w:val="32"/>
        </w:rPr>
      </w:pPr>
      <w:r>
        <w:rPr>
          <w:color w:val="000000"/>
          <w:sz w:val="32"/>
          <w:szCs w:val="32"/>
        </w:rPr>
        <w:t>2.2. 2nd FCNef Experiment</w:t>
      </w:r>
    </w:p>
    <w:p w14:paraId="1D79791F" w14:textId="77777777" w:rsidR="00E903C8" w:rsidRDefault="006B06E1">
      <w:pPr>
        <w:spacing w:before="320" w:after="80"/>
        <w:rPr>
          <w:color w:val="000000"/>
          <w:sz w:val="28"/>
          <w:szCs w:val="28"/>
        </w:rPr>
      </w:pPr>
      <w:r>
        <w:rPr>
          <w:color w:val="000000"/>
          <w:sz w:val="28"/>
          <w:szCs w:val="28"/>
        </w:rPr>
        <w:lastRenderedPageBreak/>
        <w:t xml:space="preserve">2.2.1. Results from FCNef Day 4 compared to Day 0. </w:t>
      </w:r>
    </w:p>
    <w:p w14:paraId="582862B7" w14:textId="77777777" w:rsidR="00E903C8" w:rsidRDefault="006B06E1">
      <w:pPr>
        <w:ind w:firstLine="720"/>
        <w:rPr>
          <w:color w:val="000000"/>
          <w:sz w:val="22"/>
          <w:szCs w:val="22"/>
        </w:rPr>
      </w:pPr>
      <w:r>
        <w:rPr>
          <w:color w:val="000000"/>
          <w:sz w:val="22"/>
          <w:szCs w:val="22"/>
        </w:rPr>
        <w:t>For the 10 participants in this experiment, BDI scores significantly decreased from Day 0 to FCNef Day 4 (</w:t>
      </w:r>
      <w:proofErr w:type="gramStart"/>
      <w:r>
        <w:rPr>
          <w:color w:val="000000"/>
          <w:sz w:val="22"/>
          <w:szCs w:val="22"/>
        </w:rPr>
        <w:t>t(</w:t>
      </w:r>
      <w:proofErr w:type="gramEnd"/>
      <w:r>
        <w:rPr>
          <w:color w:val="000000"/>
          <w:sz w:val="22"/>
          <w:szCs w:val="22"/>
        </w:rPr>
        <w:t>9)=2.50, p=0.03). Scores from the Brooding factor (</w:t>
      </w:r>
      <w:proofErr w:type="gramStart"/>
      <w:r>
        <w:rPr>
          <w:color w:val="000000"/>
          <w:sz w:val="22"/>
          <w:szCs w:val="22"/>
        </w:rPr>
        <w:t>t(</w:t>
      </w:r>
      <w:proofErr w:type="gramEnd"/>
      <w:r>
        <w:rPr>
          <w:color w:val="000000"/>
          <w:sz w:val="22"/>
          <w:szCs w:val="22"/>
        </w:rPr>
        <w:t>9)=3.34, p&lt;0.01), but not the Depression or Reflection factors of the RRS (ps&gt;0,05) were significantly decreased from Day 0 to FCNef Day 4. STAI2 scores did not significantly change (</w:t>
      </w:r>
      <w:proofErr w:type="gramStart"/>
      <w:r>
        <w:rPr>
          <w:color w:val="000000"/>
          <w:sz w:val="22"/>
          <w:szCs w:val="22"/>
        </w:rPr>
        <w:t>t(</w:t>
      </w:r>
      <w:proofErr w:type="gramEnd"/>
      <w:r>
        <w:rPr>
          <w:color w:val="000000"/>
          <w:sz w:val="22"/>
          <w:szCs w:val="22"/>
        </w:rPr>
        <w:t>9)=-1.45 p=0.18). Similar to results found in the 1st FCNef experiment, the rs-FC of interest also decreased from Day 0 to FCNef Day 4, although not significantly (p&gt;0.05). These questionnaire scores and participants’ rs-FCs can be seen on Supplementary Table 1</w:t>
      </w:r>
    </w:p>
    <w:p w14:paraId="205FF91F" w14:textId="77777777" w:rsidR="00E903C8" w:rsidRDefault="006B06E1">
      <w:pPr>
        <w:rPr>
          <w:color w:val="000000"/>
        </w:rPr>
      </w:pPr>
      <w:r>
        <w:rPr>
          <w:color w:val="000000"/>
        </w:rPr>
        <w:t xml:space="preserve"> </w:t>
      </w:r>
    </w:p>
    <w:p w14:paraId="1CE4F0A8" w14:textId="77777777" w:rsidR="00E903C8" w:rsidRDefault="006B06E1">
      <w:pPr>
        <w:ind w:firstLine="720"/>
        <w:rPr>
          <w:color w:val="000000"/>
          <w:sz w:val="22"/>
          <w:szCs w:val="22"/>
        </w:rPr>
      </w:pPr>
      <w:r>
        <w:rPr>
          <w:color w:val="000000"/>
          <w:sz w:val="22"/>
          <w:szCs w:val="22"/>
        </w:rPr>
        <w:t>Interestingly, the correlation found in the 1st FCNef experiment between the decrease in BDI and the decrease in this rs-FC from Day 0 to FCNef Day 4 was replicated (r=0.67, p=0.03). The correlation found in the 1st FCNef experiment between the decrease in the Brooding factor of the RRS and the decrease in this rs-FC from Day 0 to FCNef Day 4 was not replicated for this time period (although see long-term results, below). No significant correlations between changes in scores for the other RRS factors or STAI2 and changes in the targeted rs-FC were found.</w:t>
      </w:r>
    </w:p>
    <w:p w14:paraId="15F12112" w14:textId="77777777" w:rsidR="00E903C8" w:rsidRDefault="006B06E1">
      <w:pPr>
        <w:spacing w:before="320" w:after="80"/>
        <w:rPr>
          <w:color w:val="000000"/>
          <w:sz w:val="28"/>
          <w:szCs w:val="28"/>
        </w:rPr>
      </w:pPr>
      <w:r>
        <w:rPr>
          <w:color w:val="000000"/>
          <w:sz w:val="28"/>
          <w:szCs w:val="28"/>
        </w:rPr>
        <w:t xml:space="preserve">2.2.2. Long-term Results. </w:t>
      </w:r>
    </w:p>
    <w:p w14:paraId="5E8E6051" w14:textId="77777777" w:rsidR="00E903C8" w:rsidRDefault="006B06E1">
      <w:pPr>
        <w:ind w:firstLine="720"/>
        <w:rPr>
          <w:color w:val="000000"/>
          <w:sz w:val="22"/>
          <w:szCs w:val="22"/>
        </w:rPr>
      </w:pPr>
      <w:r>
        <w:rPr>
          <w:color w:val="000000"/>
          <w:sz w:val="22"/>
          <w:szCs w:val="22"/>
        </w:rPr>
        <w:t xml:space="preserve">BDI scores, RRS scores, STAI2 scores, </w:t>
      </w:r>
      <w:proofErr w:type="gramStart"/>
      <w:r>
        <w:rPr>
          <w:color w:val="000000"/>
          <w:sz w:val="22"/>
          <w:szCs w:val="22"/>
        </w:rPr>
        <w:t>and  DLPFC</w:t>
      </w:r>
      <w:proofErr w:type="gramEnd"/>
      <w:r>
        <w:rPr>
          <w:color w:val="000000"/>
          <w:sz w:val="22"/>
          <w:szCs w:val="22"/>
        </w:rPr>
        <w:t xml:space="preserve">-PCC rs-FC were subsequently re-examined one-month after FCNef training for nine of the 10 participants and two-months after for eight of the 10 participants. For the nine participants who came back one-month later, BDI scores trended towards a significant reduction from Day 0 (9.89±2.12) to the FCNef Day 4 (8.40±1.83; t(8)=2.16, p=0.06), and remained lower than at Day 0, but not significantly so, one-month later (9.22±2.07; t(8)=0.80,p=0.45). Scores from the RRS Brooding factor were significantly reduced from Day 0 (9.44±1.13) to FCNef Day 4 (8.33±0.93; </w:t>
      </w:r>
      <w:proofErr w:type="gramStart"/>
      <w:r>
        <w:rPr>
          <w:color w:val="000000"/>
          <w:sz w:val="22"/>
          <w:szCs w:val="22"/>
        </w:rPr>
        <w:t>t(</w:t>
      </w:r>
      <w:proofErr w:type="gramEnd"/>
      <w:r>
        <w:rPr>
          <w:color w:val="000000"/>
          <w:sz w:val="22"/>
          <w:szCs w:val="22"/>
        </w:rPr>
        <w:t xml:space="preserve">8)=2.86, p=0.02), and remained lower than at Day 0, but not significantly so, one-month later (9.11±1.18; t(8)=0.54, p=0.61). Scores on the other two RRS factors did not significantly change (ps&gt;0.05; for Depression they went from 23.00±2.28 to 21.33±2.32 to 20.33±2.72; for Reflection they went from 9.25±1.56 to 9.33±1.76 to 8.22±1.66). Likewise, scores on the STAI2 did not significantly change from Day 0 (46.56±2.97) to FCNef Day 4 (45.00±3.72; </w:t>
      </w:r>
      <w:proofErr w:type="gramStart"/>
      <w:r>
        <w:rPr>
          <w:color w:val="000000"/>
          <w:sz w:val="22"/>
          <w:szCs w:val="22"/>
        </w:rPr>
        <w:t>t(</w:t>
      </w:r>
      <w:proofErr w:type="gramEnd"/>
      <w:r>
        <w:rPr>
          <w:color w:val="000000"/>
          <w:sz w:val="22"/>
          <w:szCs w:val="22"/>
        </w:rPr>
        <w:t>9)=-1.19, p=0.27) or to one-month later (44.89±3.03; t(8)=-1.38, p=0.20). The targeted rs-FC reduced from Day 0 (0.043±0.48) to FCNef Day 4 (-0.055±0.071), but not significantly (</w:t>
      </w:r>
      <w:proofErr w:type="gramStart"/>
      <w:r>
        <w:rPr>
          <w:color w:val="000000"/>
          <w:sz w:val="22"/>
          <w:szCs w:val="22"/>
        </w:rPr>
        <w:t>t(</w:t>
      </w:r>
      <w:proofErr w:type="gramEnd"/>
      <w:r>
        <w:rPr>
          <w:color w:val="000000"/>
          <w:sz w:val="22"/>
          <w:szCs w:val="22"/>
        </w:rPr>
        <w:t xml:space="preserve">8)=1.61, p=0.15), and remained lower, but not significantly so, one-month later (-0.048±0.056; t(8)=1.29, p=0.23). For the eight participants who came back 1- and two-months later, BDI scores trended towards a significant reduction from Day 0 (10.63±2.89) to FCNef Day 4 (9.00±2.35; </w:t>
      </w:r>
      <w:proofErr w:type="gramStart"/>
      <w:r>
        <w:rPr>
          <w:color w:val="000000"/>
          <w:sz w:val="22"/>
          <w:szCs w:val="22"/>
        </w:rPr>
        <w:t>t(</w:t>
      </w:r>
      <w:proofErr w:type="gramEnd"/>
      <w:r>
        <w:rPr>
          <w:color w:val="000000"/>
          <w:sz w:val="22"/>
          <w:szCs w:val="22"/>
        </w:rPr>
        <w:t xml:space="preserve">7)=2.23, p=0.06), and remained lower than at Day 0, but not significantly so, one- (9.75±2.40; t(7)=0.96, p=0.37) and two-months (9.38±1.99; t(7)=1.57, p=0.16) later. Scores from the RRS Brooding factor significantly reduced from Day 0 (9.00±1.20) to FCNef Day 4 (7.88±0.99; </w:t>
      </w:r>
      <w:proofErr w:type="gramStart"/>
      <w:r>
        <w:rPr>
          <w:color w:val="000000"/>
          <w:sz w:val="22"/>
          <w:szCs w:val="22"/>
        </w:rPr>
        <w:t>t(</w:t>
      </w:r>
      <w:proofErr w:type="gramEnd"/>
      <w:r>
        <w:rPr>
          <w:color w:val="000000"/>
          <w:sz w:val="22"/>
          <w:szCs w:val="22"/>
        </w:rPr>
        <w:t xml:space="preserve">7)=2.55, p=0.03). They remained lower than at Day 0, but not significantly, so one-month later (8.25±1.25; </w:t>
      </w:r>
      <w:proofErr w:type="gramStart"/>
      <w:r>
        <w:rPr>
          <w:color w:val="000000"/>
          <w:sz w:val="22"/>
          <w:szCs w:val="22"/>
        </w:rPr>
        <w:t>t(</w:t>
      </w:r>
      <w:proofErr w:type="gramEnd"/>
      <w:r>
        <w:rPr>
          <w:color w:val="000000"/>
          <w:sz w:val="22"/>
          <w:szCs w:val="22"/>
        </w:rPr>
        <w:t xml:space="preserve">7)=1.43, p=0.20) and trended towards being significantly lower than at Day 0 two-months later (7.38±0.63; t(7)=2.30, p=0.06). Scores on the other two RRS factors did not significantly change (ps&gt;0.05; for Depression they went from 21.13±2.88 to 20.50±2.45 to 19.63±2.98 to 18.63±1.65; for Reflection they went from 9.50±1.77 to 9.38±2.00 to 8.38±1.87to 8.38±1.38). STAI2 scores did not significantly decrease from Day 0 (46.25±3.35) to FCNef Day 4 (45.13±4.21; </w:t>
      </w:r>
      <w:proofErr w:type="gramStart"/>
      <w:r>
        <w:rPr>
          <w:color w:val="000000"/>
          <w:sz w:val="22"/>
          <w:szCs w:val="22"/>
        </w:rPr>
        <w:t>t(</w:t>
      </w:r>
      <w:proofErr w:type="gramEnd"/>
      <w:r>
        <w:rPr>
          <w:color w:val="000000"/>
          <w:sz w:val="22"/>
          <w:szCs w:val="22"/>
        </w:rPr>
        <w:t xml:space="preserve">7)=-0.81, p=0.45), nor to one-month later (44.63±3.42; t(7)=-1.19, p=0.27), and nor to two-months later (44.00±3.36; t(7)=-1.45, p=0.19). </w:t>
      </w:r>
      <w:proofErr w:type="gramStart"/>
      <w:r>
        <w:rPr>
          <w:color w:val="000000"/>
          <w:sz w:val="22"/>
          <w:szCs w:val="22"/>
        </w:rPr>
        <w:t>Participants’  DLPFC</w:t>
      </w:r>
      <w:proofErr w:type="gramEnd"/>
      <w:r>
        <w:rPr>
          <w:color w:val="000000"/>
          <w:sz w:val="22"/>
          <w:szCs w:val="22"/>
        </w:rPr>
        <w:t>-PCC rs-FCs reduced, but not significantly so, from Day 0 (-0.009±0.051) to FCNef Day 4 (-0.122±0.076; t(7)=1.70, p=0.13), and remained lower than at Day 0, but not significantly so, one-month (-0.089±0.060; t(7)=1.02, p=0.34) and two-months later (-0.090±0.035; t(7)=1.78, p=0.12).</w:t>
      </w:r>
    </w:p>
    <w:p w14:paraId="1711E6C9" w14:textId="77777777" w:rsidR="00E903C8" w:rsidRDefault="006B06E1">
      <w:pPr>
        <w:ind w:firstLine="720"/>
        <w:rPr>
          <w:color w:val="000000"/>
          <w:sz w:val="22"/>
          <w:szCs w:val="22"/>
        </w:rPr>
      </w:pPr>
      <w:r>
        <w:rPr>
          <w:color w:val="000000"/>
          <w:sz w:val="22"/>
          <w:szCs w:val="22"/>
        </w:rPr>
        <w:lastRenderedPageBreak/>
        <w:t>Correlations between changes in BDI score and changes in the targeted rs-FC were significant one-month later (r=0.78, p=0.02) and were maintained in a similar direction even two-months later (r=0.58, p=0.13). The relationship between changes between Brooding factor scores from the RRS and changes in the targeted rs-FC, went from completely unrelated when data from FCNef Day 4 (r=-0.28, p=0.42) and one-month later (r=0.18, p=0.64) was compared to Day 0, to being significantly related when data from two-months later was compared to Day 0 (r=0.73, p=0.04). Changes in the other two RRS factors (Depression and Reflection) and in STAI2 scores did not significantly correlate with changes in the targeted rs-FC one- or two-months later (ps&gt;0.05).</w:t>
      </w:r>
    </w:p>
    <w:p w14:paraId="24CF5AF4" w14:textId="77777777" w:rsidR="00E903C8" w:rsidRDefault="006B06E1">
      <w:pPr>
        <w:spacing w:before="360" w:after="120"/>
        <w:rPr>
          <w:color w:val="000000"/>
          <w:sz w:val="32"/>
          <w:szCs w:val="32"/>
        </w:rPr>
      </w:pPr>
      <w:r>
        <w:rPr>
          <w:color w:val="000000"/>
          <w:sz w:val="32"/>
          <w:szCs w:val="32"/>
        </w:rPr>
        <w:t>2.3. Experiments combined</w:t>
      </w:r>
    </w:p>
    <w:p w14:paraId="41E10361" w14:textId="77777777" w:rsidR="00E903C8" w:rsidRDefault="006B06E1">
      <w:pPr>
        <w:spacing w:before="320" w:after="80"/>
        <w:rPr>
          <w:color w:val="000000"/>
          <w:sz w:val="28"/>
          <w:szCs w:val="28"/>
        </w:rPr>
      </w:pPr>
      <w:r>
        <w:rPr>
          <w:color w:val="000000"/>
          <w:sz w:val="28"/>
          <w:szCs w:val="28"/>
        </w:rPr>
        <w:t xml:space="preserve">2.3.1 Results from FCNef Day 4 compared to Day 0. </w:t>
      </w:r>
    </w:p>
    <w:p w14:paraId="704B77AD" w14:textId="77777777" w:rsidR="00E903C8" w:rsidRDefault="006B06E1">
      <w:pPr>
        <w:ind w:firstLine="720"/>
        <w:rPr>
          <w:color w:val="000000"/>
          <w:sz w:val="22"/>
          <w:szCs w:val="22"/>
        </w:rPr>
      </w:pPr>
      <w:r>
        <w:rPr>
          <w:color w:val="000000"/>
          <w:sz w:val="22"/>
          <w:szCs w:val="22"/>
        </w:rPr>
        <w:t>For all participants combined, BDI scores on FCNef Day 4 were found to have significantly decreased from Day 0 (</w:t>
      </w:r>
      <w:proofErr w:type="gramStart"/>
      <w:r>
        <w:rPr>
          <w:color w:val="000000"/>
          <w:sz w:val="22"/>
          <w:szCs w:val="22"/>
        </w:rPr>
        <w:t>t(</w:t>
      </w:r>
      <w:proofErr w:type="gramEnd"/>
      <w:r>
        <w:rPr>
          <w:color w:val="000000"/>
          <w:sz w:val="22"/>
          <w:szCs w:val="22"/>
        </w:rPr>
        <w:t>18)=-3.12, p&lt;0.01). Scores from the Brooding factor (</w:t>
      </w:r>
      <w:proofErr w:type="gramStart"/>
      <w:r>
        <w:rPr>
          <w:color w:val="000000"/>
          <w:sz w:val="22"/>
          <w:szCs w:val="22"/>
        </w:rPr>
        <w:t>t(</w:t>
      </w:r>
      <w:proofErr w:type="gramEnd"/>
      <w:r>
        <w:rPr>
          <w:color w:val="000000"/>
          <w:sz w:val="22"/>
          <w:szCs w:val="22"/>
        </w:rPr>
        <w:t>17)=-3.18, p&lt;0.01), but not the other RRS factors of Depression (t(18)=-0.84 p=0.41) or Reflection (t(18)=-1.02 p=0.32) were found to have significantly decreased from Day 0. STAI2 scores did not significantly change from Day 0 until FCNef Day 4 (</w:t>
      </w:r>
      <w:proofErr w:type="gramStart"/>
      <w:r>
        <w:rPr>
          <w:color w:val="000000"/>
          <w:sz w:val="22"/>
          <w:szCs w:val="22"/>
        </w:rPr>
        <w:t>t(</w:t>
      </w:r>
      <w:proofErr w:type="gramEnd"/>
      <w:r>
        <w:rPr>
          <w:color w:val="000000"/>
          <w:sz w:val="22"/>
          <w:szCs w:val="22"/>
        </w:rPr>
        <w:t>18)=0.52 p=0.61). The rs-FC of interest did not significantly decrease from Day 0 to FCNef Day 4 (</w:t>
      </w:r>
      <w:proofErr w:type="gramStart"/>
      <w:r>
        <w:rPr>
          <w:color w:val="000000"/>
          <w:sz w:val="22"/>
          <w:szCs w:val="22"/>
        </w:rPr>
        <w:t>t(</w:t>
      </w:r>
      <w:proofErr w:type="gramEnd"/>
      <w:r>
        <w:rPr>
          <w:color w:val="000000"/>
          <w:sz w:val="22"/>
          <w:szCs w:val="22"/>
        </w:rPr>
        <w:t>18)=-1.14 p=0.27). These questionnaire scores and participants’ rs-FCs can be seen on Supplementary Table 1.</w:t>
      </w:r>
    </w:p>
    <w:p w14:paraId="1A3B2714" w14:textId="77777777" w:rsidR="00E903C8" w:rsidRDefault="006B06E1">
      <w:pPr>
        <w:rPr>
          <w:color w:val="000000"/>
        </w:rPr>
      </w:pPr>
      <w:r>
        <w:rPr>
          <w:color w:val="000000"/>
        </w:rPr>
        <w:t xml:space="preserve"> </w:t>
      </w:r>
    </w:p>
    <w:p w14:paraId="6A56EE39" w14:textId="77777777" w:rsidR="00E903C8" w:rsidRDefault="006B06E1">
      <w:pPr>
        <w:ind w:firstLine="720"/>
        <w:rPr>
          <w:color w:val="000000"/>
          <w:sz w:val="22"/>
          <w:szCs w:val="22"/>
        </w:rPr>
      </w:pPr>
      <w:r>
        <w:rPr>
          <w:color w:val="000000"/>
          <w:sz w:val="22"/>
          <w:szCs w:val="22"/>
        </w:rPr>
        <w:t xml:space="preserve">The correlation between the decrease in BDI and the decrease in the targeted rs-FC from Day 0 to FCNef Day </w:t>
      </w:r>
      <w:proofErr w:type="gramStart"/>
      <w:r>
        <w:rPr>
          <w:color w:val="000000"/>
          <w:sz w:val="22"/>
          <w:szCs w:val="22"/>
        </w:rPr>
        <w:t>4  was</w:t>
      </w:r>
      <w:proofErr w:type="gramEnd"/>
      <w:r>
        <w:rPr>
          <w:color w:val="000000"/>
          <w:sz w:val="22"/>
          <w:szCs w:val="22"/>
        </w:rPr>
        <w:t xml:space="preserve"> positive and significant (r=0.78, p&lt;0.001). The correlation between the decrease in scores on the Brooding factor of the RRS and the decrease in this rs-FC from Day 0 to FCNef Day 4 was positive and trended towards significance (r=0.43, p=0.06). No significant correlations between changes in scores for the other RRS factors or STAI2 and changes in the targeted rs-FC were found. See Supplementary Table 2. </w:t>
      </w:r>
    </w:p>
    <w:p w14:paraId="23FDF73F" w14:textId="77777777" w:rsidR="00E903C8" w:rsidRDefault="006B06E1">
      <w:pPr>
        <w:rPr>
          <w:color w:val="000000"/>
        </w:rPr>
      </w:pPr>
      <w:r>
        <w:rPr>
          <w:color w:val="000000"/>
        </w:rPr>
        <w:t xml:space="preserve"> </w:t>
      </w:r>
    </w:p>
    <w:p w14:paraId="6102ECFF" w14:textId="77777777" w:rsidR="00E903C8" w:rsidRDefault="006B06E1">
      <w:pPr>
        <w:ind w:right="600" w:firstLine="720"/>
        <w:rPr>
          <w:color w:val="000000"/>
          <w:sz w:val="22"/>
          <w:szCs w:val="22"/>
        </w:rPr>
      </w:pPr>
      <w:r>
        <w:rPr>
          <w:color w:val="000000"/>
          <w:sz w:val="22"/>
          <w:szCs w:val="22"/>
        </w:rPr>
        <w:t xml:space="preserve">BDI scores were correlated with Brooding scores on Day 0 (r=0.454 p=0.05) and on FCNef Day 4 (r=0.54, p=0.02). BDI scores were also correlated with STAI2 scores on Day 0 (r=0.55, p=0.02) and on FCNef Day 4 (r=0.61, p=0.01). Furthermore Brooding scores were correlated with </w:t>
      </w:r>
      <w:proofErr w:type="gramStart"/>
      <w:r>
        <w:rPr>
          <w:color w:val="000000"/>
          <w:sz w:val="22"/>
          <w:szCs w:val="22"/>
        </w:rPr>
        <w:t>STAI2  scores</w:t>
      </w:r>
      <w:proofErr w:type="gramEnd"/>
      <w:r>
        <w:rPr>
          <w:color w:val="000000"/>
          <w:sz w:val="22"/>
          <w:szCs w:val="22"/>
        </w:rPr>
        <w:t xml:space="preserve"> on Day 0 (r=0.67 p&lt;0.01) and on FCNef Day 4 (r=0.69, p&lt;0.01). These results indicate that a participant who was likely to score more highly on one of these questionnaires was also likely to score more highly on the other two. This result is not surprising given that (a) the BDI measures a range of depressive symptoms, including those related to rumination and anxiety and (b) participants who show one set of these symptoms (e.g. Brooding) are known to be more likely to also display other related symptoms (e.g. anxiety). However, the change in BDI scores from Day 0 to FCNef Day 4 did not correlate with the change in Brooding scores (r=0.30, p=0.23); the change in BDI scores from Day 0 to FCNef Day 4 did not correlate with the change in STAI2 scores (r=-0.02, p=0.93); the change in Brooding scores from Day 0 to FCNef Day 4 did not correlate with the change in STAI2 scores (r=-0.06, p=0.79). This indicates that, despite overall relationships between symptoms measured by these three questionnaires, changes in symptomatology that occurred over the course of our experiment did not occur equally for the symptom components targeted by each of these questionnaires.</w:t>
      </w:r>
    </w:p>
    <w:p w14:paraId="484AECEB" w14:textId="77777777" w:rsidR="00E903C8" w:rsidRDefault="006B06E1">
      <w:pPr>
        <w:spacing w:before="320" w:after="80"/>
        <w:rPr>
          <w:color w:val="000000"/>
          <w:sz w:val="28"/>
          <w:szCs w:val="28"/>
        </w:rPr>
      </w:pPr>
      <w:r>
        <w:rPr>
          <w:color w:val="000000"/>
          <w:sz w:val="28"/>
          <w:szCs w:val="28"/>
        </w:rPr>
        <w:t>2.3.2 FCNef Task scores are predicted by experimental day</w:t>
      </w:r>
    </w:p>
    <w:p w14:paraId="7D6FDDFE" w14:textId="77777777" w:rsidR="00E903C8" w:rsidRDefault="006B06E1">
      <w:pPr>
        <w:spacing w:before="320" w:after="80"/>
        <w:ind w:firstLine="720"/>
        <w:rPr>
          <w:color w:val="000000"/>
          <w:sz w:val="22"/>
          <w:szCs w:val="22"/>
        </w:rPr>
      </w:pPr>
      <w:r>
        <w:rPr>
          <w:color w:val="000000"/>
          <w:sz w:val="22"/>
          <w:szCs w:val="22"/>
        </w:rPr>
        <w:t>A linear mixed-effects model (LME) with data from the two experiments combined was run. This had a dependent variable of FCNef task score (mean score per day per participant) and an independent variable of Day (FCNef Days 1- 4). A likelihood ratio test showed that including an independent intercept for each subject significantly improved the model (‘Score~ Day</w:t>
      </w:r>
      <w:proofErr w:type="gramStart"/>
      <w:r>
        <w:rPr>
          <w:color w:val="000000"/>
          <w:sz w:val="22"/>
          <w:szCs w:val="22"/>
        </w:rPr>
        <w:t>+(</w:t>
      </w:r>
      <w:proofErr w:type="gramEnd"/>
      <w:r>
        <w:rPr>
          <w:color w:val="000000"/>
          <w:sz w:val="22"/>
          <w:szCs w:val="22"/>
        </w:rPr>
        <w:t>1|Subject)'; AIC with the intercept regressor = 622.49; without it = 651.71; χ2(1)=31.22, p&lt;0.001). An ANOVA using the model which included a regressor for independent intercepts showed a main effect of Day (f(1,74)=12.66 p&lt;0.001; note that even an ANOVA using the model which excluded this regressor for independent intercepts showed a main effect of Day (f(1,74)=5.21,p=0.0250)). These results therefore indicate that the difference between scores on the first and last day was not accidental and not caused by inconsistent day-by-day fluctuation but that this was a real effect. This is supported by the data presented in the first column of Table 1, where it can be seen that the scores consistently increase day-by-day.</w:t>
      </w:r>
    </w:p>
    <w:p w14:paraId="47A44552" w14:textId="77777777" w:rsidR="00E903C8" w:rsidRDefault="006B06E1">
      <w:pPr>
        <w:spacing w:before="360" w:after="120"/>
        <w:rPr>
          <w:color w:val="000000"/>
          <w:sz w:val="32"/>
          <w:szCs w:val="32"/>
        </w:rPr>
      </w:pPr>
      <w:r>
        <w:rPr>
          <w:color w:val="000000"/>
          <w:sz w:val="32"/>
          <w:szCs w:val="32"/>
        </w:rPr>
        <w:t>2.4. Comparing symptoms for participants from the two experiments</w:t>
      </w:r>
    </w:p>
    <w:p w14:paraId="040431EF" w14:textId="77777777" w:rsidR="00E903C8" w:rsidRDefault="006B06E1">
      <w:pPr>
        <w:spacing w:before="360" w:after="120"/>
        <w:ind w:firstLine="720"/>
        <w:rPr>
          <w:color w:val="000000"/>
          <w:sz w:val="32"/>
          <w:szCs w:val="32"/>
        </w:rPr>
      </w:pPr>
      <w:r>
        <w:rPr>
          <w:color w:val="000000"/>
          <w:sz w:val="22"/>
          <w:szCs w:val="22"/>
          <w:highlight w:val="white"/>
        </w:rPr>
        <w:t>Two-sample t-tests were conducted to compare the questionnaire scores for the participants in the 1st and 2nd experiments using data from Day 0 and on Day 4 separately. T-tests calculated for data from Day 0 showed that participants from the two experiments did not differ significantly on Day 0 for their scores on any of the questionnaires: BDI for Day 0 t(17)=0.799,p=0.435; STAI2 for Day 0 t(17)=-1.358,p=0.192; RRS depression for Day 0 t(17)=-1.413,p=0.176; RRS brooding for Day 0 t(17)=-1.839,p=0.083. This indicates that participants in the two experiments did not differ in baseline levels of symptoms. T-tests calculated for data from Day 4 showed that participants from the two experiments did not differ significantly on Day 4 for their scores for BDI, RRS Depression, or STAI2: BDI for Day 4 t(17)=-0.805,p=0.432; STAI2 for Day 4  t(17)=-1.736,p=0.101; RRS depression for Day 4  t(17)=-1.728,p=0.102. These results do not therefore provide anything worthy of in-depth discussion. T-tests calculated for data from Day 4 showed that participants from the two experiments did differ significantly on Day 4 for their scores for RRS Brooding: RRS brooding for Day 4 t(17)=-2.694,p=0.015. Specifically, on Day 4, participants in the 1st experiment had significantly higher mean RRS brooding scores (mean=12.44, std=4.00) than participants in 2nd experiment (mean=8.20, std=2.82).This significant difference remained even when data from the previously identified outlier participant was excluded (the data for this participant was excluded</w:t>
      </w:r>
      <w:r>
        <w:rPr>
          <w:color w:val="000000"/>
          <w:sz w:val="22"/>
          <w:szCs w:val="22"/>
        </w:rPr>
        <w:t xml:space="preserve"> from the analysis of Brooding factor score change described in the main manuscript because it was more than 2 stds above the mean).</w:t>
      </w:r>
      <w:r>
        <w:rPr>
          <w:color w:val="000000"/>
          <w:sz w:val="22"/>
          <w:szCs w:val="22"/>
          <w:highlight w:val="white"/>
        </w:rPr>
        <w:t xml:space="preserve"> With this outlier removed RRS brooding for the difference between the two groups for Day </w:t>
      </w:r>
      <w:proofErr w:type="gramStart"/>
      <w:r>
        <w:rPr>
          <w:color w:val="000000"/>
          <w:sz w:val="22"/>
          <w:szCs w:val="22"/>
          <w:highlight w:val="white"/>
        </w:rPr>
        <w:t>4  t</w:t>
      </w:r>
      <w:proofErr w:type="gramEnd"/>
      <w:r>
        <w:rPr>
          <w:color w:val="000000"/>
          <w:sz w:val="22"/>
          <w:szCs w:val="22"/>
          <w:highlight w:val="white"/>
        </w:rPr>
        <w:t>(16)=-2.386,p=0.030. Even with this outlier excluded, as can be seen on Supplementary Table 1, on Day 4 participants in the 1st experiment had significantly higher mean RRS brooding scores (mean=12.13, std=4.16) than participants in the 2nd experiment (mean=8.20, std=2.82). This difference may arise from the fact that there was more variance in the Day 4 RRS Brooding score data of the 1st (std=4.00) than the 2nd  (std=2.82) experiment, reflecting the finding that most participants had reduced Brooding symptoms in the 2nd experiment but the ‘change in Brooding symptoms’ was more variant in the 1st experiment (this can be seen- by proxy- by looking at the spread of data points across the top and bottom of Figure 5d, which has “changes” in Brooding scores on its  y-axis). Given the small sample sizes of the two experiments and given that these experiments were essentially identical (with the only differences being the year they were conducted and the experimenters) this between-experiment difference in variance is likely to just be due to chance differences in sampling. We believe a much greater sample size would have been necessary to claim and discuss any interesting differences between the results of the two experiments.</w:t>
      </w:r>
    </w:p>
    <w:p w14:paraId="2FFC5AD1" w14:textId="77777777" w:rsidR="00E903C8" w:rsidRDefault="006B06E1">
      <w:pPr>
        <w:spacing w:before="400" w:after="120"/>
        <w:rPr>
          <w:color w:val="000000"/>
          <w:sz w:val="40"/>
          <w:szCs w:val="40"/>
        </w:rPr>
      </w:pPr>
      <w:r>
        <w:rPr>
          <w:color w:val="000000"/>
          <w:sz w:val="40"/>
          <w:szCs w:val="40"/>
        </w:rPr>
        <w:t>Supplementary References</w:t>
      </w:r>
    </w:p>
    <w:p w14:paraId="7F34D837" w14:textId="77777777" w:rsidR="00E903C8" w:rsidRDefault="006B06E1">
      <w:pPr>
        <w:rPr>
          <w:color w:val="000000"/>
          <w:sz w:val="22"/>
          <w:szCs w:val="22"/>
        </w:rPr>
      </w:pPr>
      <w:r>
        <w:rPr>
          <w:color w:val="000000"/>
          <w:sz w:val="22"/>
          <w:szCs w:val="22"/>
        </w:rPr>
        <w:t xml:space="preserve"> </w:t>
      </w:r>
    </w:p>
    <w:p w14:paraId="2957C372" w14:textId="77777777" w:rsidR="00E903C8" w:rsidRDefault="006B06E1">
      <w:pPr>
        <w:numPr>
          <w:ilvl w:val="0"/>
          <w:numId w:val="1"/>
        </w:numPr>
        <w:rPr>
          <w:color w:val="000000"/>
        </w:rPr>
      </w:pPr>
      <w:r>
        <w:rPr>
          <w:color w:val="000000"/>
          <w:sz w:val="22"/>
          <w:szCs w:val="22"/>
        </w:rPr>
        <w:t xml:space="preserve">Brett, M., Anton, J., Valabregue, J. P. Region of interest analysis using an SPM toolbox [abstract] </w:t>
      </w:r>
      <w:proofErr w:type="gramStart"/>
      <w:r>
        <w:rPr>
          <w:color w:val="000000"/>
          <w:sz w:val="22"/>
          <w:szCs w:val="22"/>
        </w:rPr>
        <w:t>Presented</w:t>
      </w:r>
      <w:proofErr w:type="gramEnd"/>
      <w:r>
        <w:rPr>
          <w:color w:val="000000"/>
          <w:sz w:val="22"/>
          <w:szCs w:val="22"/>
        </w:rPr>
        <w:t xml:space="preserve"> at the 8th International Conference on Functional Mapping of the Human Brain, June 2-6, 2002, Sendai, Japan. Available on CD-ROM in NeuroImage, Vol 16, No 2.</w:t>
      </w:r>
    </w:p>
    <w:p w14:paraId="26F1C3DB" w14:textId="77777777" w:rsidR="00E903C8" w:rsidRDefault="006B06E1">
      <w:pPr>
        <w:numPr>
          <w:ilvl w:val="0"/>
          <w:numId w:val="1"/>
        </w:numPr>
        <w:rPr>
          <w:color w:val="000000"/>
        </w:rPr>
      </w:pPr>
      <w:r>
        <w:rPr>
          <w:color w:val="000000"/>
          <w:sz w:val="22"/>
          <w:szCs w:val="22"/>
        </w:rPr>
        <w:t xml:space="preserve">Ichikawa, N. </w:t>
      </w:r>
      <w:r>
        <w:rPr>
          <w:i/>
          <w:color w:val="000000"/>
          <w:sz w:val="22"/>
          <w:szCs w:val="22"/>
        </w:rPr>
        <w:t>et al</w:t>
      </w:r>
      <w:r>
        <w:rPr>
          <w:color w:val="000000"/>
          <w:sz w:val="22"/>
          <w:szCs w:val="22"/>
        </w:rPr>
        <w:t xml:space="preserve">. Primary functional brain connections associated with melancholic major depressive disorder and modulation by antidepressants. </w:t>
      </w:r>
      <w:r>
        <w:rPr>
          <w:i/>
          <w:color w:val="000000"/>
          <w:sz w:val="22"/>
          <w:szCs w:val="22"/>
        </w:rPr>
        <w:t>Sci. Rep</w:t>
      </w:r>
      <w:r>
        <w:rPr>
          <w:color w:val="000000"/>
          <w:sz w:val="22"/>
          <w:szCs w:val="22"/>
        </w:rPr>
        <w:t xml:space="preserve">. </w:t>
      </w:r>
      <w:r>
        <w:rPr>
          <w:b/>
          <w:color w:val="000000"/>
          <w:sz w:val="22"/>
          <w:szCs w:val="22"/>
        </w:rPr>
        <w:t>10</w:t>
      </w:r>
      <w:r>
        <w:rPr>
          <w:color w:val="000000"/>
          <w:sz w:val="22"/>
          <w:szCs w:val="22"/>
        </w:rPr>
        <w:t>, 3542. Accessed from:</w:t>
      </w:r>
      <w:hyperlink r:id="rId5">
        <w:r>
          <w:rPr>
            <w:color w:val="000000"/>
            <w:sz w:val="22"/>
            <w:szCs w:val="22"/>
            <w:u w:val="single"/>
          </w:rPr>
          <w:t xml:space="preserve"> https://www.nature.com/articles/s41598-020-60527-z</w:t>
        </w:r>
      </w:hyperlink>
      <w:r>
        <w:rPr>
          <w:color w:val="000000"/>
          <w:sz w:val="22"/>
          <w:szCs w:val="22"/>
        </w:rPr>
        <w:t xml:space="preserve"> doi: 10.1038/s41598-020-60527-z (2020).</w:t>
      </w:r>
    </w:p>
    <w:p w14:paraId="23F3816D" w14:textId="77777777" w:rsidR="00E903C8" w:rsidRDefault="006B06E1">
      <w:pPr>
        <w:numPr>
          <w:ilvl w:val="0"/>
          <w:numId w:val="1"/>
        </w:numPr>
        <w:rPr>
          <w:color w:val="000000"/>
        </w:rPr>
      </w:pPr>
      <w:r>
        <w:rPr>
          <w:color w:val="000000"/>
          <w:sz w:val="22"/>
          <w:szCs w:val="22"/>
        </w:rPr>
        <w:t xml:space="preserve">Power, J. D., Mitra, A., Laumann, T. O., Snyder, A. Z., Schlaggar, B. L., Petersen, S. E. Methods to detect, characterize, and remove motion artifact in resting state fMRI. </w:t>
      </w:r>
      <w:r>
        <w:rPr>
          <w:i/>
          <w:color w:val="000000"/>
          <w:sz w:val="22"/>
          <w:szCs w:val="22"/>
        </w:rPr>
        <w:t>NeuroImage</w:t>
      </w:r>
      <w:r>
        <w:rPr>
          <w:color w:val="000000"/>
          <w:sz w:val="22"/>
          <w:szCs w:val="22"/>
        </w:rPr>
        <w:t xml:space="preserve">. </w:t>
      </w:r>
      <w:r>
        <w:rPr>
          <w:b/>
          <w:color w:val="000000"/>
          <w:sz w:val="22"/>
          <w:szCs w:val="22"/>
        </w:rPr>
        <w:t>84</w:t>
      </w:r>
      <w:r>
        <w:rPr>
          <w:color w:val="000000"/>
          <w:sz w:val="22"/>
          <w:szCs w:val="22"/>
        </w:rPr>
        <w:t>, 320-341 (2020).</w:t>
      </w:r>
    </w:p>
    <w:p w14:paraId="4FB8F668" w14:textId="77777777" w:rsidR="00E903C8" w:rsidRDefault="006B06E1">
      <w:pPr>
        <w:numPr>
          <w:ilvl w:val="0"/>
          <w:numId w:val="1"/>
        </w:numPr>
        <w:rPr>
          <w:color w:val="000000"/>
        </w:rPr>
      </w:pPr>
      <w:r>
        <w:rPr>
          <w:color w:val="000000"/>
          <w:sz w:val="22"/>
          <w:szCs w:val="22"/>
        </w:rPr>
        <w:t xml:space="preserve">Raichle, M. E. </w:t>
      </w:r>
      <w:r>
        <w:rPr>
          <w:i/>
          <w:color w:val="000000"/>
          <w:sz w:val="22"/>
          <w:szCs w:val="22"/>
        </w:rPr>
        <w:t>et al</w:t>
      </w:r>
      <w:r>
        <w:rPr>
          <w:color w:val="000000"/>
          <w:sz w:val="22"/>
          <w:szCs w:val="22"/>
        </w:rPr>
        <w:t xml:space="preserve">. A default mode of brain function. </w:t>
      </w:r>
      <w:r>
        <w:rPr>
          <w:i/>
          <w:color w:val="000000"/>
          <w:sz w:val="22"/>
          <w:szCs w:val="22"/>
        </w:rPr>
        <w:t>Proc. Natl. Acad. Sci. USA.</w:t>
      </w:r>
      <w:r>
        <w:rPr>
          <w:color w:val="000000"/>
          <w:sz w:val="22"/>
          <w:szCs w:val="22"/>
        </w:rPr>
        <w:t xml:space="preserve"> </w:t>
      </w:r>
      <w:r>
        <w:rPr>
          <w:b/>
          <w:color w:val="000000"/>
          <w:sz w:val="22"/>
          <w:szCs w:val="22"/>
        </w:rPr>
        <w:t>98</w:t>
      </w:r>
      <w:r>
        <w:rPr>
          <w:color w:val="000000"/>
          <w:sz w:val="22"/>
          <w:szCs w:val="22"/>
        </w:rPr>
        <w:t>(2), 676-682 (2001).</w:t>
      </w:r>
    </w:p>
    <w:p w14:paraId="05D1DC63" w14:textId="77777777" w:rsidR="00E903C8" w:rsidRDefault="006B06E1">
      <w:pPr>
        <w:numPr>
          <w:ilvl w:val="0"/>
          <w:numId w:val="1"/>
        </w:numPr>
        <w:rPr>
          <w:color w:val="000000"/>
        </w:rPr>
      </w:pPr>
      <w:r>
        <w:rPr>
          <w:color w:val="000000"/>
          <w:sz w:val="22"/>
          <w:szCs w:val="22"/>
        </w:rPr>
        <w:t>Thompson, T. W., Waskom, M. L., Gabrieli, J. D. E. Intensive working memory training produced functional changes in large-scale frontoparietal networks.</w:t>
      </w:r>
      <w:r>
        <w:rPr>
          <w:i/>
          <w:color w:val="000000"/>
          <w:sz w:val="22"/>
          <w:szCs w:val="22"/>
        </w:rPr>
        <w:t xml:space="preserve"> J. Cogn. Neurosci</w:t>
      </w:r>
      <w:r>
        <w:rPr>
          <w:color w:val="000000"/>
          <w:sz w:val="22"/>
          <w:szCs w:val="22"/>
        </w:rPr>
        <w:t xml:space="preserve">. </w:t>
      </w:r>
      <w:r>
        <w:rPr>
          <w:b/>
          <w:color w:val="000000"/>
          <w:sz w:val="22"/>
          <w:szCs w:val="22"/>
        </w:rPr>
        <w:t>28</w:t>
      </w:r>
      <w:r>
        <w:rPr>
          <w:color w:val="000000"/>
          <w:sz w:val="22"/>
          <w:szCs w:val="22"/>
        </w:rPr>
        <w:t>, 575–588 (2016).</w:t>
      </w:r>
    </w:p>
    <w:p w14:paraId="5F0064F4" w14:textId="77777777" w:rsidR="00E903C8" w:rsidRDefault="006B06E1">
      <w:pPr>
        <w:numPr>
          <w:ilvl w:val="0"/>
          <w:numId w:val="1"/>
        </w:numPr>
        <w:rPr>
          <w:color w:val="000000"/>
        </w:rPr>
      </w:pPr>
      <w:r>
        <w:rPr>
          <w:color w:val="000000"/>
          <w:sz w:val="22"/>
          <w:szCs w:val="22"/>
        </w:rPr>
        <w:t xml:space="preserve">Tzourio-Mazoyer, N. </w:t>
      </w:r>
      <w:r>
        <w:rPr>
          <w:i/>
          <w:color w:val="000000"/>
          <w:sz w:val="22"/>
          <w:szCs w:val="22"/>
        </w:rPr>
        <w:t>et al</w:t>
      </w:r>
      <w:r>
        <w:rPr>
          <w:color w:val="000000"/>
          <w:sz w:val="22"/>
          <w:szCs w:val="22"/>
        </w:rPr>
        <w:t>. Automated anatomical labeling of activations in SPM using a macroscopic anatomical parcellation of the MNI MRI single-subject brain. NeuroImage. 15:273–289 (2002).</w:t>
      </w:r>
      <w:r>
        <w:rPr>
          <w:color w:val="000000"/>
          <w:sz w:val="22"/>
          <w:szCs w:val="22"/>
        </w:rPr>
        <w:br/>
      </w:r>
      <w:r>
        <w:rPr>
          <w:color w:val="000000"/>
          <w:sz w:val="22"/>
          <w:szCs w:val="22"/>
        </w:rPr>
        <w:br/>
      </w:r>
    </w:p>
    <w:p w14:paraId="2D2DDE2D" w14:textId="77777777" w:rsidR="00E903C8" w:rsidRDefault="006B06E1">
      <w:pPr>
        <w:rPr>
          <w:color w:val="000000"/>
        </w:rPr>
      </w:pPr>
      <w:r>
        <w:rPr>
          <w:color w:val="000000"/>
        </w:rPr>
        <w:t xml:space="preserve"> </w:t>
      </w:r>
    </w:p>
    <w:p w14:paraId="53B12FA6" w14:textId="77777777" w:rsidR="00E903C8" w:rsidRDefault="006B06E1">
      <w:pPr>
        <w:rPr>
          <w:color w:val="000000"/>
        </w:rPr>
      </w:pPr>
      <w:r>
        <w:rPr>
          <w:color w:val="000000"/>
        </w:rPr>
        <w:t xml:space="preserve"> </w:t>
      </w:r>
    </w:p>
    <w:p w14:paraId="4F7DE233" w14:textId="77777777" w:rsidR="00E903C8" w:rsidRDefault="006B06E1">
      <w:pPr>
        <w:rPr>
          <w:color w:val="000000"/>
        </w:rPr>
      </w:pPr>
      <w:r>
        <w:rPr>
          <w:color w:val="000000"/>
        </w:rPr>
        <w:t xml:space="preserve"> </w:t>
      </w:r>
    </w:p>
    <w:p w14:paraId="2B5B91C6" w14:textId="77777777" w:rsidR="00E903C8" w:rsidRDefault="006B06E1">
      <w:pPr>
        <w:rPr>
          <w:color w:val="000000"/>
        </w:rPr>
      </w:pPr>
      <w:r>
        <w:rPr>
          <w:color w:val="000000"/>
        </w:rPr>
        <w:t xml:space="preserve"> </w:t>
      </w:r>
    </w:p>
    <w:p w14:paraId="72F42B33" w14:textId="77777777" w:rsidR="00E903C8" w:rsidRDefault="006B06E1">
      <w:pPr>
        <w:rPr>
          <w:color w:val="000000"/>
        </w:rPr>
      </w:pPr>
      <w:r>
        <w:rPr>
          <w:color w:val="000000"/>
        </w:rPr>
        <w:t xml:space="preserve"> </w:t>
      </w:r>
    </w:p>
    <w:p w14:paraId="1C2A2E4D" w14:textId="77777777" w:rsidR="00E903C8" w:rsidRDefault="00E903C8">
      <w:pPr>
        <w:rPr>
          <w:color w:val="000000"/>
        </w:rPr>
      </w:pPr>
    </w:p>
    <w:p w14:paraId="193F13AC" w14:textId="77777777" w:rsidR="00E903C8" w:rsidRDefault="00E903C8">
      <w:pPr>
        <w:rPr>
          <w:color w:val="000000"/>
        </w:rPr>
      </w:pPr>
    </w:p>
    <w:p w14:paraId="23E25CD7" w14:textId="77777777" w:rsidR="00E903C8" w:rsidRDefault="00E903C8">
      <w:pPr>
        <w:rPr>
          <w:color w:val="000000"/>
        </w:rPr>
        <w:sectPr w:rsidR="00E903C8">
          <w:pgSz w:w="11900" w:h="16840"/>
          <w:pgMar w:top="1985" w:right="1701" w:bottom="1701" w:left="1701" w:header="851" w:footer="992" w:gutter="0"/>
          <w:pgNumType w:start="1"/>
          <w:cols w:space="720"/>
        </w:sectPr>
      </w:pPr>
    </w:p>
    <w:p w14:paraId="3E107627" w14:textId="77777777" w:rsidR="00E903C8" w:rsidRDefault="006B06E1">
      <w:pPr>
        <w:rPr>
          <w:color w:val="000000"/>
        </w:rPr>
      </w:pPr>
      <w:r>
        <w:rPr>
          <w:color w:val="000000"/>
        </w:rPr>
        <w:t xml:space="preserve">  </w:t>
      </w:r>
    </w:p>
    <w:tbl>
      <w:tblPr>
        <w:tblStyle w:val="a0"/>
        <w:tblW w:w="10632" w:type="dxa"/>
        <w:tblBorders>
          <w:top w:val="nil"/>
          <w:left w:val="nil"/>
          <w:bottom w:val="nil"/>
          <w:right w:val="nil"/>
          <w:insideH w:val="nil"/>
          <w:insideV w:val="nil"/>
        </w:tblBorders>
        <w:tblLayout w:type="fixed"/>
        <w:tblLook w:val="0600" w:firstRow="0" w:lastRow="0" w:firstColumn="0" w:lastColumn="0" w:noHBand="1" w:noVBand="1"/>
      </w:tblPr>
      <w:tblGrid>
        <w:gridCol w:w="968"/>
        <w:gridCol w:w="733"/>
        <w:gridCol w:w="851"/>
        <w:gridCol w:w="709"/>
        <w:gridCol w:w="850"/>
        <w:gridCol w:w="851"/>
        <w:gridCol w:w="850"/>
        <w:gridCol w:w="851"/>
        <w:gridCol w:w="850"/>
        <w:gridCol w:w="709"/>
        <w:gridCol w:w="850"/>
        <w:gridCol w:w="709"/>
        <w:gridCol w:w="851"/>
      </w:tblGrid>
      <w:tr w:rsidR="00E903C8" w14:paraId="1212CEA6" w14:textId="77777777">
        <w:trPr>
          <w:trHeight w:val="975"/>
        </w:trPr>
        <w:tc>
          <w:tcPr>
            <w:tcW w:w="968" w:type="dxa"/>
            <w:vMerge w:val="restart"/>
            <w:tcBorders>
              <w:top w:val="nil"/>
              <w:left w:val="nil"/>
              <w:bottom w:val="nil"/>
              <w:right w:val="single" w:sz="8" w:space="0" w:color="000000"/>
            </w:tcBorders>
            <w:tcMar>
              <w:top w:w="100" w:type="dxa"/>
              <w:left w:w="100" w:type="dxa"/>
              <w:bottom w:w="100" w:type="dxa"/>
              <w:right w:w="100" w:type="dxa"/>
            </w:tcMar>
          </w:tcPr>
          <w:p w14:paraId="18918C0A" w14:textId="77777777" w:rsidR="00E903C8" w:rsidRDefault="006B06E1">
            <w:pPr>
              <w:rPr>
                <w:color w:val="000000"/>
                <w:sz w:val="22"/>
                <w:szCs w:val="22"/>
              </w:rPr>
            </w:pPr>
            <w:r>
              <w:rPr>
                <w:color w:val="000000"/>
                <w:sz w:val="22"/>
                <w:szCs w:val="22"/>
              </w:rPr>
              <w:t xml:space="preserve"> </w:t>
            </w:r>
          </w:p>
        </w:tc>
        <w:tc>
          <w:tcPr>
            <w:tcW w:w="1584"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2B61541" w14:textId="77777777" w:rsidR="00E903C8" w:rsidRDefault="006B06E1">
            <w:pPr>
              <w:rPr>
                <w:color w:val="000000"/>
                <w:sz w:val="22"/>
                <w:szCs w:val="22"/>
              </w:rPr>
            </w:pPr>
            <w:r>
              <w:rPr>
                <w:color w:val="000000"/>
                <w:sz w:val="22"/>
                <w:szCs w:val="22"/>
              </w:rPr>
              <w:t>BDI Score</w:t>
            </w:r>
          </w:p>
        </w:tc>
        <w:tc>
          <w:tcPr>
            <w:tcW w:w="1559" w:type="dxa"/>
            <w:gridSpan w:val="2"/>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3E5A2C3D" w14:textId="77777777" w:rsidR="00E903C8" w:rsidRDefault="006B06E1">
            <w:pPr>
              <w:rPr>
                <w:color w:val="000000"/>
                <w:sz w:val="22"/>
                <w:szCs w:val="22"/>
              </w:rPr>
            </w:pPr>
            <w:r>
              <w:rPr>
                <w:color w:val="000000"/>
                <w:sz w:val="22"/>
                <w:szCs w:val="22"/>
              </w:rPr>
              <w:t>RRS Brooding Score</w:t>
            </w:r>
          </w:p>
        </w:tc>
        <w:tc>
          <w:tcPr>
            <w:tcW w:w="1701" w:type="dxa"/>
            <w:gridSpan w:val="2"/>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246000E5" w14:textId="77777777" w:rsidR="00E903C8" w:rsidRDefault="006B06E1">
            <w:pPr>
              <w:rPr>
                <w:color w:val="000000"/>
                <w:sz w:val="22"/>
                <w:szCs w:val="22"/>
              </w:rPr>
            </w:pPr>
            <w:r>
              <w:rPr>
                <w:color w:val="000000"/>
                <w:sz w:val="22"/>
                <w:szCs w:val="22"/>
              </w:rPr>
              <w:t>RRS Depression Score</w:t>
            </w:r>
          </w:p>
        </w:tc>
        <w:tc>
          <w:tcPr>
            <w:tcW w:w="1701" w:type="dxa"/>
            <w:gridSpan w:val="2"/>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120F17C7" w14:textId="77777777" w:rsidR="00E903C8" w:rsidRDefault="006B06E1">
            <w:pPr>
              <w:rPr>
                <w:color w:val="000000"/>
                <w:sz w:val="22"/>
                <w:szCs w:val="22"/>
              </w:rPr>
            </w:pPr>
            <w:r>
              <w:rPr>
                <w:color w:val="000000"/>
                <w:sz w:val="22"/>
                <w:szCs w:val="22"/>
              </w:rPr>
              <w:t>RRS Reflection Score</w:t>
            </w:r>
          </w:p>
        </w:tc>
        <w:tc>
          <w:tcPr>
            <w:tcW w:w="1559" w:type="dxa"/>
            <w:gridSpan w:val="2"/>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680FE4D0" w14:textId="77777777" w:rsidR="00E903C8" w:rsidRDefault="006B06E1">
            <w:pPr>
              <w:rPr>
                <w:color w:val="000000"/>
                <w:sz w:val="22"/>
                <w:szCs w:val="22"/>
              </w:rPr>
            </w:pPr>
            <w:r>
              <w:rPr>
                <w:color w:val="000000"/>
                <w:sz w:val="22"/>
                <w:szCs w:val="22"/>
              </w:rPr>
              <w:t>STAI2</w:t>
            </w:r>
          </w:p>
        </w:tc>
        <w:tc>
          <w:tcPr>
            <w:tcW w:w="1560" w:type="dxa"/>
            <w:gridSpan w:val="2"/>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44C9F041" w14:textId="77777777" w:rsidR="00E903C8" w:rsidRDefault="006B06E1">
            <w:pPr>
              <w:rPr>
                <w:color w:val="000000"/>
                <w:sz w:val="22"/>
                <w:szCs w:val="22"/>
              </w:rPr>
            </w:pPr>
            <w:r>
              <w:rPr>
                <w:color w:val="000000"/>
                <w:sz w:val="22"/>
                <w:szCs w:val="22"/>
              </w:rPr>
              <w:t>rs-FC</w:t>
            </w:r>
          </w:p>
        </w:tc>
      </w:tr>
      <w:tr w:rsidR="00E903C8" w14:paraId="74CE2FCD" w14:textId="77777777">
        <w:trPr>
          <w:trHeight w:val="630"/>
        </w:trPr>
        <w:tc>
          <w:tcPr>
            <w:tcW w:w="968" w:type="dxa"/>
            <w:vMerge/>
            <w:tcBorders>
              <w:top w:val="nil"/>
              <w:left w:val="nil"/>
              <w:bottom w:val="nil"/>
              <w:right w:val="single" w:sz="8" w:space="0" w:color="000000"/>
            </w:tcBorders>
            <w:tcMar>
              <w:top w:w="100" w:type="dxa"/>
              <w:left w:w="100" w:type="dxa"/>
              <w:bottom w:w="100" w:type="dxa"/>
              <w:right w:w="100" w:type="dxa"/>
            </w:tcMar>
          </w:tcPr>
          <w:p w14:paraId="768E7265" w14:textId="77777777" w:rsidR="00E903C8" w:rsidRDefault="00E903C8">
            <w:pPr>
              <w:widowControl w:val="0"/>
              <w:pBdr>
                <w:top w:val="nil"/>
                <w:left w:val="nil"/>
                <w:bottom w:val="nil"/>
                <w:right w:val="nil"/>
                <w:between w:val="nil"/>
              </w:pBdr>
              <w:spacing w:line="276" w:lineRule="auto"/>
              <w:rPr>
                <w:color w:val="000000"/>
                <w:sz w:val="22"/>
                <w:szCs w:val="22"/>
              </w:rPr>
            </w:pPr>
          </w:p>
        </w:tc>
        <w:tc>
          <w:tcPr>
            <w:tcW w:w="73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1C78074" w14:textId="77777777" w:rsidR="00E903C8" w:rsidRDefault="006B06E1">
            <w:pPr>
              <w:rPr>
                <w:color w:val="000000"/>
                <w:sz w:val="22"/>
                <w:szCs w:val="22"/>
              </w:rPr>
            </w:pPr>
            <w:r>
              <w:rPr>
                <w:color w:val="000000"/>
                <w:sz w:val="22"/>
                <w:szCs w:val="22"/>
              </w:rPr>
              <w:t>PRE</w:t>
            </w:r>
          </w:p>
        </w:tc>
        <w:tc>
          <w:tcPr>
            <w:tcW w:w="851"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6D97D467" w14:textId="77777777" w:rsidR="00E903C8" w:rsidRDefault="006B06E1">
            <w:pPr>
              <w:rPr>
                <w:color w:val="000000"/>
                <w:sz w:val="22"/>
                <w:szCs w:val="22"/>
              </w:rPr>
            </w:pPr>
            <w:r>
              <w:rPr>
                <w:color w:val="000000"/>
                <w:sz w:val="22"/>
                <w:szCs w:val="22"/>
              </w:rPr>
              <w:t>POST</w:t>
            </w:r>
          </w:p>
        </w:tc>
        <w:tc>
          <w:tcPr>
            <w:tcW w:w="70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4BC73B1" w14:textId="77777777" w:rsidR="00E903C8" w:rsidRDefault="006B06E1">
            <w:pPr>
              <w:rPr>
                <w:color w:val="000000"/>
                <w:sz w:val="22"/>
                <w:szCs w:val="22"/>
              </w:rPr>
            </w:pPr>
            <w:r>
              <w:rPr>
                <w:color w:val="000000"/>
                <w:sz w:val="22"/>
                <w:szCs w:val="22"/>
              </w:rPr>
              <w:t>PRE</w:t>
            </w:r>
          </w:p>
        </w:tc>
        <w:tc>
          <w:tcPr>
            <w:tcW w:w="8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CAF4C4D" w14:textId="77777777" w:rsidR="00E903C8" w:rsidRDefault="006B06E1">
            <w:pPr>
              <w:rPr>
                <w:color w:val="000000"/>
                <w:sz w:val="22"/>
                <w:szCs w:val="22"/>
              </w:rPr>
            </w:pPr>
            <w:r>
              <w:rPr>
                <w:color w:val="000000"/>
                <w:sz w:val="22"/>
                <w:szCs w:val="22"/>
              </w:rPr>
              <w:t>POST</w:t>
            </w:r>
          </w:p>
        </w:tc>
        <w:tc>
          <w:tcPr>
            <w:tcW w:w="85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C0F21AD" w14:textId="77777777" w:rsidR="00E903C8" w:rsidRDefault="006B06E1">
            <w:pPr>
              <w:rPr>
                <w:color w:val="000000"/>
                <w:sz w:val="22"/>
                <w:szCs w:val="22"/>
              </w:rPr>
            </w:pPr>
            <w:r>
              <w:rPr>
                <w:color w:val="000000"/>
                <w:sz w:val="22"/>
                <w:szCs w:val="22"/>
              </w:rPr>
              <w:t>PRE</w:t>
            </w:r>
          </w:p>
        </w:tc>
        <w:tc>
          <w:tcPr>
            <w:tcW w:w="8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8BE5DB" w14:textId="77777777" w:rsidR="00E903C8" w:rsidRDefault="006B06E1">
            <w:pPr>
              <w:rPr>
                <w:color w:val="000000"/>
                <w:sz w:val="22"/>
                <w:szCs w:val="22"/>
              </w:rPr>
            </w:pPr>
            <w:r>
              <w:rPr>
                <w:color w:val="000000"/>
                <w:sz w:val="22"/>
                <w:szCs w:val="22"/>
              </w:rPr>
              <w:t>POST</w:t>
            </w:r>
          </w:p>
        </w:tc>
        <w:tc>
          <w:tcPr>
            <w:tcW w:w="85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FDCDB6" w14:textId="77777777" w:rsidR="00E903C8" w:rsidRDefault="006B06E1">
            <w:pPr>
              <w:rPr>
                <w:color w:val="000000"/>
                <w:sz w:val="22"/>
                <w:szCs w:val="22"/>
              </w:rPr>
            </w:pPr>
            <w:r>
              <w:rPr>
                <w:color w:val="000000"/>
                <w:sz w:val="22"/>
                <w:szCs w:val="22"/>
              </w:rPr>
              <w:t>PRE</w:t>
            </w:r>
          </w:p>
        </w:tc>
        <w:tc>
          <w:tcPr>
            <w:tcW w:w="8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3C9A014" w14:textId="77777777" w:rsidR="00E903C8" w:rsidRDefault="006B06E1">
            <w:pPr>
              <w:rPr>
                <w:color w:val="000000"/>
                <w:sz w:val="22"/>
                <w:szCs w:val="22"/>
              </w:rPr>
            </w:pPr>
            <w:r>
              <w:rPr>
                <w:color w:val="000000"/>
                <w:sz w:val="22"/>
                <w:szCs w:val="22"/>
              </w:rPr>
              <w:t>POST</w:t>
            </w:r>
          </w:p>
        </w:tc>
        <w:tc>
          <w:tcPr>
            <w:tcW w:w="70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0ED463" w14:textId="77777777" w:rsidR="00E903C8" w:rsidRDefault="006B06E1">
            <w:pPr>
              <w:rPr>
                <w:color w:val="000000"/>
                <w:sz w:val="22"/>
                <w:szCs w:val="22"/>
              </w:rPr>
            </w:pPr>
            <w:r>
              <w:rPr>
                <w:color w:val="000000"/>
                <w:sz w:val="22"/>
                <w:szCs w:val="22"/>
              </w:rPr>
              <w:t>PRE</w:t>
            </w:r>
          </w:p>
        </w:tc>
        <w:tc>
          <w:tcPr>
            <w:tcW w:w="8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8F6D1D9" w14:textId="77777777" w:rsidR="00E903C8" w:rsidRDefault="006B06E1">
            <w:pPr>
              <w:rPr>
                <w:color w:val="000000"/>
                <w:sz w:val="22"/>
                <w:szCs w:val="22"/>
              </w:rPr>
            </w:pPr>
            <w:r>
              <w:rPr>
                <w:color w:val="000000"/>
                <w:sz w:val="22"/>
                <w:szCs w:val="22"/>
              </w:rPr>
              <w:t>POST</w:t>
            </w:r>
          </w:p>
        </w:tc>
        <w:tc>
          <w:tcPr>
            <w:tcW w:w="70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FDD63A6" w14:textId="77777777" w:rsidR="00E903C8" w:rsidRDefault="006B06E1">
            <w:pPr>
              <w:rPr>
                <w:color w:val="000000"/>
                <w:sz w:val="22"/>
                <w:szCs w:val="22"/>
              </w:rPr>
            </w:pPr>
            <w:r>
              <w:rPr>
                <w:color w:val="000000"/>
                <w:sz w:val="22"/>
                <w:szCs w:val="22"/>
              </w:rPr>
              <w:t>PRE</w:t>
            </w:r>
          </w:p>
        </w:tc>
        <w:tc>
          <w:tcPr>
            <w:tcW w:w="85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44ADD8" w14:textId="77777777" w:rsidR="00E903C8" w:rsidRDefault="006B06E1">
            <w:pPr>
              <w:rPr>
                <w:color w:val="000000"/>
                <w:sz w:val="22"/>
                <w:szCs w:val="22"/>
              </w:rPr>
            </w:pPr>
            <w:r>
              <w:rPr>
                <w:color w:val="000000"/>
                <w:sz w:val="22"/>
                <w:szCs w:val="22"/>
              </w:rPr>
              <w:t>POST</w:t>
            </w:r>
          </w:p>
        </w:tc>
      </w:tr>
      <w:tr w:rsidR="00E903C8" w14:paraId="0EE65BD6" w14:textId="77777777">
        <w:trPr>
          <w:trHeight w:val="975"/>
        </w:trPr>
        <w:tc>
          <w:tcPr>
            <w:tcW w:w="9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50CC0BD" w14:textId="77777777" w:rsidR="00E903C8" w:rsidRDefault="006B06E1">
            <w:pPr>
              <w:rPr>
                <w:color w:val="000000"/>
                <w:sz w:val="22"/>
                <w:szCs w:val="22"/>
              </w:rPr>
            </w:pPr>
            <w:r>
              <w:rPr>
                <w:color w:val="000000"/>
                <w:sz w:val="22"/>
                <w:szCs w:val="22"/>
              </w:rPr>
              <w:t>1st Expt</w:t>
            </w:r>
          </w:p>
        </w:tc>
        <w:tc>
          <w:tcPr>
            <w:tcW w:w="73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54AD079" w14:textId="77777777" w:rsidR="00E903C8" w:rsidRDefault="006B06E1">
            <w:pPr>
              <w:rPr>
                <w:color w:val="000000"/>
                <w:sz w:val="22"/>
                <w:szCs w:val="22"/>
              </w:rPr>
            </w:pPr>
            <w:r>
              <w:rPr>
                <w:color w:val="000000"/>
                <w:sz w:val="22"/>
                <w:szCs w:val="22"/>
              </w:rPr>
              <w:t>12.67</w:t>
            </w:r>
          </w:p>
          <w:p w14:paraId="522CAC8A" w14:textId="77777777" w:rsidR="00E903C8" w:rsidRDefault="006B06E1">
            <w:pPr>
              <w:rPr>
                <w:color w:val="000000"/>
                <w:sz w:val="22"/>
                <w:szCs w:val="22"/>
              </w:rPr>
            </w:pPr>
            <w:r>
              <w:rPr>
                <w:color w:val="000000"/>
                <w:sz w:val="22"/>
                <w:szCs w:val="22"/>
              </w:rPr>
              <w:t>±2.69</w:t>
            </w:r>
          </w:p>
        </w:tc>
        <w:tc>
          <w:tcPr>
            <w:tcW w:w="85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6E40A45" w14:textId="77777777" w:rsidR="00E903C8" w:rsidRDefault="006B06E1">
            <w:pPr>
              <w:rPr>
                <w:color w:val="000000"/>
                <w:sz w:val="22"/>
                <w:szCs w:val="22"/>
              </w:rPr>
            </w:pPr>
            <w:r>
              <w:rPr>
                <w:color w:val="000000"/>
                <w:sz w:val="22"/>
                <w:szCs w:val="22"/>
              </w:rPr>
              <w:t>10.67</w:t>
            </w:r>
          </w:p>
          <w:p w14:paraId="456AAE44" w14:textId="77777777" w:rsidR="00E903C8" w:rsidRDefault="006B06E1">
            <w:pPr>
              <w:rPr>
                <w:color w:val="000000"/>
                <w:sz w:val="22"/>
                <w:szCs w:val="22"/>
              </w:rPr>
            </w:pPr>
            <w:r>
              <w:rPr>
                <w:color w:val="000000"/>
                <w:sz w:val="22"/>
                <w:szCs w:val="22"/>
              </w:rPr>
              <w:t>±2.07</w:t>
            </w:r>
          </w:p>
        </w:tc>
        <w:tc>
          <w:tcPr>
            <w:tcW w:w="70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8AC3F32" w14:textId="77777777" w:rsidR="00E903C8" w:rsidRDefault="006B06E1">
            <w:pPr>
              <w:rPr>
                <w:color w:val="000000"/>
                <w:sz w:val="22"/>
                <w:szCs w:val="22"/>
              </w:rPr>
            </w:pPr>
            <w:r>
              <w:rPr>
                <w:color w:val="000000"/>
                <w:sz w:val="22"/>
                <w:szCs w:val="22"/>
              </w:rPr>
              <w:t>12.75</w:t>
            </w:r>
          </w:p>
          <w:p w14:paraId="7301287E" w14:textId="77777777" w:rsidR="00E903C8" w:rsidRDefault="006B06E1">
            <w:pPr>
              <w:rPr>
                <w:color w:val="000000"/>
                <w:sz w:val="22"/>
                <w:szCs w:val="22"/>
              </w:rPr>
            </w:pPr>
            <w:r>
              <w:rPr>
                <w:color w:val="000000"/>
                <w:sz w:val="22"/>
                <w:szCs w:val="22"/>
              </w:rPr>
              <w:t>±1.38</w:t>
            </w:r>
          </w:p>
        </w:tc>
        <w:tc>
          <w:tcPr>
            <w:tcW w:w="8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E7B66FB" w14:textId="77777777" w:rsidR="00E903C8" w:rsidRDefault="006B06E1">
            <w:pPr>
              <w:rPr>
                <w:color w:val="000000"/>
                <w:sz w:val="22"/>
                <w:szCs w:val="22"/>
              </w:rPr>
            </w:pPr>
            <w:r>
              <w:rPr>
                <w:color w:val="000000"/>
                <w:sz w:val="22"/>
                <w:szCs w:val="22"/>
              </w:rPr>
              <w:t>12.13</w:t>
            </w:r>
          </w:p>
          <w:p w14:paraId="2F2A72BE" w14:textId="77777777" w:rsidR="00E903C8" w:rsidRDefault="006B06E1">
            <w:pPr>
              <w:rPr>
                <w:color w:val="000000"/>
                <w:sz w:val="22"/>
                <w:szCs w:val="22"/>
              </w:rPr>
            </w:pPr>
            <w:r>
              <w:rPr>
                <w:color w:val="000000"/>
                <w:sz w:val="22"/>
                <w:szCs w:val="22"/>
              </w:rPr>
              <w:t>±1.39</w:t>
            </w:r>
          </w:p>
        </w:tc>
        <w:tc>
          <w:tcPr>
            <w:tcW w:w="85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A80A869" w14:textId="77777777" w:rsidR="00E903C8" w:rsidRDefault="006B06E1">
            <w:pPr>
              <w:rPr>
                <w:color w:val="000000"/>
                <w:sz w:val="22"/>
                <w:szCs w:val="22"/>
              </w:rPr>
            </w:pPr>
            <w:r>
              <w:rPr>
                <w:color w:val="000000"/>
                <w:sz w:val="22"/>
                <w:szCs w:val="22"/>
              </w:rPr>
              <w:t>27.56</w:t>
            </w:r>
          </w:p>
          <w:p w14:paraId="04C97F44" w14:textId="77777777" w:rsidR="00E903C8" w:rsidRDefault="006B06E1">
            <w:pPr>
              <w:rPr>
                <w:color w:val="000000"/>
                <w:sz w:val="22"/>
                <w:szCs w:val="22"/>
              </w:rPr>
            </w:pPr>
            <w:r>
              <w:rPr>
                <w:color w:val="000000"/>
                <w:sz w:val="22"/>
                <w:szCs w:val="22"/>
              </w:rPr>
              <w:t>±2.43</w:t>
            </w:r>
          </w:p>
        </w:tc>
        <w:tc>
          <w:tcPr>
            <w:tcW w:w="8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24133E" w14:textId="77777777" w:rsidR="00E903C8" w:rsidRDefault="006B06E1">
            <w:pPr>
              <w:rPr>
                <w:color w:val="000000"/>
                <w:sz w:val="22"/>
                <w:szCs w:val="22"/>
              </w:rPr>
            </w:pPr>
            <w:r>
              <w:rPr>
                <w:color w:val="000000"/>
                <w:sz w:val="22"/>
                <w:szCs w:val="22"/>
              </w:rPr>
              <w:t>27.00</w:t>
            </w:r>
          </w:p>
          <w:p w14:paraId="20030C90" w14:textId="77777777" w:rsidR="00E903C8" w:rsidRDefault="006B06E1">
            <w:pPr>
              <w:rPr>
                <w:color w:val="000000"/>
                <w:sz w:val="22"/>
                <w:szCs w:val="22"/>
              </w:rPr>
            </w:pPr>
            <w:r>
              <w:rPr>
                <w:color w:val="000000"/>
                <w:sz w:val="22"/>
                <w:szCs w:val="22"/>
              </w:rPr>
              <w:t>±2.69</w:t>
            </w:r>
          </w:p>
        </w:tc>
        <w:tc>
          <w:tcPr>
            <w:tcW w:w="85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005BE64" w14:textId="77777777" w:rsidR="00E903C8" w:rsidRDefault="006B06E1">
            <w:pPr>
              <w:rPr>
                <w:color w:val="000000"/>
                <w:sz w:val="22"/>
                <w:szCs w:val="22"/>
              </w:rPr>
            </w:pPr>
            <w:r>
              <w:rPr>
                <w:color w:val="000000"/>
                <w:sz w:val="22"/>
                <w:szCs w:val="22"/>
              </w:rPr>
              <w:t>8.33</w:t>
            </w:r>
          </w:p>
          <w:p w14:paraId="6765C024" w14:textId="77777777" w:rsidR="00E903C8" w:rsidRDefault="006B06E1">
            <w:pPr>
              <w:rPr>
                <w:color w:val="000000"/>
                <w:sz w:val="22"/>
                <w:szCs w:val="22"/>
              </w:rPr>
            </w:pPr>
            <w:r>
              <w:rPr>
                <w:color w:val="000000"/>
                <w:sz w:val="22"/>
                <w:szCs w:val="22"/>
              </w:rPr>
              <w:t>±1.12</w:t>
            </w:r>
          </w:p>
        </w:tc>
        <w:tc>
          <w:tcPr>
            <w:tcW w:w="8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891FA9" w14:textId="77777777" w:rsidR="00E903C8" w:rsidRDefault="006B06E1">
            <w:pPr>
              <w:rPr>
                <w:color w:val="000000"/>
                <w:sz w:val="22"/>
                <w:szCs w:val="22"/>
              </w:rPr>
            </w:pPr>
            <w:r>
              <w:rPr>
                <w:color w:val="000000"/>
                <w:sz w:val="22"/>
                <w:szCs w:val="22"/>
              </w:rPr>
              <w:t>8.00</w:t>
            </w:r>
          </w:p>
          <w:p w14:paraId="38907687" w14:textId="77777777" w:rsidR="00E903C8" w:rsidRDefault="006B06E1">
            <w:pPr>
              <w:rPr>
                <w:color w:val="000000"/>
                <w:sz w:val="22"/>
                <w:szCs w:val="22"/>
              </w:rPr>
            </w:pPr>
            <w:r>
              <w:rPr>
                <w:color w:val="000000"/>
                <w:sz w:val="22"/>
                <w:szCs w:val="22"/>
              </w:rPr>
              <w:t>±1.03</w:t>
            </w:r>
          </w:p>
        </w:tc>
        <w:tc>
          <w:tcPr>
            <w:tcW w:w="70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91FF49C" w14:textId="77777777" w:rsidR="00E903C8" w:rsidRDefault="006B06E1">
            <w:pPr>
              <w:rPr>
                <w:color w:val="000000"/>
                <w:sz w:val="22"/>
                <w:szCs w:val="22"/>
              </w:rPr>
            </w:pPr>
            <w:r>
              <w:rPr>
                <w:color w:val="000000"/>
                <w:sz w:val="22"/>
                <w:szCs w:val="22"/>
              </w:rPr>
              <w:t>52.44</w:t>
            </w:r>
          </w:p>
          <w:p w14:paraId="79F7B6CC" w14:textId="77777777" w:rsidR="00E903C8" w:rsidRDefault="006B06E1">
            <w:pPr>
              <w:rPr>
                <w:color w:val="000000"/>
                <w:sz w:val="22"/>
                <w:szCs w:val="22"/>
              </w:rPr>
            </w:pPr>
            <w:r>
              <w:rPr>
                <w:color w:val="000000"/>
                <w:sz w:val="22"/>
                <w:szCs w:val="22"/>
              </w:rPr>
              <w:t>±3.34</w:t>
            </w:r>
          </w:p>
        </w:tc>
        <w:tc>
          <w:tcPr>
            <w:tcW w:w="8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F2C9DCE" w14:textId="77777777" w:rsidR="00E903C8" w:rsidRDefault="006B06E1">
            <w:pPr>
              <w:rPr>
                <w:color w:val="000000"/>
                <w:sz w:val="22"/>
                <w:szCs w:val="22"/>
              </w:rPr>
            </w:pPr>
            <w:r>
              <w:rPr>
                <w:color w:val="000000"/>
                <w:sz w:val="22"/>
                <w:szCs w:val="22"/>
              </w:rPr>
              <w:t>53.22</w:t>
            </w:r>
          </w:p>
          <w:p w14:paraId="5DAEBEAD" w14:textId="77777777" w:rsidR="00E903C8" w:rsidRDefault="006B06E1">
            <w:pPr>
              <w:rPr>
                <w:color w:val="000000"/>
                <w:sz w:val="22"/>
                <w:szCs w:val="22"/>
              </w:rPr>
            </w:pPr>
            <w:r>
              <w:rPr>
                <w:color w:val="000000"/>
                <w:sz w:val="22"/>
                <w:szCs w:val="22"/>
              </w:rPr>
              <w:t>±3.36</w:t>
            </w:r>
          </w:p>
          <w:p w14:paraId="13D5E0B2" w14:textId="77777777" w:rsidR="00E903C8" w:rsidRDefault="006B06E1">
            <w:pPr>
              <w:rPr>
                <w:color w:val="000000"/>
                <w:sz w:val="22"/>
                <w:szCs w:val="22"/>
              </w:rPr>
            </w:pPr>
            <w:r>
              <w:rPr>
                <w:color w:val="000000"/>
                <w:sz w:val="22"/>
                <w:szCs w:val="22"/>
              </w:rPr>
              <w:t xml:space="preserve"> </w:t>
            </w:r>
          </w:p>
        </w:tc>
        <w:tc>
          <w:tcPr>
            <w:tcW w:w="70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F19CB15" w14:textId="77777777" w:rsidR="00E903C8" w:rsidRDefault="006B06E1">
            <w:pPr>
              <w:rPr>
                <w:color w:val="000000"/>
                <w:sz w:val="22"/>
                <w:szCs w:val="22"/>
              </w:rPr>
            </w:pPr>
            <w:r>
              <w:rPr>
                <w:color w:val="000000"/>
                <w:sz w:val="22"/>
                <w:szCs w:val="22"/>
              </w:rPr>
              <w:t>-0.03</w:t>
            </w:r>
          </w:p>
          <w:p w14:paraId="6B90A3DE" w14:textId="77777777" w:rsidR="00E903C8" w:rsidRDefault="006B06E1">
            <w:pPr>
              <w:rPr>
                <w:color w:val="000000"/>
                <w:sz w:val="22"/>
                <w:szCs w:val="22"/>
              </w:rPr>
            </w:pPr>
            <w:r>
              <w:rPr>
                <w:color w:val="000000"/>
                <w:sz w:val="22"/>
                <w:szCs w:val="22"/>
              </w:rPr>
              <w:t>±0.07</w:t>
            </w:r>
          </w:p>
        </w:tc>
        <w:tc>
          <w:tcPr>
            <w:tcW w:w="85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6EB612E" w14:textId="77777777" w:rsidR="00E903C8" w:rsidRDefault="006B06E1">
            <w:pPr>
              <w:rPr>
                <w:color w:val="000000"/>
                <w:sz w:val="22"/>
                <w:szCs w:val="22"/>
              </w:rPr>
            </w:pPr>
            <w:r>
              <w:rPr>
                <w:color w:val="000000"/>
                <w:sz w:val="22"/>
                <w:szCs w:val="22"/>
              </w:rPr>
              <w:t>-0.05</w:t>
            </w:r>
          </w:p>
          <w:p w14:paraId="2EFBD9FC" w14:textId="77777777" w:rsidR="00E903C8" w:rsidRDefault="006B06E1">
            <w:pPr>
              <w:rPr>
                <w:color w:val="000000"/>
                <w:sz w:val="22"/>
                <w:szCs w:val="22"/>
              </w:rPr>
            </w:pPr>
            <w:r>
              <w:rPr>
                <w:color w:val="000000"/>
                <w:sz w:val="22"/>
                <w:szCs w:val="22"/>
              </w:rPr>
              <w:t>±0.08</w:t>
            </w:r>
          </w:p>
        </w:tc>
      </w:tr>
      <w:tr w:rsidR="00E903C8" w14:paraId="444399BF" w14:textId="77777777">
        <w:trPr>
          <w:trHeight w:val="720"/>
        </w:trPr>
        <w:tc>
          <w:tcPr>
            <w:tcW w:w="96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5DD891" w14:textId="77777777" w:rsidR="00E903C8" w:rsidRDefault="006B06E1">
            <w:pPr>
              <w:rPr>
                <w:color w:val="000000"/>
                <w:sz w:val="22"/>
                <w:szCs w:val="22"/>
              </w:rPr>
            </w:pPr>
            <w:r>
              <w:rPr>
                <w:color w:val="000000"/>
                <w:sz w:val="22"/>
                <w:szCs w:val="22"/>
              </w:rPr>
              <w:t>2nd Expt</w:t>
            </w:r>
          </w:p>
        </w:tc>
        <w:tc>
          <w:tcPr>
            <w:tcW w:w="73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949F284" w14:textId="77777777" w:rsidR="00E903C8" w:rsidRDefault="006B06E1">
            <w:pPr>
              <w:rPr>
                <w:color w:val="000000"/>
                <w:sz w:val="22"/>
                <w:szCs w:val="22"/>
              </w:rPr>
            </w:pPr>
            <w:r>
              <w:rPr>
                <w:color w:val="000000"/>
                <w:sz w:val="22"/>
                <w:szCs w:val="22"/>
              </w:rPr>
              <w:t>9.90</w:t>
            </w:r>
          </w:p>
          <w:p w14:paraId="34E98281" w14:textId="77777777" w:rsidR="00E903C8" w:rsidRDefault="006B06E1">
            <w:pPr>
              <w:rPr>
                <w:color w:val="000000"/>
                <w:sz w:val="22"/>
                <w:szCs w:val="22"/>
              </w:rPr>
            </w:pPr>
            <w:r>
              <w:rPr>
                <w:color w:val="000000"/>
                <w:sz w:val="22"/>
                <w:szCs w:val="22"/>
              </w:rPr>
              <w:t>±2.12</w:t>
            </w:r>
          </w:p>
        </w:tc>
        <w:tc>
          <w:tcPr>
            <w:tcW w:w="85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D404C73" w14:textId="77777777" w:rsidR="00E903C8" w:rsidRDefault="006B06E1">
            <w:pPr>
              <w:rPr>
                <w:color w:val="000000"/>
                <w:sz w:val="22"/>
                <w:szCs w:val="22"/>
              </w:rPr>
            </w:pPr>
            <w:r>
              <w:rPr>
                <w:color w:val="000000"/>
                <w:sz w:val="22"/>
                <w:szCs w:val="22"/>
              </w:rPr>
              <w:t>8.40</w:t>
            </w:r>
          </w:p>
          <w:p w14:paraId="26C1E3D2" w14:textId="77777777" w:rsidR="00E903C8" w:rsidRDefault="006B06E1">
            <w:pPr>
              <w:rPr>
                <w:color w:val="000000"/>
                <w:sz w:val="22"/>
                <w:szCs w:val="22"/>
              </w:rPr>
            </w:pPr>
            <w:r>
              <w:rPr>
                <w:color w:val="000000"/>
                <w:sz w:val="22"/>
                <w:szCs w:val="22"/>
              </w:rPr>
              <w:t>±1.83</w:t>
            </w:r>
          </w:p>
        </w:tc>
        <w:tc>
          <w:tcPr>
            <w:tcW w:w="70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74DB57E" w14:textId="77777777" w:rsidR="00E903C8" w:rsidRDefault="006B06E1">
            <w:pPr>
              <w:rPr>
                <w:color w:val="000000"/>
                <w:sz w:val="22"/>
                <w:szCs w:val="22"/>
              </w:rPr>
            </w:pPr>
            <w:r>
              <w:rPr>
                <w:color w:val="000000"/>
                <w:sz w:val="22"/>
                <w:szCs w:val="22"/>
              </w:rPr>
              <w:t>9.40</w:t>
            </w:r>
          </w:p>
          <w:p w14:paraId="7B38AA8A" w14:textId="77777777" w:rsidR="00E903C8" w:rsidRDefault="006B06E1">
            <w:pPr>
              <w:rPr>
                <w:color w:val="000000"/>
                <w:sz w:val="22"/>
                <w:szCs w:val="22"/>
              </w:rPr>
            </w:pPr>
            <w:r>
              <w:rPr>
                <w:color w:val="000000"/>
                <w:sz w:val="22"/>
                <w:szCs w:val="22"/>
              </w:rPr>
              <w:t>±1.02</w:t>
            </w:r>
          </w:p>
        </w:tc>
        <w:tc>
          <w:tcPr>
            <w:tcW w:w="8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F3756E" w14:textId="77777777" w:rsidR="00E903C8" w:rsidRDefault="006B06E1">
            <w:pPr>
              <w:rPr>
                <w:color w:val="000000"/>
                <w:sz w:val="22"/>
                <w:szCs w:val="22"/>
              </w:rPr>
            </w:pPr>
            <w:r>
              <w:rPr>
                <w:color w:val="000000"/>
                <w:sz w:val="22"/>
                <w:szCs w:val="22"/>
              </w:rPr>
              <w:t>8.20</w:t>
            </w:r>
          </w:p>
          <w:p w14:paraId="61ECDC31" w14:textId="77777777" w:rsidR="00E903C8" w:rsidRDefault="006B06E1">
            <w:pPr>
              <w:rPr>
                <w:color w:val="000000"/>
                <w:sz w:val="22"/>
                <w:szCs w:val="22"/>
              </w:rPr>
            </w:pPr>
            <w:r>
              <w:rPr>
                <w:color w:val="000000"/>
                <w:sz w:val="22"/>
                <w:szCs w:val="22"/>
              </w:rPr>
              <w:t>±0.89</w:t>
            </w:r>
          </w:p>
        </w:tc>
        <w:tc>
          <w:tcPr>
            <w:tcW w:w="85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6C83ED5" w14:textId="77777777" w:rsidR="00E903C8" w:rsidRDefault="006B06E1">
            <w:pPr>
              <w:rPr>
                <w:color w:val="000000"/>
                <w:sz w:val="22"/>
                <w:szCs w:val="22"/>
              </w:rPr>
            </w:pPr>
            <w:r>
              <w:rPr>
                <w:color w:val="000000"/>
                <w:sz w:val="22"/>
                <w:szCs w:val="22"/>
              </w:rPr>
              <w:t>22.70</w:t>
            </w:r>
          </w:p>
          <w:p w14:paraId="5B1F54F5" w14:textId="77777777" w:rsidR="00E903C8" w:rsidRDefault="006B06E1">
            <w:pPr>
              <w:rPr>
                <w:color w:val="000000"/>
                <w:sz w:val="22"/>
                <w:szCs w:val="22"/>
              </w:rPr>
            </w:pPr>
            <w:r>
              <w:rPr>
                <w:color w:val="000000"/>
                <w:sz w:val="22"/>
                <w:szCs w:val="22"/>
              </w:rPr>
              <w:t>±2.42</w:t>
            </w:r>
          </w:p>
        </w:tc>
        <w:tc>
          <w:tcPr>
            <w:tcW w:w="8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C0B2434" w14:textId="77777777" w:rsidR="00E903C8" w:rsidRDefault="006B06E1">
            <w:pPr>
              <w:rPr>
                <w:color w:val="000000"/>
                <w:sz w:val="22"/>
                <w:szCs w:val="22"/>
              </w:rPr>
            </w:pPr>
            <w:r>
              <w:rPr>
                <w:color w:val="000000"/>
                <w:sz w:val="22"/>
                <w:szCs w:val="22"/>
              </w:rPr>
              <w:t>21.20</w:t>
            </w:r>
          </w:p>
          <w:p w14:paraId="3278B9A1" w14:textId="77777777" w:rsidR="00E903C8" w:rsidRDefault="006B06E1">
            <w:pPr>
              <w:rPr>
                <w:color w:val="000000"/>
                <w:sz w:val="22"/>
                <w:szCs w:val="22"/>
              </w:rPr>
            </w:pPr>
            <w:r>
              <w:rPr>
                <w:color w:val="000000"/>
                <w:sz w:val="22"/>
                <w:szCs w:val="22"/>
              </w:rPr>
              <w:t>±2.08</w:t>
            </w:r>
          </w:p>
        </w:tc>
        <w:tc>
          <w:tcPr>
            <w:tcW w:w="85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C762E0D" w14:textId="77777777" w:rsidR="00E903C8" w:rsidRDefault="006B06E1">
            <w:pPr>
              <w:rPr>
                <w:color w:val="000000"/>
                <w:sz w:val="22"/>
                <w:szCs w:val="22"/>
              </w:rPr>
            </w:pPr>
            <w:r>
              <w:rPr>
                <w:color w:val="000000"/>
                <w:sz w:val="22"/>
                <w:szCs w:val="22"/>
              </w:rPr>
              <w:t>10.00</w:t>
            </w:r>
          </w:p>
          <w:p w14:paraId="3CD19D63" w14:textId="77777777" w:rsidR="00E903C8" w:rsidRDefault="006B06E1">
            <w:pPr>
              <w:rPr>
                <w:color w:val="000000"/>
                <w:sz w:val="22"/>
                <w:szCs w:val="22"/>
              </w:rPr>
            </w:pPr>
            <w:r>
              <w:rPr>
                <w:color w:val="000000"/>
                <w:sz w:val="22"/>
                <w:szCs w:val="22"/>
              </w:rPr>
              <w:t>±1.47</w:t>
            </w:r>
          </w:p>
        </w:tc>
        <w:tc>
          <w:tcPr>
            <w:tcW w:w="8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8FB1AF" w14:textId="77777777" w:rsidR="00E903C8" w:rsidRDefault="006B06E1">
            <w:pPr>
              <w:rPr>
                <w:color w:val="000000"/>
                <w:sz w:val="22"/>
                <w:szCs w:val="22"/>
              </w:rPr>
            </w:pPr>
            <w:r>
              <w:rPr>
                <w:color w:val="000000"/>
                <w:sz w:val="22"/>
                <w:szCs w:val="22"/>
              </w:rPr>
              <w:t>9.70</w:t>
            </w:r>
          </w:p>
          <w:p w14:paraId="33A074CB" w14:textId="77777777" w:rsidR="00E903C8" w:rsidRDefault="006B06E1">
            <w:pPr>
              <w:rPr>
                <w:color w:val="000000"/>
                <w:sz w:val="22"/>
                <w:szCs w:val="22"/>
              </w:rPr>
            </w:pPr>
            <w:r>
              <w:rPr>
                <w:color w:val="000000"/>
                <w:sz w:val="22"/>
                <w:szCs w:val="22"/>
              </w:rPr>
              <w:t>±1.62</w:t>
            </w:r>
          </w:p>
        </w:tc>
        <w:tc>
          <w:tcPr>
            <w:tcW w:w="70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DAD7101" w14:textId="77777777" w:rsidR="00E903C8" w:rsidRDefault="006B06E1">
            <w:pPr>
              <w:rPr>
                <w:color w:val="000000"/>
                <w:sz w:val="22"/>
                <w:szCs w:val="22"/>
              </w:rPr>
            </w:pPr>
            <w:r>
              <w:rPr>
                <w:color w:val="000000"/>
                <w:sz w:val="22"/>
                <w:szCs w:val="22"/>
              </w:rPr>
              <w:t>46.70</w:t>
            </w:r>
          </w:p>
          <w:p w14:paraId="71D5045C" w14:textId="77777777" w:rsidR="00E903C8" w:rsidRDefault="006B06E1">
            <w:pPr>
              <w:rPr>
                <w:color w:val="000000"/>
                <w:sz w:val="22"/>
                <w:szCs w:val="22"/>
              </w:rPr>
            </w:pPr>
            <w:r>
              <w:rPr>
                <w:color w:val="000000"/>
                <w:sz w:val="22"/>
                <w:szCs w:val="22"/>
              </w:rPr>
              <w:t>±2.66</w:t>
            </w:r>
          </w:p>
        </w:tc>
        <w:tc>
          <w:tcPr>
            <w:tcW w:w="8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41524D3" w14:textId="77777777" w:rsidR="00E903C8" w:rsidRDefault="006B06E1">
            <w:pPr>
              <w:rPr>
                <w:color w:val="000000"/>
                <w:sz w:val="22"/>
                <w:szCs w:val="22"/>
              </w:rPr>
            </w:pPr>
            <w:r>
              <w:rPr>
                <w:color w:val="000000"/>
                <w:sz w:val="22"/>
                <w:szCs w:val="22"/>
              </w:rPr>
              <w:t>45.00</w:t>
            </w:r>
          </w:p>
          <w:p w14:paraId="0A327F9B" w14:textId="77777777" w:rsidR="00E903C8" w:rsidRDefault="006B06E1">
            <w:pPr>
              <w:rPr>
                <w:color w:val="000000"/>
                <w:sz w:val="22"/>
                <w:szCs w:val="22"/>
              </w:rPr>
            </w:pPr>
            <w:r>
              <w:rPr>
                <w:color w:val="000000"/>
                <w:sz w:val="22"/>
                <w:szCs w:val="22"/>
              </w:rPr>
              <w:t>±3.32</w:t>
            </w:r>
          </w:p>
        </w:tc>
        <w:tc>
          <w:tcPr>
            <w:tcW w:w="70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E5625B0" w14:textId="77777777" w:rsidR="00E903C8" w:rsidRDefault="006B06E1">
            <w:pPr>
              <w:rPr>
                <w:color w:val="000000"/>
                <w:sz w:val="22"/>
                <w:szCs w:val="22"/>
              </w:rPr>
            </w:pPr>
            <w:r>
              <w:rPr>
                <w:color w:val="000000"/>
                <w:sz w:val="22"/>
                <w:szCs w:val="22"/>
              </w:rPr>
              <w:t>0.02</w:t>
            </w:r>
          </w:p>
          <w:p w14:paraId="59F0BC9C" w14:textId="77777777" w:rsidR="00E903C8" w:rsidRDefault="006B06E1">
            <w:pPr>
              <w:rPr>
                <w:color w:val="000000"/>
                <w:sz w:val="22"/>
                <w:szCs w:val="22"/>
              </w:rPr>
            </w:pPr>
            <w:r>
              <w:rPr>
                <w:color w:val="000000"/>
                <w:sz w:val="22"/>
                <w:szCs w:val="22"/>
              </w:rPr>
              <w:t>±0.06</w:t>
            </w:r>
          </w:p>
        </w:tc>
        <w:tc>
          <w:tcPr>
            <w:tcW w:w="85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3808730" w14:textId="77777777" w:rsidR="00E903C8" w:rsidRDefault="006B06E1">
            <w:pPr>
              <w:rPr>
                <w:color w:val="000000"/>
                <w:sz w:val="22"/>
                <w:szCs w:val="22"/>
              </w:rPr>
            </w:pPr>
            <w:r>
              <w:rPr>
                <w:color w:val="000000"/>
                <w:sz w:val="22"/>
                <w:szCs w:val="22"/>
              </w:rPr>
              <w:t>-0.07</w:t>
            </w:r>
          </w:p>
          <w:p w14:paraId="74CF0018" w14:textId="77777777" w:rsidR="00E903C8" w:rsidRDefault="006B06E1">
            <w:pPr>
              <w:rPr>
                <w:color w:val="000000"/>
                <w:sz w:val="22"/>
                <w:szCs w:val="22"/>
              </w:rPr>
            </w:pPr>
            <w:r>
              <w:rPr>
                <w:color w:val="000000"/>
                <w:sz w:val="22"/>
                <w:szCs w:val="22"/>
              </w:rPr>
              <w:t>±0.08</w:t>
            </w:r>
          </w:p>
        </w:tc>
      </w:tr>
      <w:tr w:rsidR="00E903C8" w14:paraId="3C1ED340" w14:textId="77777777">
        <w:trPr>
          <w:trHeight w:val="975"/>
        </w:trPr>
        <w:tc>
          <w:tcPr>
            <w:tcW w:w="96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06E0621" w14:textId="77777777" w:rsidR="00E903C8" w:rsidRDefault="006B06E1">
            <w:pPr>
              <w:rPr>
                <w:color w:val="000000"/>
                <w:sz w:val="22"/>
                <w:szCs w:val="22"/>
              </w:rPr>
            </w:pPr>
            <w:r>
              <w:rPr>
                <w:color w:val="000000"/>
                <w:sz w:val="22"/>
                <w:szCs w:val="22"/>
              </w:rPr>
              <w:t>Expts</w:t>
            </w:r>
          </w:p>
          <w:p w14:paraId="47EE26B6" w14:textId="77777777" w:rsidR="00E903C8" w:rsidRDefault="006B06E1">
            <w:pPr>
              <w:rPr>
                <w:color w:val="000000"/>
                <w:sz w:val="22"/>
                <w:szCs w:val="22"/>
              </w:rPr>
            </w:pPr>
            <w:r>
              <w:rPr>
                <w:color w:val="000000"/>
                <w:sz w:val="22"/>
                <w:szCs w:val="22"/>
              </w:rPr>
              <w:t>Combined</w:t>
            </w:r>
          </w:p>
        </w:tc>
        <w:tc>
          <w:tcPr>
            <w:tcW w:w="73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64FDE60" w14:textId="77777777" w:rsidR="00E903C8" w:rsidRDefault="006B06E1">
            <w:pPr>
              <w:rPr>
                <w:color w:val="000000"/>
                <w:sz w:val="22"/>
                <w:szCs w:val="22"/>
              </w:rPr>
            </w:pPr>
            <w:r>
              <w:rPr>
                <w:color w:val="000000"/>
                <w:sz w:val="22"/>
                <w:szCs w:val="22"/>
              </w:rPr>
              <w:t>11.21</w:t>
            </w:r>
          </w:p>
          <w:p w14:paraId="1112BC94" w14:textId="77777777" w:rsidR="00E903C8" w:rsidRDefault="006B06E1">
            <w:pPr>
              <w:rPr>
                <w:color w:val="000000"/>
                <w:sz w:val="22"/>
                <w:szCs w:val="22"/>
              </w:rPr>
            </w:pPr>
            <w:r>
              <w:rPr>
                <w:color w:val="000000"/>
                <w:sz w:val="22"/>
                <w:szCs w:val="22"/>
              </w:rPr>
              <w:t>±1.71</w:t>
            </w:r>
          </w:p>
        </w:tc>
        <w:tc>
          <w:tcPr>
            <w:tcW w:w="85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6D939FB" w14:textId="77777777" w:rsidR="00E903C8" w:rsidRDefault="006B06E1">
            <w:pPr>
              <w:rPr>
                <w:color w:val="000000"/>
                <w:sz w:val="22"/>
                <w:szCs w:val="22"/>
              </w:rPr>
            </w:pPr>
            <w:r>
              <w:rPr>
                <w:color w:val="000000"/>
                <w:sz w:val="22"/>
                <w:szCs w:val="22"/>
              </w:rPr>
              <w:t>9.47</w:t>
            </w:r>
          </w:p>
          <w:p w14:paraId="26921F36" w14:textId="77777777" w:rsidR="00E903C8" w:rsidRDefault="006B06E1">
            <w:pPr>
              <w:rPr>
                <w:color w:val="000000"/>
                <w:sz w:val="22"/>
                <w:szCs w:val="22"/>
              </w:rPr>
            </w:pPr>
            <w:r>
              <w:rPr>
                <w:color w:val="000000"/>
                <w:sz w:val="22"/>
                <w:szCs w:val="22"/>
              </w:rPr>
              <w:t>±1.39</w:t>
            </w:r>
          </w:p>
        </w:tc>
        <w:tc>
          <w:tcPr>
            <w:tcW w:w="70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EC429F7" w14:textId="77777777" w:rsidR="00E903C8" w:rsidRDefault="006B06E1">
            <w:pPr>
              <w:rPr>
                <w:color w:val="000000"/>
                <w:sz w:val="22"/>
                <w:szCs w:val="22"/>
              </w:rPr>
            </w:pPr>
            <w:r>
              <w:rPr>
                <w:color w:val="000000"/>
                <w:sz w:val="22"/>
                <w:szCs w:val="22"/>
              </w:rPr>
              <w:t>10.89</w:t>
            </w:r>
          </w:p>
          <w:p w14:paraId="568AD048" w14:textId="77777777" w:rsidR="00E903C8" w:rsidRDefault="006B06E1">
            <w:pPr>
              <w:rPr>
                <w:color w:val="000000"/>
                <w:sz w:val="22"/>
                <w:szCs w:val="22"/>
              </w:rPr>
            </w:pPr>
            <w:r>
              <w:rPr>
                <w:color w:val="000000"/>
                <w:sz w:val="22"/>
                <w:szCs w:val="22"/>
              </w:rPr>
              <w:t>±0.90</w:t>
            </w:r>
          </w:p>
        </w:tc>
        <w:tc>
          <w:tcPr>
            <w:tcW w:w="8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665350C" w14:textId="77777777" w:rsidR="00E903C8" w:rsidRDefault="006B06E1">
            <w:pPr>
              <w:rPr>
                <w:color w:val="000000"/>
                <w:sz w:val="22"/>
                <w:szCs w:val="22"/>
              </w:rPr>
            </w:pPr>
            <w:r>
              <w:rPr>
                <w:color w:val="000000"/>
                <w:sz w:val="22"/>
                <w:szCs w:val="22"/>
              </w:rPr>
              <w:t>9.94</w:t>
            </w:r>
          </w:p>
          <w:p w14:paraId="13B0CD80" w14:textId="77777777" w:rsidR="00E903C8" w:rsidRDefault="006B06E1">
            <w:pPr>
              <w:rPr>
                <w:color w:val="000000"/>
                <w:sz w:val="22"/>
                <w:szCs w:val="22"/>
              </w:rPr>
            </w:pPr>
            <w:r>
              <w:rPr>
                <w:color w:val="000000"/>
                <w:sz w:val="22"/>
                <w:szCs w:val="22"/>
              </w:rPr>
              <w:t>±0.90</w:t>
            </w:r>
          </w:p>
        </w:tc>
        <w:tc>
          <w:tcPr>
            <w:tcW w:w="85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0C86D90" w14:textId="77777777" w:rsidR="00E903C8" w:rsidRDefault="006B06E1">
            <w:pPr>
              <w:rPr>
                <w:color w:val="000000"/>
                <w:sz w:val="22"/>
                <w:szCs w:val="22"/>
              </w:rPr>
            </w:pPr>
            <w:r>
              <w:rPr>
                <w:color w:val="000000"/>
                <w:sz w:val="22"/>
                <w:szCs w:val="22"/>
              </w:rPr>
              <w:t>25.00</w:t>
            </w:r>
          </w:p>
          <w:p w14:paraId="241FDA6C" w14:textId="77777777" w:rsidR="00E903C8" w:rsidRDefault="006B06E1">
            <w:pPr>
              <w:rPr>
                <w:color w:val="000000"/>
                <w:sz w:val="22"/>
                <w:szCs w:val="22"/>
              </w:rPr>
            </w:pPr>
            <w:r>
              <w:rPr>
                <w:color w:val="000000"/>
                <w:sz w:val="22"/>
                <w:szCs w:val="22"/>
              </w:rPr>
              <w:t>±1.76</w:t>
            </w:r>
          </w:p>
        </w:tc>
        <w:tc>
          <w:tcPr>
            <w:tcW w:w="8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50B220C" w14:textId="77777777" w:rsidR="00E903C8" w:rsidRDefault="006B06E1">
            <w:pPr>
              <w:rPr>
                <w:color w:val="000000"/>
                <w:sz w:val="22"/>
                <w:szCs w:val="22"/>
              </w:rPr>
            </w:pPr>
            <w:r>
              <w:rPr>
                <w:color w:val="000000"/>
                <w:sz w:val="22"/>
                <w:szCs w:val="22"/>
              </w:rPr>
              <w:t>23.94</w:t>
            </w:r>
          </w:p>
          <w:p w14:paraId="47261045" w14:textId="77777777" w:rsidR="00E903C8" w:rsidRDefault="006B06E1">
            <w:pPr>
              <w:rPr>
                <w:color w:val="000000"/>
                <w:sz w:val="22"/>
                <w:szCs w:val="22"/>
              </w:rPr>
            </w:pPr>
            <w:r>
              <w:rPr>
                <w:color w:val="000000"/>
                <w:sz w:val="22"/>
                <w:szCs w:val="22"/>
              </w:rPr>
              <w:t>±1.77</w:t>
            </w:r>
          </w:p>
        </w:tc>
        <w:tc>
          <w:tcPr>
            <w:tcW w:w="85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4B0A80" w14:textId="77777777" w:rsidR="00E903C8" w:rsidRDefault="006B06E1">
            <w:pPr>
              <w:rPr>
                <w:color w:val="000000"/>
                <w:sz w:val="22"/>
                <w:szCs w:val="22"/>
              </w:rPr>
            </w:pPr>
            <w:r>
              <w:rPr>
                <w:color w:val="000000"/>
                <w:sz w:val="22"/>
                <w:szCs w:val="22"/>
              </w:rPr>
              <w:t>9.21</w:t>
            </w:r>
          </w:p>
          <w:p w14:paraId="4BDE8566" w14:textId="77777777" w:rsidR="00E903C8" w:rsidRDefault="006B06E1">
            <w:pPr>
              <w:rPr>
                <w:color w:val="000000"/>
                <w:sz w:val="22"/>
                <w:szCs w:val="22"/>
              </w:rPr>
            </w:pPr>
            <w:r>
              <w:rPr>
                <w:color w:val="000000"/>
                <w:sz w:val="22"/>
                <w:szCs w:val="22"/>
              </w:rPr>
              <w:t>±0.93</w:t>
            </w:r>
          </w:p>
        </w:tc>
        <w:tc>
          <w:tcPr>
            <w:tcW w:w="8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2B07D09" w14:textId="77777777" w:rsidR="00E903C8" w:rsidRDefault="006B06E1">
            <w:pPr>
              <w:rPr>
                <w:color w:val="000000"/>
                <w:sz w:val="22"/>
                <w:szCs w:val="22"/>
              </w:rPr>
            </w:pPr>
            <w:r>
              <w:rPr>
                <w:color w:val="000000"/>
                <w:sz w:val="22"/>
                <w:szCs w:val="22"/>
              </w:rPr>
              <w:t>8.89</w:t>
            </w:r>
          </w:p>
          <w:p w14:paraId="37B99A16" w14:textId="77777777" w:rsidR="00E903C8" w:rsidRDefault="006B06E1">
            <w:pPr>
              <w:rPr>
                <w:color w:val="000000"/>
                <w:sz w:val="22"/>
                <w:szCs w:val="22"/>
              </w:rPr>
            </w:pPr>
            <w:r>
              <w:rPr>
                <w:color w:val="000000"/>
                <w:sz w:val="22"/>
                <w:szCs w:val="22"/>
              </w:rPr>
              <w:t>±0.98</w:t>
            </w:r>
          </w:p>
        </w:tc>
        <w:tc>
          <w:tcPr>
            <w:tcW w:w="70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6591355" w14:textId="77777777" w:rsidR="00E903C8" w:rsidRDefault="006B06E1">
            <w:pPr>
              <w:rPr>
                <w:color w:val="000000"/>
                <w:sz w:val="22"/>
                <w:szCs w:val="22"/>
              </w:rPr>
            </w:pPr>
            <w:r>
              <w:rPr>
                <w:color w:val="000000"/>
                <w:sz w:val="22"/>
                <w:szCs w:val="22"/>
              </w:rPr>
              <w:t>49.42</w:t>
            </w:r>
          </w:p>
          <w:p w14:paraId="02479FD0" w14:textId="77777777" w:rsidR="00E903C8" w:rsidRDefault="006B06E1">
            <w:pPr>
              <w:rPr>
                <w:color w:val="000000"/>
                <w:sz w:val="22"/>
                <w:szCs w:val="22"/>
              </w:rPr>
            </w:pPr>
            <w:r>
              <w:rPr>
                <w:color w:val="000000"/>
                <w:sz w:val="22"/>
                <w:szCs w:val="22"/>
              </w:rPr>
              <w:t>±2.16</w:t>
            </w:r>
          </w:p>
        </w:tc>
        <w:tc>
          <w:tcPr>
            <w:tcW w:w="8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0CAB2AD" w14:textId="77777777" w:rsidR="00E903C8" w:rsidRDefault="006B06E1">
            <w:pPr>
              <w:rPr>
                <w:color w:val="000000"/>
                <w:sz w:val="22"/>
                <w:szCs w:val="22"/>
              </w:rPr>
            </w:pPr>
            <w:r>
              <w:rPr>
                <w:color w:val="000000"/>
                <w:sz w:val="22"/>
                <w:szCs w:val="22"/>
              </w:rPr>
              <w:t>48.89</w:t>
            </w:r>
          </w:p>
          <w:p w14:paraId="4B354E99" w14:textId="77777777" w:rsidR="00E903C8" w:rsidRDefault="006B06E1">
            <w:pPr>
              <w:rPr>
                <w:color w:val="000000"/>
                <w:sz w:val="22"/>
                <w:szCs w:val="22"/>
              </w:rPr>
            </w:pPr>
            <w:r>
              <w:rPr>
                <w:color w:val="000000"/>
                <w:sz w:val="22"/>
                <w:szCs w:val="22"/>
              </w:rPr>
              <w:t>±2.49</w:t>
            </w:r>
          </w:p>
        </w:tc>
        <w:tc>
          <w:tcPr>
            <w:tcW w:w="70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151374" w14:textId="77777777" w:rsidR="00E903C8" w:rsidRDefault="006B06E1">
            <w:pPr>
              <w:rPr>
                <w:color w:val="000000"/>
                <w:sz w:val="22"/>
                <w:szCs w:val="22"/>
              </w:rPr>
            </w:pPr>
            <w:r>
              <w:rPr>
                <w:color w:val="000000"/>
                <w:sz w:val="22"/>
                <w:szCs w:val="22"/>
              </w:rPr>
              <w:t>-0.01</w:t>
            </w:r>
          </w:p>
          <w:p w14:paraId="5E983B1B" w14:textId="77777777" w:rsidR="00E903C8" w:rsidRDefault="006B06E1">
            <w:pPr>
              <w:rPr>
                <w:color w:val="000000"/>
                <w:sz w:val="22"/>
                <w:szCs w:val="22"/>
              </w:rPr>
            </w:pPr>
            <w:r>
              <w:rPr>
                <w:color w:val="000000"/>
                <w:sz w:val="22"/>
                <w:szCs w:val="22"/>
              </w:rPr>
              <w:t>±0.05</w:t>
            </w:r>
          </w:p>
          <w:p w14:paraId="11205F37" w14:textId="77777777" w:rsidR="00E903C8" w:rsidRDefault="006B06E1">
            <w:pPr>
              <w:rPr>
                <w:color w:val="000000"/>
                <w:sz w:val="22"/>
                <w:szCs w:val="22"/>
              </w:rPr>
            </w:pPr>
            <w:r>
              <w:rPr>
                <w:color w:val="000000"/>
                <w:sz w:val="22"/>
                <w:szCs w:val="22"/>
              </w:rPr>
              <w:t xml:space="preserve"> </w:t>
            </w:r>
          </w:p>
        </w:tc>
        <w:tc>
          <w:tcPr>
            <w:tcW w:w="85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1F183BE" w14:textId="77777777" w:rsidR="00E903C8" w:rsidRDefault="006B06E1">
            <w:pPr>
              <w:rPr>
                <w:color w:val="000000"/>
                <w:sz w:val="22"/>
                <w:szCs w:val="22"/>
              </w:rPr>
            </w:pPr>
            <w:r>
              <w:rPr>
                <w:color w:val="000000"/>
                <w:sz w:val="22"/>
                <w:szCs w:val="22"/>
              </w:rPr>
              <w:t>-0.06</w:t>
            </w:r>
          </w:p>
          <w:p w14:paraId="4957E3CB" w14:textId="77777777" w:rsidR="00E903C8" w:rsidRDefault="006B06E1">
            <w:pPr>
              <w:rPr>
                <w:color w:val="000000"/>
                <w:sz w:val="22"/>
                <w:szCs w:val="22"/>
              </w:rPr>
            </w:pPr>
            <w:r>
              <w:rPr>
                <w:color w:val="000000"/>
                <w:sz w:val="22"/>
                <w:szCs w:val="22"/>
              </w:rPr>
              <w:t>±0.06</w:t>
            </w:r>
          </w:p>
          <w:p w14:paraId="4BCABF6F" w14:textId="77777777" w:rsidR="00E903C8" w:rsidRDefault="006B06E1">
            <w:pPr>
              <w:rPr>
                <w:color w:val="000000"/>
                <w:sz w:val="22"/>
                <w:szCs w:val="22"/>
              </w:rPr>
            </w:pPr>
            <w:r>
              <w:rPr>
                <w:color w:val="000000"/>
                <w:sz w:val="22"/>
                <w:szCs w:val="22"/>
              </w:rPr>
              <w:t xml:space="preserve"> </w:t>
            </w:r>
          </w:p>
        </w:tc>
      </w:tr>
    </w:tbl>
    <w:p w14:paraId="059B147F" w14:textId="77777777" w:rsidR="00E903C8" w:rsidRDefault="006B06E1">
      <w:pPr>
        <w:rPr>
          <w:color w:val="000000"/>
          <w:sz w:val="22"/>
          <w:szCs w:val="22"/>
        </w:rPr>
      </w:pPr>
      <w:r>
        <w:rPr>
          <w:color w:val="000000"/>
          <w:sz w:val="22"/>
          <w:szCs w:val="22"/>
        </w:rPr>
        <w:t xml:space="preserve"> </w:t>
      </w:r>
    </w:p>
    <w:p w14:paraId="296E023D" w14:textId="77777777" w:rsidR="00E903C8" w:rsidRDefault="006B06E1">
      <w:pPr>
        <w:rPr>
          <w:color w:val="000000"/>
          <w:sz w:val="22"/>
          <w:szCs w:val="22"/>
        </w:rPr>
      </w:pPr>
      <w:r>
        <w:rPr>
          <w:color w:val="000000"/>
          <w:sz w:val="22"/>
          <w:szCs w:val="22"/>
        </w:rPr>
        <w:t xml:space="preserve">Supplementary Table 1. The average and standard error of participants’ rs-FC and scores on the BDI, RRS, and STAI2 prior to and after FCNef training. Pre = Day 0 (questionnaires and rs-FC were measured after the SHAM FCNef task on this day, and therefore before FCNef itself began). POST = FCNef Day 4 (questionnaires and rs-FC were measured after FCNef training on this day, and therefore after all FCNef had been completed). Expt = Experiment. BDI = Beck’s Depression Inventory. RRS = Rumination Response Scale. STAI2 = Trait Anxiety Scale. </w:t>
      </w:r>
      <w:proofErr w:type="gramStart"/>
      <w:r>
        <w:rPr>
          <w:color w:val="000000"/>
          <w:sz w:val="22"/>
          <w:szCs w:val="22"/>
        </w:rPr>
        <w:t>rs-FC</w:t>
      </w:r>
      <w:proofErr w:type="gramEnd"/>
      <w:r>
        <w:rPr>
          <w:color w:val="000000"/>
          <w:sz w:val="22"/>
          <w:szCs w:val="22"/>
        </w:rPr>
        <w:t xml:space="preserve"> = resting-state Functional Connectivity.</w:t>
      </w:r>
    </w:p>
    <w:p w14:paraId="7C58972D" w14:textId="77777777" w:rsidR="00E903C8" w:rsidRDefault="00E903C8">
      <w:pPr>
        <w:spacing w:after="240"/>
        <w:rPr>
          <w:color w:val="000000"/>
        </w:rPr>
      </w:pPr>
    </w:p>
    <w:p w14:paraId="6DACA250" w14:textId="77777777" w:rsidR="00E903C8" w:rsidRDefault="00E903C8">
      <w:pPr>
        <w:spacing w:after="240"/>
        <w:rPr>
          <w:color w:val="000000"/>
        </w:rPr>
      </w:pPr>
    </w:p>
    <w:p w14:paraId="12DBD8C4" w14:textId="77777777" w:rsidR="00E903C8" w:rsidRDefault="00E903C8">
      <w:pPr>
        <w:spacing w:after="240"/>
        <w:rPr>
          <w:color w:val="000000"/>
        </w:rPr>
      </w:pPr>
    </w:p>
    <w:p w14:paraId="17179ADE" w14:textId="77777777" w:rsidR="00E903C8" w:rsidRDefault="006B06E1">
      <w:pPr>
        <w:rPr>
          <w:color w:val="000000"/>
          <w:sz w:val="22"/>
          <w:szCs w:val="22"/>
        </w:rPr>
      </w:pPr>
      <w:r>
        <w:rPr>
          <w:color w:val="000000"/>
          <w:sz w:val="22"/>
          <w:szCs w:val="22"/>
        </w:rPr>
        <w:t xml:space="preserve"> </w:t>
      </w:r>
    </w:p>
    <w:tbl>
      <w:tblPr>
        <w:tblStyle w:val="a1"/>
        <w:tblW w:w="8503" w:type="dxa"/>
        <w:tblBorders>
          <w:top w:val="nil"/>
          <w:left w:val="nil"/>
          <w:bottom w:val="nil"/>
          <w:right w:val="nil"/>
          <w:insideH w:val="nil"/>
          <w:insideV w:val="nil"/>
        </w:tblBorders>
        <w:tblLayout w:type="fixed"/>
        <w:tblLook w:val="0600" w:firstRow="0" w:lastRow="0" w:firstColumn="0" w:lastColumn="0" w:noHBand="1" w:noVBand="1"/>
      </w:tblPr>
      <w:tblGrid>
        <w:gridCol w:w="714"/>
        <w:gridCol w:w="1220"/>
        <w:gridCol w:w="951"/>
        <w:gridCol w:w="1665"/>
        <w:gridCol w:w="1501"/>
        <w:gridCol w:w="1590"/>
        <w:gridCol w:w="862"/>
      </w:tblGrid>
      <w:tr w:rsidR="00E903C8" w14:paraId="1384FE97" w14:textId="77777777">
        <w:trPr>
          <w:trHeight w:val="1065"/>
        </w:trPr>
        <w:tc>
          <w:tcPr>
            <w:tcW w:w="19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9CEAF2" w14:textId="77777777" w:rsidR="00E903C8" w:rsidRDefault="006B06E1">
            <w:pPr>
              <w:rPr>
                <w:color w:val="000000"/>
                <w:sz w:val="22"/>
                <w:szCs w:val="22"/>
              </w:rPr>
            </w:pPr>
            <w:r>
              <w:rPr>
                <w:color w:val="000000"/>
                <w:sz w:val="22"/>
                <w:szCs w:val="22"/>
              </w:rPr>
              <w:t xml:space="preserve"> </w:t>
            </w:r>
          </w:p>
        </w:tc>
        <w:tc>
          <w:tcPr>
            <w:tcW w:w="951"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41EE3DE0" w14:textId="77777777" w:rsidR="00E903C8" w:rsidRDefault="006B06E1">
            <w:pPr>
              <w:rPr>
                <w:color w:val="000000"/>
                <w:sz w:val="22"/>
                <w:szCs w:val="22"/>
              </w:rPr>
            </w:pPr>
            <w:r>
              <w:rPr>
                <w:color w:val="000000"/>
                <w:sz w:val="22"/>
                <w:szCs w:val="22"/>
              </w:rPr>
              <w:t>BDI</w:t>
            </w:r>
          </w:p>
        </w:tc>
        <w:tc>
          <w:tcPr>
            <w:tcW w:w="166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6BC88CDE" w14:textId="77777777" w:rsidR="00E903C8" w:rsidRDefault="006B06E1">
            <w:pPr>
              <w:rPr>
                <w:color w:val="000000"/>
                <w:sz w:val="22"/>
                <w:szCs w:val="22"/>
              </w:rPr>
            </w:pPr>
            <w:r>
              <w:rPr>
                <w:color w:val="000000"/>
                <w:sz w:val="22"/>
                <w:szCs w:val="22"/>
              </w:rPr>
              <w:t>RRS Depression</w:t>
            </w:r>
          </w:p>
        </w:tc>
        <w:tc>
          <w:tcPr>
            <w:tcW w:w="1501"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07D12054" w14:textId="77777777" w:rsidR="00E903C8" w:rsidRDefault="006B06E1">
            <w:pPr>
              <w:rPr>
                <w:color w:val="000000"/>
                <w:sz w:val="22"/>
                <w:szCs w:val="22"/>
              </w:rPr>
            </w:pPr>
            <w:r>
              <w:rPr>
                <w:color w:val="000000"/>
                <w:sz w:val="22"/>
                <w:szCs w:val="22"/>
              </w:rPr>
              <w:t>RRS Brooding</w:t>
            </w:r>
          </w:p>
        </w:tc>
        <w:tc>
          <w:tcPr>
            <w:tcW w:w="159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7CD1FDC5" w14:textId="77777777" w:rsidR="00E903C8" w:rsidRDefault="006B06E1">
            <w:pPr>
              <w:rPr>
                <w:color w:val="000000"/>
                <w:sz w:val="22"/>
                <w:szCs w:val="22"/>
              </w:rPr>
            </w:pPr>
            <w:r>
              <w:rPr>
                <w:color w:val="000000"/>
                <w:sz w:val="22"/>
                <w:szCs w:val="22"/>
              </w:rPr>
              <w:t>RRS Reflection</w:t>
            </w:r>
          </w:p>
        </w:tc>
        <w:tc>
          <w:tcPr>
            <w:tcW w:w="862"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1F0164CE" w14:textId="77777777" w:rsidR="00E903C8" w:rsidRDefault="006B06E1">
            <w:pPr>
              <w:rPr>
                <w:color w:val="000000"/>
                <w:sz w:val="22"/>
                <w:szCs w:val="22"/>
              </w:rPr>
            </w:pPr>
            <w:r>
              <w:rPr>
                <w:color w:val="000000"/>
                <w:sz w:val="22"/>
                <w:szCs w:val="22"/>
              </w:rPr>
              <w:t>STAI2</w:t>
            </w:r>
          </w:p>
        </w:tc>
      </w:tr>
      <w:tr w:rsidR="00E903C8" w14:paraId="6C567251" w14:textId="77777777">
        <w:trPr>
          <w:trHeight w:val="1065"/>
        </w:trPr>
        <w:tc>
          <w:tcPr>
            <w:tcW w:w="714" w:type="dxa"/>
            <w:vMerge w:val="restart"/>
            <w:tcBorders>
              <w:top w:val="nil"/>
              <w:left w:val="single" w:sz="4" w:space="0" w:color="000000"/>
              <w:bottom w:val="single" w:sz="8" w:space="0" w:color="000000"/>
              <w:right w:val="single" w:sz="8" w:space="0" w:color="000000"/>
            </w:tcBorders>
            <w:shd w:val="clear" w:color="auto" w:fill="auto"/>
            <w:tcMar>
              <w:top w:w="100" w:type="dxa"/>
              <w:left w:w="100" w:type="dxa"/>
              <w:bottom w:w="100" w:type="dxa"/>
              <w:right w:w="100" w:type="dxa"/>
            </w:tcMar>
          </w:tcPr>
          <w:p w14:paraId="7027B2D5" w14:textId="77777777" w:rsidR="00E903C8" w:rsidRDefault="006B06E1">
            <w:pPr>
              <w:rPr>
                <w:color w:val="000000"/>
                <w:sz w:val="22"/>
                <w:szCs w:val="22"/>
              </w:rPr>
            </w:pPr>
            <w:r>
              <w:rPr>
                <w:color w:val="000000"/>
                <w:sz w:val="22"/>
                <w:szCs w:val="22"/>
              </w:rPr>
              <w:t>rs-FC</w:t>
            </w:r>
          </w:p>
        </w:tc>
        <w:tc>
          <w:tcPr>
            <w:tcW w:w="12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E047643" w14:textId="77777777" w:rsidR="00E903C8" w:rsidRDefault="006B06E1">
            <w:pPr>
              <w:rPr>
                <w:color w:val="000000"/>
                <w:sz w:val="22"/>
                <w:szCs w:val="22"/>
              </w:rPr>
            </w:pPr>
            <w:r>
              <w:rPr>
                <w:color w:val="000000"/>
                <w:sz w:val="22"/>
                <w:szCs w:val="22"/>
              </w:rPr>
              <w:t>Day 0</w:t>
            </w:r>
          </w:p>
        </w:tc>
        <w:tc>
          <w:tcPr>
            <w:tcW w:w="95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C39BCEF" w14:textId="77777777" w:rsidR="00E903C8" w:rsidRDefault="006B06E1">
            <w:pPr>
              <w:rPr>
                <w:color w:val="000000"/>
                <w:sz w:val="22"/>
                <w:szCs w:val="22"/>
              </w:rPr>
            </w:pPr>
            <w:r>
              <w:rPr>
                <w:color w:val="000000"/>
                <w:sz w:val="22"/>
                <w:szCs w:val="22"/>
              </w:rPr>
              <w:t>r=0.12</w:t>
            </w:r>
          </w:p>
          <w:p w14:paraId="5E11F96F" w14:textId="77777777" w:rsidR="00E903C8" w:rsidRDefault="006B06E1">
            <w:pPr>
              <w:rPr>
                <w:color w:val="000000"/>
                <w:sz w:val="22"/>
                <w:szCs w:val="22"/>
              </w:rPr>
            </w:pPr>
            <w:r>
              <w:rPr>
                <w:color w:val="000000"/>
                <w:sz w:val="22"/>
                <w:szCs w:val="22"/>
              </w:rPr>
              <w:t>p=0.63</w:t>
            </w:r>
          </w:p>
        </w:tc>
        <w:tc>
          <w:tcPr>
            <w:tcW w:w="16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29B04A4" w14:textId="77777777" w:rsidR="00E903C8" w:rsidRDefault="006B06E1">
            <w:pPr>
              <w:rPr>
                <w:color w:val="000000"/>
                <w:sz w:val="22"/>
                <w:szCs w:val="22"/>
              </w:rPr>
            </w:pPr>
            <w:r>
              <w:rPr>
                <w:color w:val="000000"/>
                <w:sz w:val="22"/>
                <w:szCs w:val="22"/>
              </w:rPr>
              <w:t>r=0.27</w:t>
            </w:r>
          </w:p>
          <w:p w14:paraId="400E084E" w14:textId="77777777" w:rsidR="00E903C8" w:rsidRDefault="006B06E1">
            <w:pPr>
              <w:rPr>
                <w:color w:val="000000"/>
                <w:sz w:val="22"/>
                <w:szCs w:val="22"/>
              </w:rPr>
            </w:pPr>
            <w:r>
              <w:rPr>
                <w:color w:val="000000"/>
                <w:sz w:val="22"/>
                <w:szCs w:val="22"/>
              </w:rPr>
              <w:t>p=0.26</w:t>
            </w:r>
          </w:p>
        </w:tc>
        <w:tc>
          <w:tcPr>
            <w:tcW w:w="150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5617492" w14:textId="77777777" w:rsidR="00E903C8" w:rsidRDefault="006B06E1">
            <w:pPr>
              <w:rPr>
                <w:color w:val="000000"/>
                <w:sz w:val="22"/>
                <w:szCs w:val="22"/>
              </w:rPr>
            </w:pPr>
            <w:r>
              <w:rPr>
                <w:color w:val="000000"/>
                <w:sz w:val="22"/>
                <w:szCs w:val="22"/>
              </w:rPr>
              <w:t>r=0.21</w:t>
            </w:r>
          </w:p>
          <w:p w14:paraId="36C1F5E2" w14:textId="77777777" w:rsidR="00E903C8" w:rsidRDefault="006B06E1">
            <w:pPr>
              <w:rPr>
                <w:color w:val="000000"/>
                <w:sz w:val="22"/>
                <w:szCs w:val="22"/>
              </w:rPr>
            </w:pPr>
            <w:r>
              <w:rPr>
                <w:color w:val="000000"/>
                <w:sz w:val="22"/>
                <w:szCs w:val="22"/>
              </w:rPr>
              <w:t>p=0.40</w:t>
            </w:r>
          </w:p>
        </w:tc>
        <w:tc>
          <w:tcPr>
            <w:tcW w:w="15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A02A7DB" w14:textId="77777777" w:rsidR="00E903C8" w:rsidRDefault="006B06E1">
            <w:pPr>
              <w:rPr>
                <w:color w:val="000000"/>
                <w:sz w:val="22"/>
                <w:szCs w:val="22"/>
              </w:rPr>
            </w:pPr>
            <w:r>
              <w:rPr>
                <w:color w:val="000000"/>
                <w:sz w:val="22"/>
                <w:szCs w:val="22"/>
              </w:rPr>
              <w:t>r=0.03</w:t>
            </w:r>
          </w:p>
          <w:p w14:paraId="62EE64B5" w14:textId="77777777" w:rsidR="00E903C8" w:rsidRDefault="006B06E1">
            <w:pPr>
              <w:rPr>
                <w:color w:val="000000"/>
                <w:sz w:val="22"/>
                <w:szCs w:val="22"/>
              </w:rPr>
            </w:pPr>
            <w:r>
              <w:rPr>
                <w:color w:val="000000"/>
                <w:sz w:val="22"/>
                <w:szCs w:val="22"/>
              </w:rPr>
              <w:t>p=0.90</w:t>
            </w:r>
          </w:p>
        </w:tc>
        <w:tc>
          <w:tcPr>
            <w:tcW w:w="86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E9A6006" w14:textId="77777777" w:rsidR="00E903C8" w:rsidRDefault="006B06E1">
            <w:pPr>
              <w:rPr>
                <w:color w:val="000000"/>
                <w:sz w:val="22"/>
                <w:szCs w:val="22"/>
              </w:rPr>
            </w:pPr>
            <w:r>
              <w:rPr>
                <w:color w:val="000000"/>
                <w:sz w:val="22"/>
                <w:szCs w:val="22"/>
              </w:rPr>
              <w:t>r=0.19</w:t>
            </w:r>
          </w:p>
          <w:p w14:paraId="3362B214" w14:textId="77777777" w:rsidR="00E903C8" w:rsidRDefault="006B06E1">
            <w:pPr>
              <w:rPr>
                <w:color w:val="000000"/>
                <w:sz w:val="22"/>
                <w:szCs w:val="22"/>
              </w:rPr>
            </w:pPr>
            <w:r>
              <w:rPr>
                <w:color w:val="000000"/>
                <w:sz w:val="22"/>
                <w:szCs w:val="22"/>
              </w:rPr>
              <w:t>p=0.45</w:t>
            </w:r>
          </w:p>
        </w:tc>
      </w:tr>
      <w:tr w:rsidR="00E903C8" w14:paraId="69F05E0E" w14:textId="77777777">
        <w:trPr>
          <w:trHeight w:val="1065"/>
        </w:trPr>
        <w:tc>
          <w:tcPr>
            <w:tcW w:w="714" w:type="dxa"/>
            <w:vMerge/>
            <w:tcBorders>
              <w:top w:val="nil"/>
              <w:left w:val="single" w:sz="4" w:space="0" w:color="000000"/>
              <w:bottom w:val="single" w:sz="8" w:space="0" w:color="000000"/>
              <w:right w:val="single" w:sz="8" w:space="0" w:color="000000"/>
            </w:tcBorders>
            <w:shd w:val="clear" w:color="auto" w:fill="auto"/>
            <w:tcMar>
              <w:top w:w="100" w:type="dxa"/>
              <w:left w:w="100" w:type="dxa"/>
              <w:bottom w:w="100" w:type="dxa"/>
              <w:right w:w="100" w:type="dxa"/>
            </w:tcMar>
          </w:tcPr>
          <w:p w14:paraId="4B6C9173" w14:textId="77777777" w:rsidR="00E903C8" w:rsidRDefault="00E903C8">
            <w:pPr>
              <w:widowControl w:val="0"/>
              <w:pBdr>
                <w:top w:val="nil"/>
                <w:left w:val="nil"/>
                <w:bottom w:val="nil"/>
                <w:right w:val="nil"/>
                <w:between w:val="nil"/>
              </w:pBdr>
              <w:spacing w:line="276" w:lineRule="auto"/>
              <w:rPr>
                <w:color w:val="000000"/>
                <w:sz w:val="22"/>
                <w:szCs w:val="22"/>
              </w:rPr>
            </w:pPr>
          </w:p>
        </w:tc>
        <w:tc>
          <w:tcPr>
            <w:tcW w:w="12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14C4B7" w14:textId="77777777" w:rsidR="00E903C8" w:rsidRDefault="006B06E1">
            <w:pPr>
              <w:rPr>
                <w:color w:val="000000"/>
                <w:sz w:val="22"/>
                <w:szCs w:val="22"/>
              </w:rPr>
            </w:pPr>
            <w:r>
              <w:rPr>
                <w:color w:val="000000"/>
                <w:sz w:val="22"/>
                <w:szCs w:val="22"/>
              </w:rPr>
              <w:t>FCNef</w:t>
            </w:r>
          </w:p>
          <w:p w14:paraId="7ACB7572" w14:textId="77777777" w:rsidR="00E903C8" w:rsidRDefault="006B06E1">
            <w:pPr>
              <w:rPr>
                <w:color w:val="000000"/>
                <w:sz w:val="22"/>
                <w:szCs w:val="22"/>
              </w:rPr>
            </w:pPr>
            <w:r>
              <w:rPr>
                <w:color w:val="000000"/>
                <w:sz w:val="22"/>
                <w:szCs w:val="22"/>
              </w:rPr>
              <w:t>Day 4</w:t>
            </w:r>
          </w:p>
        </w:tc>
        <w:tc>
          <w:tcPr>
            <w:tcW w:w="95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6595DD" w14:textId="77777777" w:rsidR="00E903C8" w:rsidRDefault="006B06E1">
            <w:pPr>
              <w:rPr>
                <w:color w:val="000000"/>
                <w:sz w:val="22"/>
                <w:szCs w:val="22"/>
              </w:rPr>
            </w:pPr>
            <w:r>
              <w:rPr>
                <w:color w:val="000000"/>
                <w:sz w:val="22"/>
                <w:szCs w:val="22"/>
              </w:rPr>
              <w:t>r=-0.30</w:t>
            </w:r>
          </w:p>
          <w:p w14:paraId="56333E70" w14:textId="77777777" w:rsidR="00E903C8" w:rsidRDefault="006B06E1">
            <w:pPr>
              <w:rPr>
                <w:color w:val="000000"/>
                <w:sz w:val="22"/>
                <w:szCs w:val="22"/>
              </w:rPr>
            </w:pPr>
            <w:r>
              <w:rPr>
                <w:color w:val="000000"/>
                <w:sz w:val="22"/>
                <w:szCs w:val="22"/>
              </w:rPr>
              <w:t>p=0.21</w:t>
            </w:r>
          </w:p>
        </w:tc>
        <w:tc>
          <w:tcPr>
            <w:tcW w:w="16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6EF31E5" w14:textId="77777777" w:rsidR="00E903C8" w:rsidRDefault="006B06E1">
            <w:pPr>
              <w:rPr>
                <w:color w:val="000000"/>
                <w:sz w:val="22"/>
                <w:szCs w:val="22"/>
              </w:rPr>
            </w:pPr>
            <w:r>
              <w:rPr>
                <w:color w:val="000000"/>
                <w:sz w:val="22"/>
                <w:szCs w:val="22"/>
              </w:rPr>
              <w:t>r=0.12</w:t>
            </w:r>
          </w:p>
          <w:p w14:paraId="2159E48D" w14:textId="77777777" w:rsidR="00E903C8" w:rsidRDefault="006B06E1">
            <w:pPr>
              <w:rPr>
                <w:color w:val="000000"/>
                <w:sz w:val="22"/>
                <w:szCs w:val="22"/>
              </w:rPr>
            </w:pPr>
            <w:r>
              <w:rPr>
                <w:color w:val="000000"/>
                <w:sz w:val="22"/>
                <w:szCs w:val="22"/>
              </w:rPr>
              <w:t>p=0.63</w:t>
            </w:r>
          </w:p>
        </w:tc>
        <w:tc>
          <w:tcPr>
            <w:tcW w:w="150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0A1BE35" w14:textId="77777777" w:rsidR="00E903C8" w:rsidRDefault="006B06E1">
            <w:pPr>
              <w:rPr>
                <w:color w:val="000000"/>
                <w:sz w:val="22"/>
                <w:szCs w:val="22"/>
              </w:rPr>
            </w:pPr>
            <w:r>
              <w:rPr>
                <w:color w:val="000000"/>
                <w:sz w:val="22"/>
                <w:szCs w:val="22"/>
              </w:rPr>
              <w:t>r=0.23</w:t>
            </w:r>
          </w:p>
          <w:p w14:paraId="280AA796" w14:textId="77777777" w:rsidR="00E903C8" w:rsidRDefault="006B06E1">
            <w:pPr>
              <w:rPr>
                <w:color w:val="000000"/>
                <w:sz w:val="22"/>
                <w:szCs w:val="22"/>
              </w:rPr>
            </w:pPr>
            <w:r>
              <w:rPr>
                <w:color w:val="000000"/>
                <w:sz w:val="22"/>
                <w:szCs w:val="22"/>
              </w:rPr>
              <w:t>p=0.34</w:t>
            </w:r>
          </w:p>
        </w:tc>
        <w:tc>
          <w:tcPr>
            <w:tcW w:w="15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BCBDF0A" w14:textId="77777777" w:rsidR="00E903C8" w:rsidRDefault="006B06E1">
            <w:pPr>
              <w:rPr>
                <w:color w:val="000000"/>
                <w:sz w:val="22"/>
                <w:szCs w:val="22"/>
              </w:rPr>
            </w:pPr>
            <w:r>
              <w:rPr>
                <w:color w:val="000000"/>
                <w:sz w:val="22"/>
                <w:szCs w:val="22"/>
              </w:rPr>
              <w:t>r=0.11</w:t>
            </w:r>
          </w:p>
          <w:p w14:paraId="1738494B" w14:textId="77777777" w:rsidR="00E903C8" w:rsidRDefault="006B06E1">
            <w:pPr>
              <w:rPr>
                <w:color w:val="000000"/>
                <w:sz w:val="22"/>
                <w:szCs w:val="22"/>
              </w:rPr>
            </w:pPr>
            <w:r>
              <w:rPr>
                <w:color w:val="000000"/>
                <w:sz w:val="22"/>
                <w:szCs w:val="22"/>
              </w:rPr>
              <w:t>p=0.64</w:t>
            </w:r>
          </w:p>
        </w:tc>
        <w:tc>
          <w:tcPr>
            <w:tcW w:w="86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56080BC" w14:textId="77777777" w:rsidR="00E903C8" w:rsidRDefault="006B06E1">
            <w:pPr>
              <w:rPr>
                <w:color w:val="000000"/>
                <w:sz w:val="22"/>
                <w:szCs w:val="22"/>
              </w:rPr>
            </w:pPr>
            <w:r>
              <w:rPr>
                <w:color w:val="000000"/>
                <w:sz w:val="22"/>
                <w:szCs w:val="22"/>
              </w:rPr>
              <w:t>r=-0.11</w:t>
            </w:r>
          </w:p>
          <w:p w14:paraId="423798DE" w14:textId="77777777" w:rsidR="00E903C8" w:rsidRDefault="006B06E1">
            <w:pPr>
              <w:rPr>
                <w:color w:val="000000"/>
                <w:sz w:val="22"/>
                <w:szCs w:val="22"/>
              </w:rPr>
            </w:pPr>
            <w:r>
              <w:rPr>
                <w:color w:val="000000"/>
                <w:sz w:val="22"/>
                <w:szCs w:val="22"/>
              </w:rPr>
              <w:t>p=0.65</w:t>
            </w:r>
          </w:p>
        </w:tc>
      </w:tr>
      <w:tr w:rsidR="00E903C8" w14:paraId="1F32C2AD" w14:textId="77777777">
        <w:trPr>
          <w:trHeight w:val="1065"/>
        </w:trPr>
        <w:tc>
          <w:tcPr>
            <w:tcW w:w="714" w:type="dxa"/>
            <w:vMerge/>
            <w:tcBorders>
              <w:top w:val="nil"/>
              <w:left w:val="single" w:sz="4" w:space="0" w:color="000000"/>
              <w:bottom w:val="single" w:sz="8" w:space="0" w:color="000000"/>
              <w:right w:val="single" w:sz="8" w:space="0" w:color="000000"/>
            </w:tcBorders>
            <w:shd w:val="clear" w:color="auto" w:fill="auto"/>
            <w:tcMar>
              <w:top w:w="100" w:type="dxa"/>
              <w:left w:w="100" w:type="dxa"/>
              <w:bottom w:w="100" w:type="dxa"/>
              <w:right w:w="100" w:type="dxa"/>
            </w:tcMar>
          </w:tcPr>
          <w:p w14:paraId="45551E05" w14:textId="77777777" w:rsidR="00E903C8" w:rsidRDefault="00E903C8">
            <w:pPr>
              <w:widowControl w:val="0"/>
              <w:pBdr>
                <w:top w:val="nil"/>
                <w:left w:val="nil"/>
                <w:bottom w:val="nil"/>
                <w:right w:val="nil"/>
                <w:between w:val="nil"/>
              </w:pBdr>
              <w:spacing w:line="276" w:lineRule="auto"/>
              <w:rPr>
                <w:color w:val="000000"/>
                <w:sz w:val="22"/>
                <w:szCs w:val="22"/>
              </w:rPr>
            </w:pPr>
          </w:p>
        </w:tc>
        <w:tc>
          <w:tcPr>
            <w:tcW w:w="12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6D84F9" w14:textId="77777777" w:rsidR="00E903C8" w:rsidRDefault="006B06E1">
            <w:pPr>
              <w:rPr>
                <w:color w:val="000000"/>
                <w:sz w:val="22"/>
                <w:szCs w:val="22"/>
              </w:rPr>
            </w:pPr>
            <w:r>
              <w:rPr>
                <w:color w:val="000000"/>
                <w:sz w:val="22"/>
                <w:szCs w:val="22"/>
              </w:rPr>
              <w:t>Differences</w:t>
            </w:r>
          </w:p>
        </w:tc>
        <w:tc>
          <w:tcPr>
            <w:tcW w:w="95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933886" w14:textId="77777777" w:rsidR="00E903C8" w:rsidRDefault="006B06E1">
            <w:pPr>
              <w:rPr>
                <w:color w:val="000000"/>
                <w:sz w:val="22"/>
                <w:szCs w:val="22"/>
              </w:rPr>
            </w:pPr>
            <w:r>
              <w:rPr>
                <w:color w:val="000000"/>
                <w:sz w:val="22"/>
                <w:szCs w:val="22"/>
              </w:rPr>
              <w:t>r=0.78</w:t>
            </w:r>
          </w:p>
          <w:p w14:paraId="33EC2E18" w14:textId="77777777" w:rsidR="00E903C8" w:rsidRDefault="006B06E1">
            <w:pPr>
              <w:rPr>
                <w:color w:val="000000"/>
                <w:sz w:val="22"/>
                <w:szCs w:val="22"/>
              </w:rPr>
            </w:pPr>
            <w:r>
              <w:rPr>
                <w:color w:val="000000"/>
                <w:sz w:val="22"/>
                <w:szCs w:val="22"/>
              </w:rPr>
              <w:t>p&lt;0.001</w:t>
            </w:r>
          </w:p>
        </w:tc>
        <w:tc>
          <w:tcPr>
            <w:tcW w:w="16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6B11827" w14:textId="77777777" w:rsidR="00E903C8" w:rsidRDefault="006B06E1">
            <w:pPr>
              <w:rPr>
                <w:color w:val="000000"/>
                <w:sz w:val="22"/>
                <w:szCs w:val="22"/>
              </w:rPr>
            </w:pPr>
            <w:r>
              <w:rPr>
                <w:color w:val="000000"/>
                <w:sz w:val="22"/>
                <w:szCs w:val="22"/>
              </w:rPr>
              <w:t>r=0.02</w:t>
            </w:r>
          </w:p>
          <w:p w14:paraId="52F843F1" w14:textId="77777777" w:rsidR="00E903C8" w:rsidRDefault="006B06E1">
            <w:pPr>
              <w:rPr>
                <w:color w:val="000000"/>
                <w:sz w:val="22"/>
                <w:szCs w:val="22"/>
              </w:rPr>
            </w:pPr>
            <w:r>
              <w:rPr>
                <w:color w:val="000000"/>
                <w:sz w:val="22"/>
                <w:szCs w:val="22"/>
              </w:rPr>
              <w:t>p=0.93</w:t>
            </w:r>
          </w:p>
        </w:tc>
        <w:tc>
          <w:tcPr>
            <w:tcW w:w="150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9536219" w14:textId="77777777" w:rsidR="00E903C8" w:rsidRDefault="006B06E1">
            <w:pPr>
              <w:rPr>
                <w:color w:val="000000"/>
                <w:sz w:val="22"/>
                <w:szCs w:val="22"/>
              </w:rPr>
            </w:pPr>
            <w:r>
              <w:rPr>
                <w:color w:val="000000"/>
                <w:sz w:val="22"/>
                <w:szCs w:val="22"/>
              </w:rPr>
              <w:t>r=0.43</w:t>
            </w:r>
          </w:p>
          <w:p w14:paraId="2EE721FD" w14:textId="77777777" w:rsidR="00E903C8" w:rsidRDefault="006B06E1">
            <w:pPr>
              <w:rPr>
                <w:color w:val="000000"/>
                <w:sz w:val="22"/>
                <w:szCs w:val="22"/>
              </w:rPr>
            </w:pPr>
            <w:r>
              <w:rPr>
                <w:color w:val="000000"/>
                <w:sz w:val="22"/>
                <w:szCs w:val="22"/>
              </w:rPr>
              <w:t>p=0.06</w:t>
            </w:r>
          </w:p>
        </w:tc>
        <w:tc>
          <w:tcPr>
            <w:tcW w:w="15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40FB6A2" w14:textId="77777777" w:rsidR="00E903C8" w:rsidRDefault="006B06E1">
            <w:pPr>
              <w:rPr>
                <w:color w:val="000000"/>
                <w:sz w:val="22"/>
                <w:szCs w:val="22"/>
              </w:rPr>
            </w:pPr>
            <w:r>
              <w:rPr>
                <w:color w:val="000000"/>
                <w:sz w:val="22"/>
                <w:szCs w:val="22"/>
              </w:rPr>
              <w:t>r=0.38</w:t>
            </w:r>
          </w:p>
          <w:p w14:paraId="19DE48E2" w14:textId="77777777" w:rsidR="00E903C8" w:rsidRDefault="006B06E1">
            <w:pPr>
              <w:rPr>
                <w:color w:val="000000"/>
                <w:sz w:val="22"/>
                <w:szCs w:val="22"/>
              </w:rPr>
            </w:pPr>
            <w:r>
              <w:rPr>
                <w:color w:val="000000"/>
                <w:sz w:val="22"/>
                <w:szCs w:val="22"/>
              </w:rPr>
              <w:t>p=0.11</w:t>
            </w:r>
          </w:p>
        </w:tc>
        <w:tc>
          <w:tcPr>
            <w:tcW w:w="86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9ECC75" w14:textId="77777777" w:rsidR="00E903C8" w:rsidRDefault="006B06E1">
            <w:pPr>
              <w:rPr>
                <w:color w:val="000000"/>
                <w:sz w:val="22"/>
                <w:szCs w:val="22"/>
              </w:rPr>
            </w:pPr>
            <w:r>
              <w:rPr>
                <w:color w:val="000000"/>
                <w:sz w:val="22"/>
                <w:szCs w:val="22"/>
              </w:rPr>
              <w:t>r=0.07</w:t>
            </w:r>
          </w:p>
          <w:p w14:paraId="0A1693DA" w14:textId="77777777" w:rsidR="00E903C8" w:rsidRDefault="006B06E1">
            <w:pPr>
              <w:rPr>
                <w:color w:val="000000"/>
                <w:sz w:val="22"/>
                <w:szCs w:val="22"/>
              </w:rPr>
            </w:pPr>
            <w:r>
              <w:rPr>
                <w:color w:val="000000"/>
                <w:sz w:val="22"/>
                <w:szCs w:val="22"/>
              </w:rPr>
              <w:t>p=0.78</w:t>
            </w:r>
          </w:p>
        </w:tc>
      </w:tr>
    </w:tbl>
    <w:p w14:paraId="79632E53" w14:textId="77777777" w:rsidR="00E903C8" w:rsidRDefault="006B06E1">
      <w:pPr>
        <w:rPr>
          <w:color w:val="000000"/>
          <w:sz w:val="22"/>
          <w:szCs w:val="22"/>
        </w:rPr>
      </w:pPr>
      <w:r>
        <w:rPr>
          <w:color w:val="000000"/>
          <w:sz w:val="22"/>
          <w:szCs w:val="22"/>
        </w:rPr>
        <w:t xml:space="preserve"> </w:t>
      </w:r>
    </w:p>
    <w:p w14:paraId="6CF5314B" w14:textId="77777777" w:rsidR="00E903C8" w:rsidRDefault="006B06E1">
      <w:pPr>
        <w:rPr>
          <w:color w:val="000000"/>
          <w:sz w:val="22"/>
          <w:szCs w:val="22"/>
        </w:rPr>
      </w:pPr>
      <w:r>
        <w:rPr>
          <w:color w:val="000000"/>
          <w:sz w:val="22"/>
          <w:szCs w:val="22"/>
        </w:rPr>
        <w:t xml:space="preserve">Supplementary Table 2. Correlations between resting-state functional connectivity (rs-FS) and scores on the questionnaires. The data from both experiments is combined here. The first row shows correlations between the targeted rs-FC and questionnaire scores on Day 0; the second row shows correlations between the targeted rs-FC and questionnaire scores on FCNef Day 4; the third row shows correlations between differences in rs-FC (FCNef Day 4- Day 0) and differences in questionnaire scores (FCNef Day 4- Day 0). BDI = Beck’s Depression Inventory. RRS = Rumination Response Scale. STAI2 = Trait Anxiety Scale. </w:t>
      </w:r>
      <w:proofErr w:type="gramStart"/>
      <w:r>
        <w:rPr>
          <w:color w:val="000000"/>
          <w:sz w:val="22"/>
          <w:szCs w:val="22"/>
        </w:rPr>
        <w:t>rs-FC</w:t>
      </w:r>
      <w:proofErr w:type="gramEnd"/>
      <w:r>
        <w:rPr>
          <w:color w:val="000000"/>
          <w:sz w:val="22"/>
          <w:szCs w:val="22"/>
        </w:rPr>
        <w:t xml:space="preserve"> = resting-state Functional Connectivity. FCNef = Functional Connectivity Neurofeedback. SHAM = SHAM FCNef. </w:t>
      </w:r>
    </w:p>
    <w:p w14:paraId="7B26A762" w14:textId="2979AC33" w:rsidR="00E903C8" w:rsidRDefault="006B06E1" w:rsidP="00480874">
      <w:pPr>
        <w:rPr>
          <w:rFonts w:ascii="MS PGothic" w:eastAsia="MS PGothic" w:hAnsi="MS PGothic" w:cs="MS PGothic"/>
        </w:rPr>
      </w:pPr>
      <w:r>
        <w:rPr>
          <w:color w:val="000000"/>
        </w:rPr>
        <w:t xml:space="preserve"> </w:t>
      </w:r>
      <w:bookmarkStart w:id="0" w:name="_30j0zll" w:colFirst="0" w:colLast="0"/>
      <w:bookmarkStart w:id="1" w:name="_GoBack"/>
      <w:bookmarkEnd w:id="0"/>
      <w:bookmarkEnd w:id="1"/>
    </w:p>
    <w:sectPr w:rsidR="00E903C8">
      <w:pgSz w:w="16840" w:h="11900" w:orient="landscape"/>
      <w:pgMar w:top="1701" w:right="1701" w:bottom="1701" w:left="1985"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47996"/>
    <w:multiLevelType w:val="multilevel"/>
    <w:tmpl w:val="97CE60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7687393"/>
    <w:multiLevelType w:val="multilevel"/>
    <w:tmpl w:val="453EED0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3C8"/>
    <w:rsid w:val="000053AD"/>
    <w:rsid w:val="00037FB0"/>
    <w:rsid w:val="00176FE7"/>
    <w:rsid w:val="002851AF"/>
    <w:rsid w:val="00372129"/>
    <w:rsid w:val="00386C14"/>
    <w:rsid w:val="0042377A"/>
    <w:rsid w:val="004425CE"/>
    <w:rsid w:val="00480874"/>
    <w:rsid w:val="0057298A"/>
    <w:rsid w:val="006627BF"/>
    <w:rsid w:val="00662AE8"/>
    <w:rsid w:val="00682E0C"/>
    <w:rsid w:val="006B06E1"/>
    <w:rsid w:val="006D2B03"/>
    <w:rsid w:val="006D67E9"/>
    <w:rsid w:val="006E45BB"/>
    <w:rsid w:val="00794FCB"/>
    <w:rsid w:val="007D67B3"/>
    <w:rsid w:val="007F6352"/>
    <w:rsid w:val="00802BAE"/>
    <w:rsid w:val="008116C9"/>
    <w:rsid w:val="0081428D"/>
    <w:rsid w:val="008C04AC"/>
    <w:rsid w:val="009D38A4"/>
    <w:rsid w:val="00A13991"/>
    <w:rsid w:val="00A258C4"/>
    <w:rsid w:val="00A363E5"/>
    <w:rsid w:val="00AF2584"/>
    <w:rsid w:val="00C826A6"/>
    <w:rsid w:val="00CB0766"/>
    <w:rsid w:val="00DC6575"/>
    <w:rsid w:val="00E903C8"/>
    <w:rsid w:val="00F66EE0"/>
    <w:rsid w:val="00FF2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8A96E"/>
  <w15:docId w15:val="{D7F50956-6099-524B-AD25-902FECA03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FB0"/>
  </w:style>
  <w:style w:type="paragraph" w:styleId="Heading1">
    <w:name w:val="heading 1"/>
    <w:basedOn w:val="Normal"/>
    <w:next w:val="Normal"/>
    <w:uiPriority w:val="9"/>
    <w:qFormat/>
    <w:pPr>
      <w:outlineLvl w:val="0"/>
    </w:pPr>
    <w:rPr>
      <w:rFonts w:ascii="MS PGothic" w:eastAsia="MS PGothic" w:hAnsi="MS PGothic" w:cs="MS PGothic"/>
      <w:b/>
      <w:sz w:val="48"/>
      <w:szCs w:val="48"/>
    </w:rPr>
  </w:style>
  <w:style w:type="paragraph" w:styleId="Heading2">
    <w:name w:val="heading 2"/>
    <w:basedOn w:val="Normal"/>
    <w:next w:val="Normal"/>
    <w:uiPriority w:val="9"/>
    <w:semiHidden/>
    <w:unhideWhenUsed/>
    <w:qFormat/>
    <w:pPr>
      <w:outlineLvl w:val="1"/>
    </w:pPr>
    <w:rPr>
      <w:rFonts w:ascii="MS PGothic" w:eastAsia="MS PGothic" w:hAnsi="MS PGothic" w:cs="MS PGothic"/>
      <w:b/>
      <w:sz w:val="36"/>
      <w:szCs w:val="36"/>
    </w:rPr>
  </w:style>
  <w:style w:type="paragraph" w:styleId="Heading3">
    <w:name w:val="heading 3"/>
    <w:basedOn w:val="Normal"/>
    <w:next w:val="Normal"/>
    <w:uiPriority w:val="9"/>
    <w:semiHidden/>
    <w:unhideWhenUsed/>
    <w:qFormat/>
    <w:pPr>
      <w:outlineLvl w:val="2"/>
    </w:pPr>
    <w:rPr>
      <w:rFonts w:ascii="MS PGothic" w:eastAsia="MS PGothic" w:hAnsi="MS PGothic" w:cs="MS PGothic"/>
      <w:b/>
      <w:sz w:val="27"/>
      <w:szCs w:val="27"/>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B06E1"/>
    <w:rPr>
      <w:sz w:val="18"/>
      <w:szCs w:val="18"/>
    </w:rPr>
  </w:style>
  <w:style w:type="character" w:customStyle="1" w:styleId="BalloonTextChar">
    <w:name w:val="Balloon Text Char"/>
    <w:basedOn w:val="DefaultParagraphFont"/>
    <w:link w:val="BalloonText"/>
    <w:uiPriority w:val="99"/>
    <w:semiHidden/>
    <w:rsid w:val="006B06E1"/>
    <w:rPr>
      <w:sz w:val="18"/>
      <w:szCs w:val="18"/>
    </w:rPr>
  </w:style>
  <w:style w:type="paragraph" w:styleId="Revision">
    <w:name w:val="Revision"/>
    <w:hidden/>
    <w:uiPriority w:val="99"/>
    <w:semiHidden/>
    <w:rsid w:val="0042377A"/>
  </w:style>
  <w:style w:type="paragraph" w:styleId="ListParagraph">
    <w:name w:val="List Paragraph"/>
    <w:basedOn w:val="Normal"/>
    <w:uiPriority w:val="34"/>
    <w:qFormat/>
    <w:rsid w:val="00037F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27985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ature.com/articles/s41598-020-60527-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2658</Words>
  <Characters>15153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Nivetha K.</cp:lastModifiedBy>
  <cp:revision>4</cp:revision>
  <dcterms:created xsi:type="dcterms:W3CDTF">2021-12-21T20:27:00Z</dcterms:created>
  <dcterms:modified xsi:type="dcterms:W3CDTF">2022-01-20T14:51:00Z</dcterms:modified>
</cp:coreProperties>
</file>