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0EE226" w14:textId="268D2AFA" w:rsidR="005E361E" w:rsidRDefault="005E361E" w:rsidP="005E361E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hint="eastAsia"/>
          <w:b/>
          <w:sz w:val="28"/>
          <w:szCs w:val="28"/>
        </w:rPr>
        <w:t>S</w:t>
      </w:r>
      <w:r>
        <w:rPr>
          <w:rFonts w:ascii="Times New Roman" w:hAnsi="Times New Roman" w:cs="Times New Roman"/>
          <w:b/>
          <w:sz w:val="28"/>
          <w:szCs w:val="28"/>
        </w:rPr>
        <w:t>upplementary information</w:t>
      </w:r>
    </w:p>
    <w:p w14:paraId="1AAC55E6" w14:textId="77777777" w:rsidR="00CC122D" w:rsidRDefault="00CC122D" w:rsidP="00CC122D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0682BA6" w14:textId="77777777" w:rsidR="00CC122D" w:rsidRPr="00547BCE" w:rsidRDefault="00CC122D" w:rsidP="00CC122D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47BC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Development of transgenic </w:t>
      </w:r>
      <w:r w:rsidRPr="00547BCE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Daphnia magna</w:t>
      </w:r>
      <w:r w:rsidRPr="00547BC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for visualizing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homology-directed</w:t>
      </w:r>
      <w:r w:rsidRPr="00547BC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repair of DNA</w:t>
      </w:r>
      <w:r w:rsidRPr="00547BCE" w:rsidDel="001B038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175F6A01" w14:textId="77777777" w:rsidR="00CC122D" w:rsidRDefault="00CC122D" w:rsidP="00CC122D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42727504" w14:textId="77777777" w:rsidR="00CC122D" w:rsidRPr="00547BCE" w:rsidRDefault="00CC122D" w:rsidP="00CC122D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proofErr w:type="spellStart"/>
      <w:r>
        <w:rPr>
          <w:rFonts w:ascii="Times New Roman" w:hAnsi="Times New Roman" w:cs="Times New Roman"/>
          <w:color w:val="000000" w:themeColor="text1"/>
        </w:rPr>
        <w:t>Rizky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</w:rPr>
        <w:t>Mutiara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Fatimah</w:t>
      </w:r>
      <w:r>
        <w:rPr>
          <w:rFonts w:ascii="Times New Roman" w:hAnsi="Times New Roman" w:cs="Times New Roman"/>
          <w:color w:val="000000" w:themeColor="text1"/>
          <w:vertAlign w:val="superscript"/>
        </w:rPr>
        <w:t>1,2</w:t>
      </w:r>
      <w:r w:rsidRPr="0029510D">
        <w:rPr>
          <w:rFonts w:ascii="Times New Roman" w:hAnsi="Times New Roman" w:cs="Times New Roman"/>
          <w:color w:val="000000" w:themeColor="text1"/>
        </w:rPr>
        <w:t xml:space="preserve">, </w:t>
      </w:r>
      <w:r>
        <w:rPr>
          <w:rFonts w:ascii="Times New Roman" w:hAnsi="Times New Roman" w:cs="Times New Roman"/>
          <w:color w:val="000000" w:themeColor="text1"/>
        </w:rPr>
        <w:t>Nikko Adhitama</w:t>
      </w:r>
      <w:r>
        <w:rPr>
          <w:rFonts w:ascii="Times New Roman" w:hAnsi="Times New Roman" w:cs="Times New Roman"/>
          <w:color w:val="000000" w:themeColor="text1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</w:rPr>
        <w:t xml:space="preserve">, </w:t>
      </w:r>
      <w:r w:rsidRPr="0029510D">
        <w:rPr>
          <w:rFonts w:ascii="Times New Roman" w:hAnsi="Times New Roman" w:cs="Times New Roman"/>
          <w:color w:val="000000" w:themeColor="text1"/>
        </w:rPr>
        <w:t>Yasuhiko Kato</w:t>
      </w:r>
      <w:r>
        <w:rPr>
          <w:rFonts w:ascii="Times New Roman" w:hAnsi="Times New Roman" w:cs="Times New Roman"/>
          <w:color w:val="000000" w:themeColor="text1"/>
          <w:vertAlign w:val="superscript"/>
        </w:rPr>
        <w:t>1</w:t>
      </w:r>
      <w:r w:rsidRPr="0029510D">
        <w:rPr>
          <w:rFonts w:ascii="Times New Roman" w:hAnsi="Times New Roman" w:cs="Times New Roman"/>
          <w:color w:val="000000" w:themeColor="text1"/>
        </w:rPr>
        <w:t>, Hajime Watanabe</w:t>
      </w:r>
      <w:r>
        <w:rPr>
          <w:rFonts w:ascii="Times New Roman" w:hAnsi="Times New Roman" w:cs="Times New Roman"/>
          <w:color w:val="000000" w:themeColor="text1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</w:rPr>
        <w:t>*</w:t>
      </w:r>
    </w:p>
    <w:p w14:paraId="3BFFED53" w14:textId="77777777" w:rsidR="00CC122D" w:rsidRDefault="00CC122D" w:rsidP="00CC122D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</w:rPr>
        <w:t xml:space="preserve"> Department of Biotechnology, Graduate School of Engineering, Osaka University, Suita, Osaka, Japan</w:t>
      </w:r>
    </w:p>
    <w:p w14:paraId="64405EF1" w14:textId="77777777" w:rsidR="00CC122D" w:rsidRDefault="00CC122D" w:rsidP="00CC122D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</w:rPr>
        <w:t xml:space="preserve"> Biotechnology Global Human Resource Development Program, Division of Advanced Science and Biotechnology, Department of Biotechnology, Graduate School of Engineering, Osaka University, Suita, Osaka, Japan.</w:t>
      </w:r>
    </w:p>
    <w:p w14:paraId="148742EF" w14:textId="77777777" w:rsidR="00CC122D" w:rsidRDefault="00CC122D" w:rsidP="00CC122D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241F7636" w14:textId="77777777" w:rsidR="00CC122D" w:rsidRDefault="00CC122D" w:rsidP="00CC122D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*Corresponding author:  </w:t>
      </w:r>
    </w:p>
    <w:p w14:paraId="6606AF9C" w14:textId="77777777" w:rsidR="00CC122D" w:rsidRDefault="00CC122D" w:rsidP="00CC122D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Email: </w:t>
      </w:r>
      <w:hyperlink r:id="rId11" w:history="1">
        <w:r w:rsidRPr="00BF72A8">
          <w:rPr>
            <w:rStyle w:val="Hyperlink"/>
            <w:rFonts w:ascii="Times New Roman" w:hAnsi="Times New Roman" w:cs="Times New Roman"/>
          </w:rPr>
          <w:t>watanabe@bio.eng.osaka-u.ac.jp</w:t>
        </w:r>
      </w:hyperlink>
    </w:p>
    <w:p w14:paraId="298BE424" w14:textId="77777777" w:rsidR="00CC122D" w:rsidRDefault="00CC122D" w:rsidP="00CC122D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76BC0534" w14:textId="77777777" w:rsidR="00CC122D" w:rsidRDefault="00CC122D" w:rsidP="00CC122D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10B6888C" w14:textId="77777777" w:rsidR="00CC122D" w:rsidRDefault="00CC122D" w:rsidP="005E361E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14:paraId="1306B0A9" w14:textId="77777777" w:rsidR="005E361E" w:rsidRDefault="005E361E" w:rsidP="005E361E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1E0DC5">
        <w:rPr>
          <w:noProof/>
          <w:lang w:val="en-IN" w:eastAsia="en-IN"/>
        </w:rPr>
        <w:lastRenderedPageBreak/>
        <w:drawing>
          <wp:inline distT="0" distB="0" distL="0" distR="0" wp14:anchorId="47007247" wp14:editId="772CD8F1">
            <wp:extent cx="6469826" cy="7930056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270" cy="7942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4099B" w14:textId="77777777" w:rsidR="005E361E" w:rsidRDefault="005E361E" w:rsidP="005E361E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AF357D">
        <w:rPr>
          <w:noProof/>
          <w:lang w:val="en-IN" w:eastAsia="en-IN"/>
        </w:rPr>
        <w:lastRenderedPageBreak/>
        <w:drawing>
          <wp:inline distT="0" distB="0" distL="0" distR="0" wp14:anchorId="0E8B9CE0" wp14:editId="1D0DF2A7">
            <wp:extent cx="6456282" cy="80518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5356" cy="8063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E13A5A" w14:textId="77777777" w:rsidR="005E361E" w:rsidRDefault="005E361E" w:rsidP="005E361E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14:paraId="0E886DA3" w14:textId="77777777" w:rsidR="005E361E" w:rsidRDefault="005E361E" w:rsidP="005E361E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AF357D">
        <w:rPr>
          <w:noProof/>
          <w:lang w:val="en-IN" w:eastAsia="en-IN"/>
        </w:rPr>
        <w:drawing>
          <wp:inline distT="0" distB="0" distL="0" distR="0" wp14:anchorId="3B22A9C4" wp14:editId="3BD7876A">
            <wp:extent cx="6454366" cy="37465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3224" cy="3751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2AFA7" w14:textId="77777777" w:rsidR="005E361E" w:rsidRPr="003939EC" w:rsidRDefault="005E361E" w:rsidP="005E361E">
      <w:pPr>
        <w:pStyle w:val="NormalWeb"/>
        <w:spacing w:line="480" w:lineRule="auto"/>
        <w:jc w:val="both"/>
      </w:pPr>
      <w:r w:rsidRPr="002A75AC">
        <w:rPr>
          <w:rFonts w:eastAsia="Cambria"/>
          <w:b/>
          <w:bCs/>
          <w:color w:val="000000" w:themeColor="text1"/>
          <w:kern w:val="24"/>
        </w:rPr>
        <w:t xml:space="preserve">Supplementary Figure S1. The full sequence of integrated DR-GFP reporter in the genome. </w:t>
      </w:r>
    </w:p>
    <w:p w14:paraId="6D795E4D" w14:textId="77777777" w:rsidR="005E361E" w:rsidRDefault="005E361E" w:rsidP="005E361E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423987F" w14:textId="4AF53FB5" w:rsidR="005E361E" w:rsidRDefault="00877D9A" w:rsidP="005E361E">
      <w:p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99E390" wp14:editId="2A40A7E3">
                <wp:simplePos x="0" y="0"/>
                <wp:positionH relativeFrom="column">
                  <wp:posOffset>-126365</wp:posOffset>
                </wp:positionH>
                <wp:positionV relativeFrom="paragraph">
                  <wp:posOffset>154940</wp:posOffset>
                </wp:positionV>
                <wp:extent cx="438150" cy="24765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47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BBF0B27" id="正方形/長方形 1" o:spid="_x0000_s1026" style="position:absolute;left:0;text-align:left;margin-left:-9.95pt;margin-top:12.2pt;width:34.5pt;height:19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" fillcolor="white [3212]" strokecolor="white [3212]" strokeweight="1pt"/>
            </w:pict>
          </mc:Fallback>
        </mc:AlternateContent>
      </w:r>
      <w:r w:rsidR="005E361E" w:rsidRPr="008C525E">
        <w:rPr>
          <w:rFonts w:ascii="Times New Roman" w:hAnsi="Times New Roman" w:cs="Times New Roman"/>
          <w:b/>
          <w:noProof/>
          <w:sz w:val="28"/>
          <w:szCs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72C4B9" wp14:editId="687B700C">
                <wp:simplePos x="0" y="0"/>
                <wp:positionH relativeFrom="page">
                  <wp:posOffset>6925310</wp:posOffset>
                </wp:positionH>
                <wp:positionV relativeFrom="paragraph">
                  <wp:posOffset>1278255</wp:posOffset>
                </wp:positionV>
                <wp:extent cx="6574790" cy="774065"/>
                <wp:effectExtent l="0" t="0" r="0" b="0"/>
                <wp:wrapNone/>
                <wp:docPr id="7" name="Text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4790" cy="7740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4448388" w14:textId="77777777" w:rsidR="005E361E" w:rsidRDefault="005E361E" w:rsidP="005E361E">
                            <w:pPr>
                              <w:pStyle w:val="NormalWeb"/>
                              <w:spacing w:before="0" w:beforeAutospacing="0" w:after="0" w:afterAutospacing="0" w:line="480" w:lineRule="auto"/>
                              <w:jc w:val="both"/>
                            </w:pP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672C4B9" id="_x0000_t202" coordsize="21600,21600" o:spt="202" path="m,l,21600r21600,l21600,xe">
                <v:stroke joinstyle="miter"/>
                <v:path gradientshapeok="t" o:connecttype="rect"/>
              </v:shapetype>
              <v:shape id="TextBox 36" o:spid="_x0000_s1026" type="#_x0000_t202" style="position:absolute;left:0;text-align:left;margin-left:545.3pt;margin-top:100.65pt;width:517.7pt;height:60.95pt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" filled="f" stroked="f">
                <v:textbox style="mso-fit-shape-to-text:t">
                  <w:txbxContent>
                    <w:p w14:paraId="64448388" w14:textId="77777777" w:rsidR="005E361E" w:rsidRDefault="005E361E" w:rsidP="005E361E">
                      <w:pPr>
                        <w:pStyle w:val="Web"/>
                        <w:spacing w:before="0" w:beforeAutospacing="0" w:after="0" w:afterAutospacing="0" w:line="480" w:lineRule="auto"/>
                        <w:jc w:val="both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C0315">
        <w:rPr>
          <w:rFonts w:ascii="Times New Roman" w:hAnsi="Times New Roman" w:cs="Times New Roman"/>
          <w:b/>
          <w:noProof/>
          <w:sz w:val="28"/>
          <w:szCs w:val="28"/>
          <w:lang w:val="en-IN" w:eastAsia="en-IN"/>
        </w:rPr>
        <w:drawing>
          <wp:inline distT="0" distB="0" distL="0" distR="0" wp14:anchorId="3D5B246B" wp14:editId="7700A993">
            <wp:extent cx="5375097" cy="66947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9300" cy="6899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9E28F6" w14:textId="77777777" w:rsidR="005E361E" w:rsidRDefault="005E361E" w:rsidP="005E361E">
      <w:pPr>
        <w:pStyle w:val="NormalWeb"/>
        <w:spacing w:before="0" w:beforeAutospacing="0" w:after="0" w:afterAutospacing="0" w:line="360" w:lineRule="auto"/>
        <w:jc w:val="both"/>
      </w:pPr>
      <w:r>
        <w:rPr>
          <w:rFonts w:eastAsia="Cambria"/>
          <w:b/>
          <w:bCs/>
          <w:color w:val="000000" w:themeColor="text1"/>
          <w:kern w:val="24"/>
        </w:rPr>
        <w:t>Supplementary Figure S2. Distal-less (</w:t>
      </w:r>
      <w:proofErr w:type="spellStart"/>
      <w:r>
        <w:rPr>
          <w:rFonts w:eastAsia="Cambria"/>
          <w:b/>
          <w:bCs/>
          <w:color w:val="000000" w:themeColor="text1"/>
          <w:kern w:val="24"/>
        </w:rPr>
        <w:t>Dll</w:t>
      </w:r>
      <w:proofErr w:type="spellEnd"/>
      <w:r>
        <w:rPr>
          <w:rFonts w:eastAsia="Cambria"/>
          <w:b/>
          <w:bCs/>
          <w:color w:val="000000" w:themeColor="text1"/>
          <w:kern w:val="24"/>
        </w:rPr>
        <w:t xml:space="preserve">) </w:t>
      </w:r>
      <w:proofErr w:type="spellStart"/>
      <w:r>
        <w:rPr>
          <w:rFonts w:eastAsia="Cambria"/>
          <w:b/>
          <w:bCs/>
          <w:color w:val="000000" w:themeColor="text1"/>
          <w:kern w:val="24"/>
        </w:rPr>
        <w:t>gRNA</w:t>
      </w:r>
      <w:proofErr w:type="spellEnd"/>
      <w:r>
        <w:rPr>
          <w:rFonts w:eastAsia="Cambria"/>
          <w:b/>
          <w:bCs/>
          <w:color w:val="000000" w:themeColor="text1"/>
          <w:kern w:val="24"/>
        </w:rPr>
        <w:t xml:space="preserve"> location. </w:t>
      </w:r>
      <w:r>
        <w:rPr>
          <w:rFonts w:eastAsia="Cambria"/>
          <w:color w:val="000000" w:themeColor="text1"/>
          <w:kern w:val="24"/>
        </w:rPr>
        <w:t xml:space="preserve">Illustration of exon 1 and 2 of </w:t>
      </w:r>
      <w:proofErr w:type="spellStart"/>
      <w:r>
        <w:rPr>
          <w:rFonts w:eastAsia="Cambria"/>
          <w:i/>
          <w:iCs/>
          <w:color w:val="000000" w:themeColor="text1"/>
          <w:kern w:val="24"/>
        </w:rPr>
        <w:t>Dll</w:t>
      </w:r>
      <w:proofErr w:type="spellEnd"/>
      <w:r>
        <w:rPr>
          <w:rFonts w:eastAsia="Cambria"/>
          <w:i/>
          <w:iCs/>
          <w:color w:val="000000" w:themeColor="text1"/>
          <w:kern w:val="24"/>
        </w:rPr>
        <w:t xml:space="preserve"> </w:t>
      </w:r>
      <w:r>
        <w:rPr>
          <w:rFonts w:eastAsia="Cambria"/>
          <w:color w:val="000000" w:themeColor="text1"/>
          <w:kern w:val="24"/>
        </w:rPr>
        <w:t xml:space="preserve">gene in </w:t>
      </w:r>
      <w:r w:rsidRPr="003939EC">
        <w:rPr>
          <w:rFonts w:eastAsia="Cambria"/>
          <w:i/>
          <w:iCs/>
          <w:color w:val="000000" w:themeColor="text1"/>
          <w:kern w:val="24"/>
        </w:rPr>
        <w:t>D</w:t>
      </w:r>
      <w:r>
        <w:rPr>
          <w:rFonts w:eastAsia="Cambria"/>
          <w:color w:val="000000" w:themeColor="text1"/>
          <w:kern w:val="24"/>
        </w:rPr>
        <w:t>.</w:t>
      </w:r>
      <w:r>
        <w:rPr>
          <w:rFonts w:eastAsia="Cambria"/>
          <w:i/>
          <w:iCs/>
          <w:color w:val="000000" w:themeColor="text1"/>
          <w:kern w:val="24"/>
        </w:rPr>
        <w:t xml:space="preserve"> magna</w:t>
      </w:r>
      <w:r>
        <w:rPr>
          <w:rFonts w:eastAsia="Cambria"/>
          <w:color w:val="000000" w:themeColor="text1"/>
          <w:kern w:val="24"/>
        </w:rPr>
        <w:t>.</w:t>
      </w:r>
      <w:r>
        <w:rPr>
          <w:rFonts w:eastAsia="Cambria"/>
          <w:b/>
          <w:bCs/>
          <w:color w:val="000000" w:themeColor="text1"/>
          <w:kern w:val="24"/>
        </w:rPr>
        <w:t xml:space="preserve"> </w:t>
      </w:r>
      <w:r>
        <w:rPr>
          <w:rFonts w:eastAsia="Cambria"/>
          <w:color w:val="000000" w:themeColor="text1"/>
          <w:kern w:val="24"/>
        </w:rPr>
        <w:t xml:space="preserve">gRNA target (dash line) is located upstream of the homeodomain region (light grey box) of </w:t>
      </w:r>
      <w:proofErr w:type="spellStart"/>
      <w:r>
        <w:rPr>
          <w:rFonts w:eastAsia="Cambria"/>
          <w:i/>
          <w:iCs/>
          <w:color w:val="000000" w:themeColor="text1"/>
          <w:kern w:val="24"/>
        </w:rPr>
        <w:t>Dll</w:t>
      </w:r>
      <w:proofErr w:type="spellEnd"/>
      <w:r>
        <w:rPr>
          <w:rFonts w:eastAsia="Cambria"/>
          <w:color w:val="000000" w:themeColor="text1"/>
          <w:kern w:val="24"/>
        </w:rPr>
        <w:t xml:space="preserve"> gene. </w:t>
      </w:r>
    </w:p>
    <w:p w14:paraId="663BB609" w14:textId="77777777" w:rsidR="005E361E" w:rsidRDefault="005E361E" w:rsidP="005E361E">
      <w:pPr>
        <w:spacing w:after="160" w:line="259" w:lineRule="auto"/>
        <w:rPr>
          <w:noProof/>
        </w:rPr>
      </w:pPr>
      <w:r>
        <w:rPr>
          <w:noProof/>
        </w:rPr>
        <w:br w:type="page"/>
      </w:r>
    </w:p>
    <w:p w14:paraId="1BC3729B" w14:textId="768126C3" w:rsidR="005E361E" w:rsidRPr="00A24388" w:rsidRDefault="00464646" w:rsidP="005E361E">
      <w:p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en-IN" w:eastAsia="en-IN"/>
        </w:rPr>
        <w:drawing>
          <wp:inline distT="0" distB="0" distL="0" distR="0" wp14:anchorId="2A6C1901" wp14:editId="05232A9D">
            <wp:extent cx="5643044" cy="207053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182" cy="20903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0685D6" w14:textId="7DE66635" w:rsidR="00EC01A4" w:rsidRPr="00EC01A4" w:rsidRDefault="00EC01A4" w:rsidP="00EC01A4">
      <w:pPr>
        <w:spacing w:after="160" w:line="259" w:lineRule="auto"/>
        <w:jc w:val="both"/>
        <w:rPr>
          <w:rFonts w:ascii="Times New Roman" w:hAnsi="Times New Roman" w:cs="Times New Roman"/>
          <w:bCs/>
          <w:szCs w:val="28"/>
        </w:rPr>
      </w:pPr>
      <w:r w:rsidRPr="00EC01A4">
        <w:rPr>
          <w:rFonts w:ascii="Times New Roman" w:hAnsi="Times New Roman" w:cs="Times New Roman"/>
          <w:b/>
          <w:bCs/>
          <w:szCs w:val="28"/>
        </w:rPr>
        <w:t>Figure S3. Gel electrophoresis of the qPCR result. (A)</w:t>
      </w:r>
      <w:r w:rsidRPr="00EC01A4">
        <w:rPr>
          <w:rFonts w:ascii="Times New Roman" w:hAnsi="Times New Roman" w:cs="Times New Roman"/>
          <w:bCs/>
          <w:szCs w:val="28"/>
        </w:rPr>
        <w:t xml:space="preserve"> The first lane is the marker (m). Repaired </w:t>
      </w:r>
      <w:proofErr w:type="spellStart"/>
      <w:r w:rsidRPr="00EC01A4">
        <w:rPr>
          <w:rFonts w:ascii="Times New Roman" w:hAnsi="Times New Roman" w:cs="Times New Roman"/>
          <w:bCs/>
          <w:i/>
          <w:iCs/>
          <w:szCs w:val="28"/>
        </w:rPr>
        <w:t>SceGFP</w:t>
      </w:r>
      <w:proofErr w:type="spellEnd"/>
      <w:r w:rsidRPr="00EC01A4">
        <w:rPr>
          <w:rFonts w:ascii="Times New Roman" w:hAnsi="Times New Roman" w:cs="Times New Roman"/>
          <w:bCs/>
          <w:szCs w:val="28"/>
        </w:rPr>
        <w:t xml:space="preserve"> PCR product which was expected to be 449 bp was only observed in the Cas9 protein (lane 8-10) and mRNA (lane 10-12) co-injection with </w:t>
      </w:r>
      <w:proofErr w:type="spellStart"/>
      <w:r w:rsidRPr="00EC01A4">
        <w:rPr>
          <w:rFonts w:ascii="Times New Roman" w:hAnsi="Times New Roman" w:cs="Times New Roman"/>
          <w:bCs/>
          <w:szCs w:val="28"/>
        </w:rPr>
        <w:t>SceI</w:t>
      </w:r>
      <w:proofErr w:type="spellEnd"/>
      <w:r w:rsidRPr="00EC01A4">
        <w:rPr>
          <w:rFonts w:ascii="Times New Roman" w:hAnsi="Times New Roman" w:cs="Times New Roman"/>
          <w:bCs/>
          <w:szCs w:val="28"/>
        </w:rPr>
        <w:t xml:space="preserve"> </w:t>
      </w:r>
      <w:proofErr w:type="spellStart"/>
      <w:r w:rsidRPr="00EC01A4">
        <w:rPr>
          <w:rFonts w:ascii="Times New Roman" w:hAnsi="Times New Roman" w:cs="Times New Roman"/>
          <w:bCs/>
          <w:szCs w:val="28"/>
        </w:rPr>
        <w:t>gRNA</w:t>
      </w:r>
      <w:proofErr w:type="spellEnd"/>
      <w:r w:rsidRPr="00EC01A4">
        <w:rPr>
          <w:rFonts w:ascii="Times New Roman" w:hAnsi="Times New Roman" w:cs="Times New Roman"/>
          <w:bCs/>
          <w:szCs w:val="28"/>
        </w:rPr>
        <w:t xml:space="preserve">. </w:t>
      </w:r>
      <w:r w:rsidRPr="00EC01A4">
        <w:rPr>
          <w:rFonts w:ascii="Times New Roman" w:hAnsi="Times New Roman" w:cs="Times New Roman"/>
          <w:b/>
          <w:bCs/>
          <w:szCs w:val="28"/>
        </w:rPr>
        <w:t>(B)</w:t>
      </w:r>
      <w:r w:rsidRPr="00EC01A4">
        <w:rPr>
          <w:rFonts w:ascii="Times New Roman" w:hAnsi="Times New Roman" w:cs="Times New Roman"/>
          <w:bCs/>
          <w:szCs w:val="28"/>
        </w:rPr>
        <w:t xml:space="preserve"> The DNA marker was put in the first lane. All of the samples (lane 2-13) showed a band </w:t>
      </w:r>
      <w:r w:rsidR="00A80A62">
        <w:rPr>
          <w:rFonts w:ascii="Times New Roman" w:hAnsi="Times New Roman" w:cs="Times New Roman"/>
          <w:bCs/>
          <w:szCs w:val="28"/>
        </w:rPr>
        <w:t>that</w:t>
      </w:r>
      <w:r w:rsidRPr="00EC01A4">
        <w:rPr>
          <w:rFonts w:ascii="Times New Roman" w:hAnsi="Times New Roman" w:cs="Times New Roman"/>
          <w:bCs/>
          <w:szCs w:val="28"/>
        </w:rPr>
        <w:t xml:space="preserve"> was expected to be 67 bp </w:t>
      </w:r>
      <w:r w:rsidR="00A80A62">
        <w:rPr>
          <w:rFonts w:ascii="Times New Roman" w:hAnsi="Times New Roman" w:cs="Times New Roman"/>
          <w:bCs/>
          <w:szCs w:val="28"/>
        </w:rPr>
        <w:t xml:space="preserve">that </w:t>
      </w:r>
      <w:r w:rsidRPr="00EC01A4">
        <w:rPr>
          <w:rFonts w:ascii="Times New Roman" w:hAnsi="Times New Roman" w:cs="Times New Roman"/>
          <w:bCs/>
          <w:szCs w:val="28"/>
        </w:rPr>
        <w:t xml:space="preserve">indicated the PCR product of L32 as an endogenous gene for control of cDNA template. </w:t>
      </w:r>
    </w:p>
    <w:p w14:paraId="64AFBBC8" w14:textId="1549024A" w:rsidR="005E361E" w:rsidRDefault="00EC01A4" w:rsidP="00EC01A4">
      <w:pPr>
        <w:spacing w:after="160" w:line="259" w:lineRule="auto"/>
        <w:rPr>
          <w:rFonts w:ascii="Times New Roman" w:hAnsi="Times New Roman" w:cs="Times New Roman"/>
          <w:b/>
          <w:bCs/>
        </w:rPr>
      </w:pPr>
      <w:r w:rsidRPr="00EC01A4">
        <w:rPr>
          <w:rFonts w:ascii="Times New Roman" w:hAnsi="Times New Roman" w:cs="Times New Roman"/>
          <w:b/>
          <w:bCs/>
          <w:szCs w:val="28"/>
        </w:rPr>
        <w:t xml:space="preserve"> </w:t>
      </w:r>
      <w:r w:rsidR="005E361E">
        <w:rPr>
          <w:rFonts w:ascii="Times New Roman" w:hAnsi="Times New Roman" w:cs="Times New Roman"/>
          <w:b/>
          <w:bCs/>
        </w:rPr>
        <w:br w:type="page"/>
      </w:r>
    </w:p>
    <w:p w14:paraId="41ED9D8B" w14:textId="77777777" w:rsidR="00AC0315" w:rsidRDefault="00AC0315" w:rsidP="005E361E">
      <w:pPr>
        <w:spacing w:line="360" w:lineRule="auto"/>
        <w:jc w:val="both"/>
        <w:rPr>
          <w:rFonts w:ascii="Times New Roman" w:hAnsi="Times New Roman" w:cs="Times New Roman"/>
          <w:b/>
          <w:bCs/>
        </w:rPr>
        <w:sectPr w:rsidR="00AC0315" w:rsidSect="007D533C">
          <w:footerReference w:type="default" r:id="rId17"/>
          <w:pgSz w:w="11900" w:h="16840"/>
          <w:pgMar w:top="1440" w:right="1699" w:bottom="1411" w:left="1699" w:header="720" w:footer="720" w:gutter="0"/>
          <w:cols w:space="720"/>
          <w:docGrid w:linePitch="360"/>
        </w:sectPr>
      </w:pPr>
    </w:p>
    <w:p w14:paraId="29707B33" w14:textId="697CE130" w:rsidR="00AC0315" w:rsidRDefault="002E4CBD" w:rsidP="005E361E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0205CE2F" wp14:editId="6438E8E1">
            <wp:extent cx="6565265" cy="2080501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855" cy="21250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311F64" w14:textId="5E279949" w:rsidR="00AC0315" w:rsidRPr="00A80A62" w:rsidRDefault="00AC0315" w:rsidP="00AC0315">
      <w:pPr>
        <w:pStyle w:val="NormalWeb"/>
        <w:spacing w:before="0" w:beforeAutospacing="0" w:after="0" w:afterAutospacing="0"/>
        <w:jc w:val="both"/>
      </w:pPr>
      <w:r>
        <w:rPr>
          <w:b/>
          <w:bCs/>
          <w:color w:val="000000" w:themeColor="text1"/>
          <w:kern w:val="24"/>
        </w:rPr>
        <w:t xml:space="preserve">Figure S4. The full length of gels in Figure </w:t>
      </w:r>
      <w:r w:rsidR="00E30328">
        <w:rPr>
          <w:b/>
          <w:bCs/>
          <w:color w:val="000000" w:themeColor="text1"/>
          <w:kern w:val="24"/>
        </w:rPr>
        <w:t>3</w:t>
      </w:r>
      <w:r>
        <w:rPr>
          <w:b/>
          <w:bCs/>
          <w:color w:val="000000" w:themeColor="text1"/>
          <w:kern w:val="24"/>
        </w:rPr>
        <w:t xml:space="preserve"> and Figure </w:t>
      </w:r>
      <w:r w:rsidR="00E30328">
        <w:rPr>
          <w:b/>
          <w:bCs/>
          <w:color w:val="000000" w:themeColor="text1"/>
          <w:kern w:val="24"/>
        </w:rPr>
        <w:t>5</w:t>
      </w:r>
      <w:r w:rsidR="002E4CBD">
        <w:rPr>
          <w:color w:val="000000" w:themeColor="text1"/>
          <w:kern w:val="24"/>
        </w:rPr>
        <w:t xml:space="preserve"> </w:t>
      </w:r>
      <w:r w:rsidR="002E4CBD" w:rsidRPr="002E4CBD">
        <w:rPr>
          <w:b/>
          <w:color w:val="000000" w:themeColor="text1"/>
          <w:kern w:val="24"/>
        </w:rPr>
        <w:t>(</w:t>
      </w:r>
      <w:r w:rsidR="002E4CBD">
        <w:rPr>
          <w:b/>
          <w:color w:val="000000" w:themeColor="text1"/>
          <w:kern w:val="24"/>
        </w:rPr>
        <w:t>A</w:t>
      </w:r>
      <w:r w:rsidR="002E4CBD" w:rsidRPr="002E4CBD">
        <w:rPr>
          <w:b/>
          <w:color w:val="000000" w:themeColor="text1"/>
          <w:kern w:val="24"/>
        </w:rPr>
        <w:t>)</w:t>
      </w:r>
      <w:r w:rsidR="00A80A62">
        <w:rPr>
          <w:b/>
          <w:color w:val="000000" w:themeColor="text1"/>
          <w:kern w:val="24"/>
        </w:rPr>
        <w:t xml:space="preserve"> </w:t>
      </w:r>
      <w:r w:rsidR="00A80A62" w:rsidRPr="00A80A62">
        <w:rPr>
          <w:color w:val="000000" w:themeColor="text1"/>
          <w:kern w:val="24"/>
        </w:rPr>
        <w:t xml:space="preserve">PCR result </w:t>
      </w:r>
      <w:r w:rsidR="00A80A62">
        <w:rPr>
          <w:color w:val="000000" w:themeColor="text1"/>
          <w:kern w:val="24"/>
        </w:rPr>
        <w:t xml:space="preserve">for DR-GFP genotyping </w:t>
      </w:r>
      <w:r w:rsidR="00A80A62" w:rsidRPr="00A80A62">
        <w:rPr>
          <w:color w:val="000000" w:themeColor="text1"/>
          <w:kern w:val="24"/>
        </w:rPr>
        <w:t>was visualized by gel electrophoresis. The first lane is the marker</w:t>
      </w:r>
      <w:r w:rsidR="00A80A62">
        <w:rPr>
          <w:color w:val="000000" w:themeColor="text1"/>
          <w:kern w:val="24"/>
        </w:rPr>
        <w:t xml:space="preserve"> (m)</w:t>
      </w:r>
      <w:r w:rsidR="00A80A62" w:rsidRPr="00A80A62">
        <w:rPr>
          <w:color w:val="000000" w:themeColor="text1"/>
          <w:kern w:val="24"/>
        </w:rPr>
        <w:t xml:space="preserve">, followed by fragments A, B, C, and β-actin (beta-actin) for both wild type and DR-GFP line </w:t>
      </w:r>
      <w:r w:rsidR="00A80A62" w:rsidRPr="00A80A62">
        <w:rPr>
          <w:i/>
          <w:iCs/>
          <w:color w:val="000000" w:themeColor="text1"/>
          <w:kern w:val="24"/>
        </w:rPr>
        <w:t>Daphnia</w:t>
      </w:r>
      <w:r w:rsidR="00A80A62" w:rsidRPr="00A80A62">
        <w:rPr>
          <w:color w:val="000000" w:themeColor="text1"/>
          <w:kern w:val="24"/>
        </w:rPr>
        <w:t xml:space="preserve">. In the sample using DR-GFP line </w:t>
      </w:r>
      <w:r w:rsidR="00A80A62" w:rsidRPr="00A80A62">
        <w:rPr>
          <w:i/>
          <w:iCs/>
          <w:color w:val="000000" w:themeColor="text1"/>
          <w:kern w:val="24"/>
        </w:rPr>
        <w:t xml:space="preserve">Daphnia, </w:t>
      </w:r>
      <w:r w:rsidR="00A80A62" w:rsidRPr="00A80A62">
        <w:rPr>
          <w:color w:val="000000" w:themeColor="text1"/>
          <w:kern w:val="24"/>
        </w:rPr>
        <w:t>all fragments except the 5′ junctions</w:t>
      </w:r>
      <w:r w:rsidR="00A80A62">
        <w:rPr>
          <w:color w:val="000000" w:themeColor="text1"/>
          <w:kern w:val="24"/>
        </w:rPr>
        <w:t>, Fragment A,</w:t>
      </w:r>
      <w:r w:rsidR="00A80A62" w:rsidRPr="00A80A62">
        <w:rPr>
          <w:color w:val="000000" w:themeColor="text1"/>
          <w:kern w:val="24"/>
        </w:rPr>
        <w:t xml:space="preserve"> were amplified</w:t>
      </w:r>
      <w:r w:rsidR="00A80A62" w:rsidRPr="00A80A62">
        <w:rPr>
          <w:b/>
          <w:color w:val="000000" w:themeColor="text1"/>
          <w:kern w:val="24"/>
        </w:rPr>
        <w:t xml:space="preserve"> </w:t>
      </w:r>
      <w:r w:rsidR="00A80A62" w:rsidRPr="00A80A62">
        <w:rPr>
          <w:color w:val="000000" w:themeColor="text1"/>
          <w:kern w:val="24"/>
        </w:rPr>
        <w:t>(</w:t>
      </w:r>
      <w:r w:rsidR="00A80A62">
        <w:rPr>
          <w:color w:val="000000" w:themeColor="text1"/>
          <w:kern w:val="24"/>
        </w:rPr>
        <w:t>lane 6-9</w:t>
      </w:r>
      <w:r w:rsidR="00A80A62" w:rsidRPr="00A80A62">
        <w:rPr>
          <w:color w:val="000000" w:themeColor="text1"/>
          <w:kern w:val="24"/>
        </w:rPr>
        <w:t>)</w:t>
      </w:r>
      <w:r w:rsidR="00A80A62">
        <w:rPr>
          <w:color w:val="000000" w:themeColor="text1"/>
          <w:kern w:val="24"/>
        </w:rPr>
        <w:t xml:space="preserve">. In the wildtype sample only the </w:t>
      </w:r>
      <w:r w:rsidR="00A80A62" w:rsidRPr="00A80A62">
        <w:rPr>
          <w:color w:val="000000" w:themeColor="text1"/>
          <w:kern w:val="24"/>
        </w:rPr>
        <w:t>β-actin</w:t>
      </w:r>
      <w:r w:rsidR="00A80A62">
        <w:rPr>
          <w:color w:val="000000" w:themeColor="text1"/>
          <w:kern w:val="24"/>
        </w:rPr>
        <w:t xml:space="preserve"> band was amplified (line 5). </w:t>
      </w:r>
      <w:r w:rsidR="00A80A62" w:rsidRPr="00A80A62">
        <w:rPr>
          <w:b/>
          <w:color w:val="000000" w:themeColor="text1"/>
          <w:kern w:val="24"/>
        </w:rPr>
        <w:t>(</w:t>
      </w:r>
      <w:r w:rsidR="00A80A62">
        <w:rPr>
          <w:b/>
          <w:color w:val="000000" w:themeColor="text1"/>
          <w:kern w:val="24"/>
        </w:rPr>
        <w:t>B</w:t>
      </w:r>
      <w:r w:rsidR="00A80A62" w:rsidRPr="00A80A62">
        <w:rPr>
          <w:b/>
          <w:color w:val="000000" w:themeColor="text1"/>
          <w:kern w:val="24"/>
        </w:rPr>
        <w:t>)</w:t>
      </w:r>
      <w:r w:rsidR="00A80A62" w:rsidRPr="00A80A62">
        <w:rPr>
          <w:color w:val="000000" w:themeColor="text1"/>
          <w:kern w:val="24"/>
        </w:rPr>
        <w:t xml:space="preserve"> </w:t>
      </w:r>
      <w:r w:rsidR="00A80A62">
        <w:rPr>
          <w:color w:val="000000" w:themeColor="text1"/>
          <w:kern w:val="24"/>
        </w:rPr>
        <w:t xml:space="preserve">PCR result for genotyping after DSB introduction was shown in the gel electrophoresis. </w:t>
      </w:r>
      <w:r w:rsidR="00A80A62" w:rsidRPr="00A80A62">
        <w:rPr>
          <w:color w:val="000000" w:themeColor="text1"/>
          <w:kern w:val="24"/>
        </w:rPr>
        <w:t xml:space="preserve">The most left lane indicated the DNA marker (m) followed by amplified genome fragments (lanes 1-9) from Cas9 Protein and </w:t>
      </w:r>
      <w:proofErr w:type="spellStart"/>
      <w:r w:rsidR="00A80A62" w:rsidRPr="00A80A62">
        <w:rPr>
          <w:color w:val="000000" w:themeColor="text1"/>
          <w:kern w:val="24"/>
        </w:rPr>
        <w:t>SceI</w:t>
      </w:r>
      <w:proofErr w:type="spellEnd"/>
      <w:r w:rsidR="00A80A62" w:rsidRPr="00A80A62">
        <w:rPr>
          <w:color w:val="000000" w:themeColor="text1"/>
          <w:kern w:val="24"/>
        </w:rPr>
        <w:t xml:space="preserve"> </w:t>
      </w:r>
      <w:proofErr w:type="spellStart"/>
      <w:r w:rsidR="00A80A62" w:rsidRPr="00A80A62">
        <w:rPr>
          <w:color w:val="000000" w:themeColor="text1"/>
          <w:kern w:val="24"/>
        </w:rPr>
        <w:t>gRNA</w:t>
      </w:r>
      <w:proofErr w:type="spellEnd"/>
      <w:r w:rsidR="00A80A62" w:rsidRPr="00A80A62">
        <w:rPr>
          <w:color w:val="000000" w:themeColor="text1"/>
          <w:kern w:val="24"/>
        </w:rPr>
        <w:t xml:space="preserve"> injected embryos. </w:t>
      </w:r>
      <w:proofErr w:type="spellStart"/>
      <w:r w:rsidR="00A80A62" w:rsidRPr="00A80A62">
        <w:rPr>
          <w:color w:val="000000" w:themeColor="text1"/>
          <w:kern w:val="24"/>
        </w:rPr>
        <w:t>Uninjected</w:t>
      </w:r>
      <w:proofErr w:type="spellEnd"/>
      <w:r w:rsidR="00A80A62" w:rsidRPr="00A80A62">
        <w:rPr>
          <w:color w:val="000000" w:themeColor="text1"/>
          <w:kern w:val="24"/>
        </w:rPr>
        <w:t xml:space="preserve"> DR-GFP (lane 10-12) was used as the negative control.  The primer set amplified the repaired </w:t>
      </w:r>
      <w:proofErr w:type="spellStart"/>
      <w:r w:rsidR="00A80A62" w:rsidRPr="00A80A62">
        <w:rPr>
          <w:i/>
          <w:iCs/>
          <w:color w:val="000000" w:themeColor="text1"/>
          <w:kern w:val="24"/>
        </w:rPr>
        <w:t>SceGFP</w:t>
      </w:r>
      <w:proofErr w:type="spellEnd"/>
      <w:r w:rsidR="00A80A62" w:rsidRPr="00A80A62">
        <w:rPr>
          <w:color w:val="000000" w:themeColor="text1"/>
          <w:kern w:val="24"/>
        </w:rPr>
        <w:t xml:space="preserve"> region with the length 1,048 </w:t>
      </w:r>
      <w:proofErr w:type="spellStart"/>
      <w:r w:rsidR="00A80A62" w:rsidRPr="00A80A62">
        <w:rPr>
          <w:color w:val="000000" w:themeColor="text1"/>
          <w:kern w:val="24"/>
        </w:rPr>
        <w:t>bp</w:t>
      </w:r>
      <w:proofErr w:type="spellEnd"/>
      <w:r w:rsidR="00A80A62" w:rsidRPr="00A80A62">
        <w:rPr>
          <w:color w:val="000000" w:themeColor="text1"/>
          <w:kern w:val="24"/>
        </w:rPr>
        <w:t xml:space="preserve"> (</w:t>
      </w:r>
      <w:proofErr w:type="spellStart"/>
      <w:r w:rsidR="00A80A62" w:rsidRPr="00A80A62">
        <w:rPr>
          <w:color w:val="000000" w:themeColor="text1"/>
          <w:kern w:val="24"/>
        </w:rPr>
        <w:t>i</w:t>
      </w:r>
      <w:proofErr w:type="spellEnd"/>
      <w:r w:rsidR="00A80A62" w:rsidRPr="00A80A62">
        <w:rPr>
          <w:color w:val="000000" w:themeColor="text1"/>
          <w:kern w:val="24"/>
        </w:rPr>
        <w:t xml:space="preserve">). The reverse primer was also attached to the </w:t>
      </w:r>
      <w:proofErr w:type="spellStart"/>
      <w:r w:rsidR="00A80A62" w:rsidRPr="00A80A62">
        <w:rPr>
          <w:i/>
          <w:iCs/>
          <w:color w:val="000000" w:themeColor="text1"/>
          <w:kern w:val="24"/>
        </w:rPr>
        <w:t>iGFP</w:t>
      </w:r>
      <w:proofErr w:type="spellEnd"/>
      <w:r w:rsidR="00A80A62" w:rsidRPr="00A80A62">
        <w:rPr>
          <w:color w:val="000000" w:themeColor="text1"/>
          <w:kern w:val="24"/>
        </w:rPr>
        <w:t xml:space="preserve"> region, which resulted in a 2,843 bp length PCR product (ii)</w:t>
      </w:r>
      <w:r w:rsidRPr="00A80A62">
        <w:rPr>
          <w:color w:val="000000" w:themeColor="text1"/>
          <w:kern w:val="24"/>
        </w:rPr>
        <w:t xml:space="preserve"> </w:t>
      </w:r>
    </w:p>
    <w:p w14:paraId="22BAAD4C" w14:textId="77777777" w:rsidR="00AC0315" w:rsidRDefault="00AC0315" w:rsidP="005E361E">
      <w:pPr>
        <w:spacing w:line="360" w:lineRule="auto"/>
        <w:jc w:val="both"/>
        <w:rPr>
          <w:rFonts w:ascii="Times New Roman" w:hAnsi="Times New Roman" w:cs="Times New Roman"/>
          <w:b/>
          <w:bCs/>
        </w:rPr>
        <w:sectPr w:rsidR="00AC0315" w:rsidSect="007D533C">
          <w:pgSz w:w="11900" w:h="16840"/>
          <w:pgMar w:top="1440" w:right="1699" w:bottom="1411" w:left="1699" w:header="720" w:footer="720" w:gutter="0"/>
          <w:cols w:space="720"/>
          <w:docGrid w:linePitch="360"/>
        </w:sectPr>
      </w:pPr>
    </w:p>
    <w:p w14:paraId="4C94BBF4" w14:textId="77777777" w:rsidR="00AC0315" w:rsidRDefault="005E361E" w:rsidP="005E361E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Supplementary </w:t>
      </w:r>
      <w:r w:rsidRPr="003C2110">
        <w:rPr>
          <w:rFonts w:ascii="Times New Roman" w:hAnsi="Times New Roman" w:cs="Times New Roman"/>
          <w:b/>
          <w:bCs/>
        </w:rPr>
        <w:t xml:space="preserve">Table S1. Summary of </w:t>
      </w:r>
      <w:proofErr w:type="spellStart"/>
      <w:r w:rsidRPr="003C2110">
        <w:rPr>
          <w:rFonts w:ascii="Times New Roman" w:hAnsi="Times New Roman" w:cs="Times New Roman"/>
          <w:b/>
          <w:bCs/>
        </w:rPr>
        <w:t>Dll</w:t>
      </w:r>
      <w:proofErr w:type="spellEnd"/>
      <w:r w:rsidRPr="003C211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C2110">
        <w:rPr>
          <w:rFonts w:ascii="Times New Roman" w:hAnsi="Times New Roman" w:cs="Times New Roman"/>
          <w:b/>
          <w:bCs/>
        </w:rPr>
        <w:t>gRNA</w:t>
      </w:r>
      <w:proofErr w:type="spellEnd"/>
      <w:r w:rsidRPr="003C2110">
        <w:rPr>
          <w:rFonts w:ascii="Times New Roman" w:hAnsi="Times New Roman" w:cs="Times New Roman"/>
          <w:b/>
          <w:bCs/>
        </w:rPr>
        <w:t xml:space="preserve"> </w:t>
      </w:r>
      <w:r w:rsidR="00AC0315">
        <w:rPr>
          <w:rFonts w:ascii="Times New Roman" w:hAnsi="Times New Roman" w:cs="Times New Roman"/>
          <w:b/>
          <w:bCs/>
        </w:rPr>
        <w:t xml:space="preserve">and Cas9 protein injection </w:t>
      </w:r>
    </w:p>
    <w:p w14:paraId="44C3D893" w14:textId="663B1003" w:rsidR="005E361E" w:rsidRPr="00AC0315" w:rsidRDefault="005E361E" w:rsidP="005E361E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(</w:t>
      </w:r>
      <w:r w:rsidRPr="00693F8A">
        <w:rPr>
          <w:rFonts w:ascii="Times New Roman" w:hAnsi="Times New Roman" w:cs="Times New Roman"/>
          <w:b/>
          <w:bCs/>
        </w:rPr>
        <w:t>co</w:t>
      </w:r>
      <w:r w:rsidRPr="003939EC">
        <w:rPr>
          <w:rFonts w:ascii="Times New Roman" w:hAnsi="Times New Roman" w:cs="Times New Roman"/>
          <w:b/>
          <w:bCs/>
        </w:rPr>
        <w:t>-injected with St gRNA</w:t>
      </w:r>
      <w:r w:rsidR="00ED452E">
        <w:rPr>
          <w:rFonts w:ascii="Times New Roman" w:hAnsi="Times New Roman" w:cs="Times New Roman"/>
          <w:b/>
          <w:bCs/>
        </w:rPr>
        <w:t>*</w:t>
      </w:r>
      <w:r>
        <w:rPr>
          <w:rFonts w:ascii="Times New Roman" w:hAnsi="Times New Roman" w:cs="Times New Roman"/>
          <w:b/>
          <w:bCs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1305"/>
        <w:gridCol w:w="2520"/>
      </w:tblGrid>
      <w:tr w:rsidR="005E361E" w14:paraId="04A8B989" w14:textId="77777777" w:rsidTr="003939EC">
        <w:tc>
          <w:tcPr>
            <w:tcW w:w="4135" w:type="dxa"/>
            <w:gridSpan w:val="2"/>
            <w:vAlign w:val="center"/>
          </w:tcPr>
          <w:p w14:paraId="28584EFA" w14:textId="77777777" w:rsidR="005E361E" w:rsidRPr="00A80A62" w:rsidRDefault="005E361E" w:rsidP="003939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62">
              <w:rPr>
                <w:rFonts w:ascii="Times New Roman" w:hAnsi="Times New Roman" w:cs="Times New Roman"/>
                <w:b/>
                <w:sz w:val="24"/>
                <w:szCs w:val="24"/>
              </w:rPr>
              <w:t>Injected (16h)</w:t>
            </w:r>
          </w:p>
        </w:tc>
        <w:tc>
          <w:tcPr>
            <w:tcW w:w="2520" w:type="dxa"/>
          </w:tcPr>
          <w:p w14:paraId="5EDAA2E9" w14:textId="77777777" w:rsidR="005E361E" w:rsidRPr="00A80A62" w:rsidRDefault="005E361E" w:rsidP="003939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A6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5E361E" w14:paraId="401A4D39" w14:textId="77777777" w:rsidTr="003939EC">
        <w:tc>
          <w:tcPr>
            <w:tcW w:w="4135" w:type="dxa"/>
            <w:gridSpan w:val="2"/>
            <w:vAlign w:val="center"/>
          </w:tcPr>
          <w:p w14:paraId="57E27E08" w14:textId="77777777" w:rsidR="005E361E" w:rsidRPr="00A80A62" w:rsidRDefault="005E361E" w:rsidP="003939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62">
              <w:rPr>
                <w:rFonts w:ascii="Times New Roman" w:hAnsi="Times New Roman" w:cs="Times New Roman"/>
                <w:b/>
                <w:sz w:val="24"/>
                <w:szCs w:val="24"/>
              </w:rPr>
              <w:t>Hatch</w:t>
            </w:r>
          </w:p>
        </w:tc>
        <w:tc>
          <w:tcPr>
            <w:tcW w:w="2520" w:type="dxa"/>
          </w:tcPr>
          <w:p w14:paraId="2709DAC4" w14:textId="77777777" w:rsidR="005E361E" w:rsidRPr="00A80A62" w:rsidRDefault="005E361E" w:rsidP="003939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A62">
              <w:rPr>
                <w:rFonts w:ascii="Times New Roman" w:hAnsi="Times New Roman" w:cs="Times New Roman"/>
                <w:sz w:val="24"/>
                <w:szCs w:val="24"/>
              </w:rPr>
              <w:t>50% (19/38)</w:t>
            </w:r>
          </w:p>
        </w:tc>
      </w:tr>
      <w:tr w:rsidR="005E361E" w14:paraId="57BE3A1D" w14:textId="77777777" w:rsidTr="003939EC">
        <w:tc>
          <w:tcPr>
            <w:tcW w:w="4135" w:type="dxa"/>
            <w:gridSpan w:val="2"/>
            <w:vAlign w:val="center"/>
          </w:tcPr>
          <w:p w14:paraId="4C114A24" w14:textId="77777777" w:rsidR="005E361E" w:rsidRPr="00A80A62" w:rsidRDefault="005E361E" w:rsidP="003939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62">
              <w:rPr>
                <w:rFonts w:ascii="Times New Roman" w:hAnsi="Times New Roman" w:cs="Times New Roman"/>
                <w:b/>
                <w:sz w:val="24"/>
                <w:szCs w:val="24"/>
              </w:rPr>
              <w:t>Developed (48h)</w:t>
            </w:r>
          </w:p>
        </w:tc>
        <w:tc>
          <w:tcPr>
            <w:tcW w:w="2520" w:type="dxa"/>
          </w:tcPr>
          <w:p w14:paraId="4E561707" w14:textId="77777777" w:rsidR="005E361E" w:rsidRPr="00A80A62" w:rsidRDefault="005E361E" w:rsidP="003939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A62">
              <w:rPr>
                <w:rFonts w:ascii="Times New Roman" w:hAnsi="Times New Roman" w:cs="Times New Roman"/>
                <w:sz w:val="24"/>
                <w:szCs w:val="24"/>
              </w:rPr>
              <w:t>68.4% (13/19)</w:t>
            </w:r>
          </w:p>
        </w:tc>
      </w:tr>
      <w:tr w:rsidR="005E361E" w14:paraId="6BD4AED8" w14:textId="77777777" w:rsidTr="003939EC">
        <w:tc>
          <w:tcPr>
            <w:tcW w:w="4135" w:type="dxa"/>
            <w:gridSpan w:val="2"/>
            <w:vAlign w:val="center"/>
          </w:tcPr>
          <w:p w14:paraId="37C84AD2" w14:textId="77777777" w:rsidR="005E361E" w:rsidRPr="00A80A62" w:rsidRDefault="005E361E" w:rsidP="003939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62">
              <w:rPr>
                <w:rFonts w:ascii="Times New Roman" w:hAnsi="Times New Roman" w:cs="Times New Roman"/>
                <w:b/>
                <w:sz w:val="24"/>
                <w:szCs w:val="24"/>
              </w:rPr>
              <w:t>White-eye</w:t>
            </w:r>
          </w:p>
        </w:tc>
        <w:tc>
          <w:tcPr>
            <w:tcW w:w="2520" w:type="dxa"/>
          </w:tcPr>
          <w:p w14:paraId="19EB1D6D" w14:textId="77777777" w:rsidR="005E361E" w:rsidRPr="00A80A62" w:rsidRDefault="005E361E" w:rsidP="003939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A62">
              <w:rPr>
                <w:rFonts w:ascii="Times New Roman" w:hAnsi="Times New Roman" w:cs="Times New Roman"/>
                <w:sz w:val="24"/>
                <w:szCs w:val="24"/>
              </w:rPr>
              <w:t>84.6% (11/13)</w:t>
            </w:r>
          </w:p>
        </w:tc>
      </w:tr>
      <w:tr w:rsidR="005E361E" w14:paraId="115516B0" w14:textId="77777777" w:rsidTr="003939EC">
        <w:tc>
          <w:tcPr>
            <w:tcW w:w="2830" w:type="dxa"/>
            <w:vMerge w:val="restart"/>
            <w:vAlign w:val="center"/>
          </w:tcPr>
          <w:p w14:paraId="594482E9" w14:textId="77777777" w:rsidR="005E361E" w:rsidRPr="00A80A62" w:rsidRDefault="005E361E" w:rsidP="003939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62">
              <w:rPr>
                <w:rFonts w:ascii="Times New Roman" w:hAnsi="Times New Roman" w:cs="Times New Roman"/>
                <w:b/>
                <w:sz w:val="24"/>
                <w:szCs w:val="24"/>
              </w:rPr>
              <w:t>Truncated antennae</w:t>
            </w:r>
          </w:p>
        </w:tc>
        <w:tc>
          <w:tcPr>
            <w:tcW w:w="1305" w:type="dxa"/>
            <w:vAlign w:val="center"/>
          </w:tcPr>
          <w:p w14:paraId="345F1AF5" w14:textId="77777777" w:rsidR="005E361E" w:rsidRPr="00A80A62" w:rsidRDefault="005E361E" w:rsidP="003939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62">
              <w:rPr>
                <w:rFonts w:ascii="Times New Roman" w:hAnsi="Times New Roman" w:cs="Times New Roman"/>
                <w:b/>
                <w:sz w:val="24"/>
                <w:szCs w:val="24"/>
              </w:rPr>
              <w:t>Strong</w:t>
            </w:r>
          </w:p>
        </w:tc>
        <w:tc>
          <w:tcPr>
            <w:tcW w:w="2520" w:type="dxa"/>
          </w:tcPr>
          <w:p w14:paraId="3F99FB93" w14:textId="77777777" w:rsidR="005E361E" w:rsidRPr="00A80A62" w:rsidRDefault="005E361E" w:rsidP="003939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A62">
              <w:rPr>
                <w:rFonts w:ascii="Times New Roman" w:hAnsi="Times New Roman" w:cs="Times New Roman"/>
                <w:sz w:val="24"/>
                <w:szCs w:val="24"/>
              </w:rPr>
              <w:t>61.5% (8/13)</w:t>
            </w:r>
          </w:p>
        </w:tc>
      </w:tr>
      <w:tr w:rsidR="005E361E" w14:paraId="3117DD0D" w14:textId="77777777" w:rsidTr="003939EC">
        <w:tc>
          <w:tcPr>
            <w:tcW w:w="2830" w:type="dxa"/>
            <w:vMerge/>
            <w:vAlign w:val="center"/>
          </w:tcPr>
          <w:p w14:paraId="08542114" w14:textId="77777777" w:rsidR="005E361E" w:rsidRPr="00A80A62" w:rsidRDefault="005E361E" w:rsidP="003939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1E85A627" w14:textId="77777777" w:rsidR="005E361E" w:rsidRPr="00A80A62" w:rsidRDefault="005E361E" w:rsidP="003939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62">
              <w:rPr>
                <w:rFonts w:ascii="Times New Roman" w:hAnsi="Times New Roman" w:cs="Times New Roman"/>
                <w:b/>
                <w:sz w:val="24"/>
                <w:szCs w:val="24"/>
              </w:rPr>
              <w:t>Medium</w:t>
            </w:r>
          </w:p>
        </w:tc>
        <w:tc>
          <w:tcPr>
            <w:tcW w:w="2520" w:type="dxa"/>
          </w:tcPr>
          <w:p w14:paraId="0843EE41" w14:textId="77777777" w:rsidR="005E361E" w:rsidRPr="00A80A62" w:rsidRDefault="005E361E" w:rsidP="003939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A62">
              <w:rPr>
                <w:rFonts w:ascii="Times New Roman" w:hAnsi="Times New Roman" w:cs="Times New Roman"/>
                <w:sz w:val="24"/>
                <w:szCs w:val="24"/>
              </w:rPr>
              <w:t>15.4% (3/13)</w:t>
            </w:r>
          </w:p>
        </w:tc>
      </w:tr>
      <w:tr w:rsidR="005E361E" w14:paraId="71045DE6" w14:textId="77777777" w:rsidTr="003939EC">
        <w:tc>
          <w:tcPr>
            <w:tcW w:w="2830" w:type="dxa"/>
            <w:vMerge/>
            <w:vAlign w:val="center"/>
          </w:tcPr>
          <w:p w14:paraId="7B88005B" w14:textId="77777777" w:rsidR="005E361E" w:rsidRPr="00A80A62" w:rsidRDefault="005E361E" w:rsidP="003939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2B828B96" w14:textId="77777777" w:rsidR="005E361E" w:rsidRPr="00A80A62" w:rsidRDefault="005E361E" w:rsidP="003939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A62">
              <w:rPr>
                <w:rFonts w:ascii="Times New Roman" w:hAnsi="Times New Roman" w:cs="Times New Roman"/>
                <w:b/>
                <w:sz w:val="24"/>
                <w:szCs w:val="24"/>
              </w:rPr>
              <w:t>Mild</w:t>
            </w:r>
          </w:p>
        </w:tc>
        <w:tc>
          <w:tcPr>
            <w:tcW w:w="2520" w:type="dxa"/>
          </w:tcPr>
          <w:p w14:paraId="4A31BBF4" w14:textId="77777777" w:rsidR="005E361E" w:rsidRPr="00A80A62" w:rsidRDefault="005E361E" w:rsidP="003939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0A62">
              <w:rPr>
                <w:rFonts w:ascii="Times New Roman" w:hAnsi="Times New Roman" w:cs="Times New Roman"/>
                <w:sz w:val="24"/>
                <w:szCs w:val="24"/>
              </w:rPr>
              <w:t>23.1% (2/13)</w:t>
            </w:r>
          </w:p>
        </w:tc>
      </w:tr>
    </w:tbl>
    <w:p w14:paraId="5C4E0512" w14:textId="2068F5AD" w:rsidR="00AE2188" w:rsidRDefault="005918FD">
      <w:r w:rsidRPr="001D685F">
        <w:rPr>
          <w:rFonts w:ascii="Times New Roman" w:hAnsi="Times New Roman" w:cs="Times New Roman"/>
          <w:bCs/>
          <w:vertAlign w:val="superscript"/>
        </w:rPr>
        <w:t>*</w:t>
      </w:r>
      <w:r>
        <w:rPr>
          <w:rFonts w:ascii="Times New Roman" w:hAnsi="Times New Roman" w:cs="Times New Roman"/>
          <w:bCs/>
        </w:rPr>
        <w:t xml:space="preserve">To confirm the functionality of the Cas9 protein, the </w:t>
      </w:r>
      <w:proofErr w:type="spellStart"/>
      <w:r w:rsidR="00ED452E">
        <w:rPr>
          <w:rFonts w:ascii="Times New Roman" w:hAnsi="Times New Roman" w:cs="Times New Roman"/>
          <w:bCs/>
        </w:rPr>
        <w:t>Dll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gRNA</w:t>
      </w:r>
      <w:proofErr w:type="spellEnd"/>
      <w:r>
        <w:rPr>
          <w:rFonts w:ascii="Times New Roman" w:hAnsi="Times New Roman" w:cs="Times New Roman"/>
          <w:bCs/>
        </w:rPr>
        <w:t xml:space="preserve"> was also co-injected together with </w:t>
      </w:r>
      <w:r w:rsidR="00ED452E">
        <w:rPr>
          <w:rFonts w:ascii="Times New Roman" w:hAnsi="Times New Roman" w:cs="Times New Roman"/>
          <w:bCs/>
        </w:rPr>
        <w:t>St</w:t>
      </w:r>
      <w:r>
        <w:rPr>
          <w:rFonts w:ascii="Times New Roman" w:hAnsi="Times New Roman" w:cs="Times New Roman"/>
          <w:bCs/>
        </w:rPr>
        <w:t xml:space="preserve"> gRNA.</w:t>
      </w:r>
      <w:bookmarkStart w:id="0" w:name="_GoBack"/>
      <w:bookmarkEnd w:id="0"/>
    </w:p>
    <w:sectPr w:rsidR="00AE2188" w:rsidSect="007D533C">
      <w:pgSz w:w="11900" w:h="16840"/>
      <w:pgMar w:top="1440" w:right="1699" w:bottom="1411" w:left="169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5D9855" w14:textId="77777777" w:rsidR="00932FD5" w:rsidRDefault="00932FD5" w:rsidP="00AB5157">
      <w:r>
        <w:separator/>
      </w:r>
    </w:p>
  </w:endnote>
  <w:endnote w:type="continuationSeparator" w:id="0">
    <w:p w14:paraId="71198C4E" w14:textId="77777777" w:rsidR="00932FD5" w:rsidRDefault="00932FD5" w:rsidP="00AB5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2140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8FE841" w14:textId="1F1B931F" w:rsidR="00AB5157" w:rsidRDefault="00AB515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533C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16E82369" w14:textId="77777777" w:rsidR="00AB5157" w:rsidRDefault="00AB51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940E4B" w14:textId="77777777" w:rsidR="00932FD5" w:rsidRDefault="00932FD5" w:rsidP="00AB5157">
      <w:r>
        <w:separator/>
      </w:r>
    </w:p>
  </w:footnote>
  <w:footnote w:type="continuationSeparator" w:id="0">
    <w:p w14:paraId="1FC72E13" w14:textId="77777777" w:rsidR="00932FD5" w:rsidRDefault="00932FD5" w:rsidP="00AB51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055ED2"/>
    <w:multiLevelType w:val="hybridMultilevel"/>
    <w:tmpl w:val="3DC07D0E"/>
    <w:lvl w:ilvl="0" w:tplc="F06A9B46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Y0szCxNDc2NzUzNjdS0lEKTi0uzszPAykwqQUAwRWzziwAAAA="/>
  </w:docVars>
  <w:rsids>
    <w:rsidRoot w:val="005E361E"/>
    <w:rsid w:val="002E4CBD"/>
    <w:rsid w:val="0030688D"/>
    <w:rsid w:val="00367C74"/>
    <w:rsid w:val="00464646"/>
    <w:rsid w:val="00563BE6"/>
    <w:rsid w:val="005918FD"/>
    <w:rsid w:val="005E361E"/>
    <w:rsid w:val="00670B34"/>
    <w:rsid w:val="006B510E"/>
    <w:rsid w:val="007517CC"/>
    <w:rsid w:val="007D533C"/>
    <w:rsid w:val="00877D9A"/>
    <w:rsid w:val="00932FD5"/>
    <w:rsid w:val="009C102A"/>
    <w:rsid w:val="00A539D7"/>
    <w:rsid w:val="00A80A62"/>
    <w:rsid w:val="00AB5157"/>
    <w:rsid w:val="00AC0315"/>
    <w:rsid w:val="00AE2188"/>
    <w:rsid w:val="00BA4998"/>
    <w:rsid w:val="00BA598F"/>
    <w:rsid w:val="00C941A0"/>
    <w:rsid w:val="00CC122D"/>
    <w:rsid w:val="00CC54D6"/>
    <w:rsid w:val="00CE5AFC"/>
    <w:rsid w:val="00D2513C"/>
    <w:rsid w:val="00E30328"/>
    <w:rsid w:val="00EC01A4"/>
    <w:rsid w:val="00ED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69164A"/>
  <w15:chartTrackingRefBased/>
  <w15:docId w15:val="{BB4A0949-EFB2-634A-AA92-2AD55A27F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361E"/>
    <w:rPr>
      <w:rFonts w:ascii="MS PGothic" w:eastAsia="MS PGothic" w:hAnsi="MS PGothic" w:cs="MS PGothi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61E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E361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E361E"/>
    <w:pPr>
      <w:widowControl w:val="0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361E"/>
    <w:rPr>
      <w:kern w:val="2"/>
      <w:sz w:val="21"/>
      <w:szCs w:val="22"/>
      <w:lang w:val="en-US"/>
    </w:rPr>
  </w:style>
  <w:style w:type="table" w:styleId="TableGrid">
    <w:name w:val="Table Grid"/>
    <w:basedOn w:val="TableNormal"/>
    <w:uiPriority w:val="39"/>
    <w:rsid w:val="005E361E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E361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LineNumber">
    <w:name w:val="line number"/>
    <w:basedOn w:val="DefaultParagraphFont"/>
    <w:uiPriority w:val="99"/>
    <w:semiHidden/>
    <w:unhideWhenUsed/>
    <w:rsid w:val="005E361E"/>
  </w:style>
  <w:style w:type="paragraph" w:styleId="BalloonText">
    <w:name w:val="Balloon Text"/>
    <w:basedOn w:val="Normal"/>
    <w:link w:val="BalloonTextChar"/>
    <w:uiPriority w:val="99"/>
    <w:semiHidden/>
    <w:unhideWhenUsed/>
    <w:rsid w:val="00A539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9D7"/>
    <w:rPr>
      <w:rFonts w:ascii="Segoe UI" w:eastAsia="MS PGothic" w:hAnsi="Segoe UI" w:cs="Segoe UI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452E"/>
    <w:pPr>
      <w:widowControl/>
    </w:pPr>
    <w:rPr>
      <w:rFonts w:ascii="MS PGothic" w:eastAsia="MS PGothic" w:hAnsi="MS PGothic" w:cs="MS PGothic"/>
      <w:b/>
      <w:bCs/>
      <w:kern w:val="0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452E"/>
    <w:rPr>
      <w:rFonts w:ascii="MS PGothic" w:eastAsia="MS PGothic" w:hAnsi="MS PGothic" w:cs="MS PGothic"/>
      <w:b/>
      <w:bCs/>
      <w:kern w:val="2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CC122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B51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5157"/>
    <w:rPr>
      <w:rFonts w:ascii="MS PGothic" w:eastAsia="MS PGothic" w:hAnsi="MS PGothic" w:cs="MS PGothic"/>
    </w:rPr>
  </w:style>
  <w:style w:type="paragraph" w:styleId="Footer">
    <w:name w:val="footer"/>
    <w:basedOn w:val="Normal"/>
    <w:link w:val="FooterChar"/>
    <w:uiPriority w:val="99"/>
    <w:unhideWhenUsed/>
    <w:rsid w:val="00AB51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5157"/>
    <w:rPr>
      <w:rFonts w:ascii="MS PGothic" w:eastAsia="MS PGothic" w:hAnsi="MS PGothic" w:cs="MS P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1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emf"/><Relationship Id="rId18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emf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watanabe@bio.eng.osaka-u.ac.jp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87B07A60833A945B209F744F1945A28" ma:contentTypeVersion="11" ma:contentTypeDescription="新しいドキュメントを作成します。" ma:contentTypeScope="" ma:versionID="7b4f923ed00658ac2268c2119cacbd8b">
  <xsd:schema xmlns:xsd="http://www.w3.org/2001/XMLSchema" xmlns:xs="http://www.w3.org/2001/XMLSchema" xmlns:p="http://schemas.microsoft.com/office/2006/metadata/properties" xmlns:ns3="875b9e69-4486-4188-86f5-2826124a47c2" targetNamespace="http://schemas.microsoft.com/office/2006/metadata/properties" ma:root="true" ma:fieldsID="b5b10342b6332fd2ac37d4cd7dea9809" ns3:_="">
    <xsd:import namespace="875b9e69-4486-4188-86f5-2826124a47c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5b9e69-4486-4188-86f5-2826124a47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2D815-8BF9-490A-A282-E85331C031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5b9e69-4486-4188-86f5-2826124a47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0309CF-3C74-4CB0-90EB-12959C245C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522B5E-5A3C-49A1-BA8A-17E9C27CE1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B9ADB15-C94F-40E6-A9A0-79FB2489A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Osaka University</Company>
  <LinksUpToDate>false</LinksUpToDate>
  <CharactersWithSpaces>2747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Nikko Adhitama</dc:creator>
  <cp:keywords/>
  <dc:description/>
  <cp:lastModifiedBy>Nivetha K.</cp:lastModifiedBy>
  <cp:revision>4</cp:revision>
  <cp:lastPrinted>2021-12-24T05:36:00Z</cp:lastPrinted>
  <dcterms:created xsi:type="dcterms:W3CDTF">2022-01-04T09:07:00Z</dcterms:created>
  <dcterms:modified xsi:type="dcterms:W3CDTF">2022-02-02T14:11:00Z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http://www.zotero.org/styles/plos-genetics</vt:lpwstr>
  </property>
  <property fmtid="{D5CDD505-2E9C-101B-9397-08002B2CF9AE}" pid="21" name="Mendeley Recent Style Name 9_1">
    <vt:lpwstr>PLOS Genetics</vt:lpwstr>
  </property>
  <property fmtid="{D5CDD505-2E9C-101B-9397-08002B2CF9AE}" pid="22" name="ContentTypeId">
    <vt:lpwstr>0x010100C87B07A60833A945B209F744F1945A28</vt:lpwstr>
  </property>
</Properties>
</file>