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819" w:rsidRDefault="00966819" w:rsidP="00A601FC">
      <w:pPr>
        <w:widowControl w:val="0"/>
        <w:rPr>
          <w:b/>
          <w:sz w:val="36"/>
          <w:u w:val="single"/>
        </w:rPr>
      </w:pPr>
      <w:r w:rsidRPr="00966819">
        <w:rPr>
          <w:b/>
          <w:sz w:val="36"/>
          <w:u w:val="single"/>
        </w:rPr>
        <w:t xml:space="preserve">Supplementary tables </w:t>
      </w:r>
    </w:p>
    <w:p w:rsidR="00E16120" w:rsidRDefault="00E16120" w:rsidP="00A601FC">
      <w:pPr>
        <w:pStyle w:val="FormatlibreA"/>
        <w:widowControl w:val="0"/>
        <w:suppressAutoHyphens w:val="0"/>
        <w:rPr>
          <w:rFonts w:ascii="Calibri" w:hAnsi="Calibri" w:cs="Calibri"/>
          <w:sz w:val="22"/>
          <w:szCs w:val="22"/>
          <w:u w:val="single"/>
          <w:lang w:val="en-US"/>
        </w:rPr>
      </w:pPr>
    </w:p>
    <w:p w:rsidR="00E16120" w:rsidRDefault="00E16120" w:rsidP="00A601FC">
      <w:pPr>
        <w:pStyle w:val="FormatlibreA"/>
        <w:widowControl w:val="0"/>
        <w:suppressAutoHyphens w:val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u w:val="single"/>
          <w:lang w:val="en-US"/>
        </w:rPr>
        <w:t>Increased remission with fewer corticosteroids and more biologics in Rheumatoid Arthritis at 7-year follow-up in real-life conditions</w:t>
      </w:r>
    </w:p>
    <w:p w:rsidR="00E16120" w:rsidRDefault="00E16120" w:rsidP="00A601FC">
      <w:pPr>
        <w:pStyle w:val="FormatlibreA"/>
        <w:widowControl w:val="0"/>
        <w:suppressAutoHyphens w:val="0"/>
        <w:spacing w:after="240"/>
        <w:rPr>
          <w:rFonts w:ascii="Calibri" w:hAnsi="Calibri" w:cs="Calibri"/>
          <w:sz w:val="22"/>
          <w:szCs w:val="22"/>
          <w:lang w:val="en-US"/>
        </w:rPr>
      </w:pPr>
    </w:p>
    <w:p w:rsidR="00E16120" w:rsidRDefault="00E16120" w:rsidP="00A601FC">
      <w:pPr>
        <w:widowControl w:val="0"/>
        <w:spacing w:line="480" w:lineRule="auto"/>
        <w:rPr>
          <w:rFonts w:ascii="Calibri" w:hAnsi="Calibri" w:cs="Calibri"/>
          <w:lang w:val="en-US"/>
        </w:rPr>
      </w:pPr>
      <w:r>
        <w:rPr>
          <w:lang w:val="en-GB"/>
        </w:rPr>
        <w:t xml:space="preserve">Guillaume LARID, MD(1,2) (ORCID ID : </w:t>
      </w:r>
      <w:r>
        <w:rPr>
          <w:bCs/>
          <w:shd w:val="clear" w:color="auto" w:fill="FFFFFF"/>
          <w:lang w:val="en-US"/>
        </w:rPr>
        <w:t>0000-0003-2317-2852</w:t>
      </w:r>
      <w:r>
        <w:rPr>
          <w:lang w:val="en-US"/>
        </w:rPr>
        <w:t>)</w:t>
      </w:r>
      <w:r>
        <w:rPr>
          <w:lang w:val="en-GB"/>
        </w:rPr>
        <w:t xml:space="preserve">, Justine VIX, MD (1), Ronan GARLANTEZEC, MD, PhD (3), Elodie LOPPIN, MD (1), Elisabeth GERVAIS*, MD, PhD (1,2) (ORCID iD : </w:t>
      </w:r>
      <w:r>
        <w:rPr>
          <w:rStyle w:val="orcid-id-https"/>
          <w:lang w:val="en-US"/>
        </w:rPr>
        <w:t>0000-0003-3513-2989)</w:t>
      </w:r>
      <w:r>
        <w:rPr>
          <w:lang w:val="en-GB"/>
        </w:rPr>
        <w:t xml:space="preserve"> </w:t>
      </w:r>
    </w:p>
    <w:p w:rsidR="00E16120" w:rsidRDefault="00E16120" w:rsidP="00A601FC">
      <w:pPr>
        <w:pStyle w:val="FormatlibreA"/>
        <w:widowControl w:val="0"/>
        <w:numPr>
          <w:ilvl w:val="0"/>
          <w:numId w:val="1"/>
        </w:numPr>
        <w:suppressAutoHyphens w:val="0"/>
        <w:spacing w:after="24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Rheumatology Department, University Hospital of Poitiers, FRANCE</w:t>
      </w:r>
    </w:p>
    <w:p w:rsidR="00E16120" w:rsidRDefault="00E16120" w:rsidP="00A601FC">
      <w:pPr>
        <w:pStyle w:val="FormatlibreA"/>
        <w:widowControl w:val="0"/>
        <w:numPr>
          <w:ilvl w:val="0"/>
          <w:numId w:val="1"/>
        </w:numPr>
        <w:suppressAutoHyphens w:val="0"/>
        <w:spacing w:after="24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LITEC laboratory, EA 4331, Poitiers University, France</w:t>
      </w:r>
    </w:p>
    <w:p w:rsidR="00E16120" w:rsidRDefault="00E16120" w:rsidP="00A601FC">
      <w:pPr>
        <w:pStyle w:val="FormatlibreA"/>
        <w:widowControl w:val="0"/>
        <w:suppressAutoHyphens w:val="0"/>
        <w:spacing w:after="240"/>
        <w:ind w:firstLine="360"/>
        <w:rPr>
          <w:rFonts w:cs="Calibri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(3) Epidemiology Department, University of Rennes, France</w:t>
      </w:r>
    </w:p>
    <w:p w:rsidR="00E16120" w:rsidRDefault="00E16120" w:rsidP="00A601FC">
      <w:pPr>
        <w:widowControl w:val="0"/>
        <w:rPr>
          <w:b/>
          <w:sz w:val="36"/>
          <w:u w:val="single"/>
        </w:rPr>
      </w:pPr>
    </w:p>
    <w:p w:rsidR="00EB6743" w:rsidRDefault="00EB6743" w:rsidP="00A601FC">
      <w:pPr>
        <w:pStyle w:val="PlainText"/>
        <w:widowControl w:val="0"/>
        <w:jc w:val="both"/>
        <w:rPr>
          <w:lang w:val="en-GB"/>
        </w:rPr>
      </w:pPr>
    </w:p>
    <w:p w:rsidR="00E16120" w:rsidRDefault="00E16120" w:rsidP="00A601FC">
      <w:pPr>
        <w:widowControl w:val="0"/>
        <w:rPr>
          <w:rFonts w:ascii="Calibri" w:hAnsi="Calibri"/>
          <w:szCs w:val="21"/>
          <w:u w:val="single"/>
          <w:lang w:val="en-GB"/>
        </w:rPr>
      </w:pPr>
      <w:r>
        <w:rPr>
          <w:u w:val="single"/>
          <w:lang w:val="en-GB"/>
        </w:rPr>
        <w:br w:type="page"/>
      </w:r>
    </w:p>
    <w:p w:rsidR="00EB6743" w:rsidRDefault="00EB6743" w:rsidP="00A601FC">
      <w:pPr>
        <w:pStyle w:val="PlainText"/>
        <w:widowControl w:val="0"/>
        <w:jc w:val="both"/>
        <w:rPr>
          <w:lang w:val="en-GB"/>
        </w:rPr>
      </w:pPr>
      <w:r w:rsidRPr="00EB6743">
        <w:rPr>
          <w:u w:val="single"/>
          <w:lang w:val="en-GB"/>
        </w:rPr>
        <w:lastRenderedPageBreak/>
        <w:t xml:space="preserve">Supplementary Table 1 : </w:t>
      </w:r>
      <w:r>
        <w:rPr>
          <w:lang w:val="en-GB"/>
        </w:rPr>
        <w:t>Comparison of disease activity at inclusion between the whole initial population and the complete follow-up population</w:t>
      </w:r>
    </w:p>
    <w:p w:rsidR="00EB6743" w:rsidRDefault="00EB6743" w:rsidP="00A601FC">
      <w:pPr>
        <w:pStyle w:val="PlainText"/>
        <w:widowControl w:val="0"/>
        <w:jc w:val="both"/>
        <w:rPr>
          <w:lang w:val="en-GB"/>
        </w:rPr>
      </w:pPr>
    </w:p>
    <w:tbl>
      <w:tblPr>
        <w:tblStyle w:val="TableGrid"/>
        <w:tblW w:w="10356" w:type="dxa"/>
        <w:tblInd w:w="-176" w:type="dxa"/>
        <w:tblLook w:val="04A0" w:firstRow="1" w:lastRow="0" w:firstColumn="1" w:lastColumn="0" w:noHBand="0" w:noVBand="1"/>
      </w:tblPr>
      <w:tblGrid>
        <w:gridCol w:w="2004"/>
        <w:gridCol w:w="3458"/>
        <w:gridCol w:w="3458"/>
        <w:gridCol w:w="718"/>
        <w:gridCol w:w="718"/>
      </w:tblGrid>
      <w:tr w:rsidR="00EB6743" w:rsidRPr="00726FBD" w:rsidTr="001C605F">
        <w:tc>
          <w:tcPr>
            <w:tcW w:w="2004" w:type="dxa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</w:p>
        </w:tc>
        <w:tc>
          <w:tcPr>
            <w:tcW w:w="3458" w:type="dxa"/>
            <w:vAlign w:val="center"/>
          </w:tcPr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Whole </w:t>
            </w:r>
            <w:r w:rsidRPr="00883B17">
              <w:rPr>
                <w:b/>
                <w:lang w:val="en-GB"/>
              </w:rPr>
              <w:t xml:space="preserve">population with DAS28 </w:t>
            </w:r>
          </w:p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 w:rsidRPr="00883B17">
              <w:rPr>
                <w:b/>
                <w:lang w:val="en-GB"/>
              </w:rPr>
              <w:t>(n = 328)</w:t>
            </w:r>
          </w:p>
        </w:tc>
        <w:tc>
          <w:tcPr>
            <w:tcW w:w="3458" w:type="dxa"/>
            <w:vAlign w:val="center"/>
          </w:tcPr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 w:rsidRPr="00883B17">
              <w:rPr>
                <w:b/>
                <w:lang w:val="en-GB"/>
              </w:rPr>
              <w:t>Complete follow-up population</w:t>
            </w:r>
          </w:p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 w:rsidRPr="00883B17">
              <w:rPr>
                <w:b/>
                <w:lang w:val="en-GB"/>
              </w:rPr>
              <w:t>(n = 215)</w:t>
            </w:r>
          </w:p>
        </w:tc>
        <w:tc>
          <w:tcPr>
            <w:tcW w:w="0" w:type="auto"/>
            <w:vAlign w:val="center"/>
          </w:tcPr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 w:rsidRPr="00883B17">
              <w:rPr>
                <w:b/>
                <w:lang w:val="en-GB"/>
              </w:rPr>
              <w:t>p</w:t>
            </w:r>
          </w:p>
        </w:tc>
        <w:tc>
          <w:tcPr>
            <w:tcW w:w="0" w:type="auto"/>
            <w:vAlign w:val="center"/>
          </w:tcPr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 w:rsidRPr="00883B17">
              <w:rPr>
                <w:b/>
                <w:lang w:val="en-GB"/>
              </w:rPr>
              <w:t>p</w:t>
            </w:r>
          </w:p>
        </w:tc>
      </w:tr>
      <w:tr w:rsidR="00EB6743" w:rsidRPr="00726FBD" w:rsidTr="001C605F">
        <w:tc>
          <w:tcPr>
            <w:tcW w:w="2004" w:type="dxa"/>
            <w:vAlign w:val="center"/>
          </w:tcPr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 w:rsidRPr="00883B17">
              <w:rPr>
                <w:b/>
                <w:lang w:val="en-GB"/>
              </w:rPr>
              <w:t>DAS 28 &lt; 2.6</w:t>
            </w:r>
          </w:p>
        </w:tc>
        <w:tc>
          <w:tcPr>
            <w:tcW w:w="3458" w:type="dxa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 w:rsidRPr="00726FBD">
              <w:rPr>
                <w:lang w:val="en-GB"/>
              </w:rPr>
              <w:t>91 (27.7%)</w:t>
            </w:r>
          </w:p>
        </w:tc>
        <w:tc>
          <w:tcPr>
            <w:tcW w:w="3458" w:type="dxa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 w:rsidRPr="00726FBD">
              <w:rPr>
                <w:lang w:val="en-GB"/>
              </w:rPr>
              <w:t>69 (32.1%)</w:t>
            </w:r>
          </w:p>
        </w:tc>
        <w:tc>
          <w:tcPr>
            <w:tcW w:w="0" w:type="auto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0.277</w:t>
            </w:r>
          </w:p>
        </w:tc>
        <w:tc>
          <w:tcPr>
            <w:tcW w:w="0" w:type="auto"/>
            <w:vMerge w:val="restart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0.524</w:t>
            </w:r>
          </w:p>
        </w:tc>
      </w:tr>
      <w:tr w:rsidR="00EB6743" w:rsidRPr="00726FBD" w:rsidTr="001C605F">
        <w:tc>
          <w:tcPr>
            <w:tcW w:w="2004" w:type="dxa"/>
            <w:vAlign w:val="center"/>
          </w:tcPr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 w:rsidRPr="00883B17">
              <w:rPr>
                <w:b/>
                <w:lang w:val="en-GB"/>
              </w:rPr>
              <w:t xml:space="preserve">2.6 </w:t>
            </w:r>
            <w:r w:rsidRPr="00883B17">
              <w:rPr>
                <w:b/>
                <w:u w:val="single"/>
                <w:lang w:val="en-GB"/>
              </w:rPr>
              <w:t>&lt;</w:t>
            </w:r>
            <w:r w:rsidRPr="00883B17">
              <w:rPr>
                <w:b/>
                <w:lang w:val="en-GB"/>
              </w:rPr>
              <w:t xml:space="preserve"> DAS 28 &lt; 3.2 </w:t>
            </w:r>
          </w:p>
        </w:tc>
        <w:tc>
          <w:tcPr>
            <w:tcW w:w="3458" w:type="dxa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 w:rsidRPr="00726FBD">
              <w:rPr>
                <w:lang w:val="en-GB"/>
              </w:rPr>
              <w:t>57 (17.4%)</w:t>
            </w:r>
          </w:p>
        </w:tc>
        <w:tc>
          <w:tcPr>
            <w:tcW w:w="3458" w:type="dxa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 w:rsidRPr="00726FBD">
              <w:rPr>
                <w:lang w:val="en-GB"/>
              </w:rPr>
              <w:t>42 (19.5%)</w:t>
            </w:r>
          </w:p>
        </w:tc>
        <w:tc>
          <w:tcPr>
            <w:tcW w:w="0" w:type="auto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0.524</w:t>
            </w:r>
          </w:p>
        </w:tc>
        <w:tc>
          <w:tcPr>
            <w:tcW w:w="0" w:type="auto"/>
            <w:vMerge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</w:p>
        </w:tc>
      </w:tr>
      <w:tr w:rsidR="00EB6743" w:rsidRPr="00726FBD" w:rsidTr="001C605F">
        <w:tc>
          <w:tcPr>
            <w:tcW w:w="2004" w:type="dxa"/>
            <w:vAlign w:val="center"/>
          </w:tcPr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 w:rsidRPr="00883B17">
              <w:rPr>
                <w:b/>
                <w:lang w:val="en-GB"/>
              </w:rPr>
              <w:t xml:space="preserve">3.2 </w:t>
            </w:r>
            <w:r w:rsidRPr="00883B17">
              <w:rPr>
                <w:b/>
                <w:u w:val="single"/>
                <w:lang w:val="en-GB"/>
              </w:rPr>
              <w:t>&lt;</w:t>
            </w:r>
            <w:r w:rsidRPr="00883B17">
              <w:rPr>
                <w:b/>
                <w:lang w:val="en-GB"/>
              </w:rPr>
              <w:t xml:space="preserve"> DAS 28 &lt; 5.1</w:t>
            </w:r>
          </w:p>
        </w:tc>
        <w:tc>
          <w:tcPr>
            <w:tcW w:w="3458" w:type="dxa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 w:rsidRPr="00726FBD">
              <w:rPr>
                <w:lang w:val="en-GB"/>
              </w:rPr>
              <w:t>145 (44.2%)</w:t>
            </w:r>
          </w:p>
        </w:tc>
        <w:tc>
          <w:tcPr>
            <w:tcW w:w="3458" w:type="dxa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 w:rsidRPr="00726FBD">
              <w:rPr>
                <w:lang w:val="en-GB"/>
              </w:rPr>
              <w:t>83 (38.6%)</w:t>
            </w:r>
          </w:p>
        </w:tc>
        <w:tc>
          <w:tcPr>
            <w:tcW w:w="0" w:type="auto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0.196</w:t>
            </w:r>
          </w:p>
        </w:tc>
        <w:tc>
          <w:tcPr>
            <w:tcW w:w="0" w:type="auto"/>
            <w:vMerge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</w:p>
        </w:tc>
      </w:tr>
      <w:tr w:rsidR="00EB6743" w:rsidRPr="00726FBD" w:rsidTr="001C605F">
        <w:tc>
          <w:tcPr>
            <w:tcW w:w="2004" w:type="dxa"/>
            <w:vAlign w:val="center"/>
          </w:tcPr>
          <w:p w:rsidR="00EB6743" w:rsidRPr="00883B17" w:rsidRDefault="00EB6743" w:rsidP="00A601FC">
            <w:pPr>
              <w:pStyle w:val="PlainText"/>
              <w:widowControl w:val="0"/>
              <w:jc w:val="center"/>
              <w:rPr>
                <w:b/>
                <w:lang w:val="en-GB"/>
              </w:rPr>
            </w:pPr>
            <w:r w:rsidRPr="00883B17">
              <w:rPr>
                <w:b/>
                <w:lang w:val="en-GB"/>
              </w:rPr>
              <w:t xml:space="preserve">DAS 28 </w:t>
            </w:r>
            <w:r w:rsidRPr="00883B17">
              <w:rPr>
                <w:b/>
                <w:u w:val="single"/>
                <w:lang w:val="en-GB"/>
              </w:rPr>
              <w:t>&gt;</w:t>
            </w:r>
            <w:r w:rsidRPr="00883B17">
              <w:rPr>
                <w:b/>
                <w:lang w:val="en-GB"/>
              </w:rPr>
              <w:t xml:space="preserve"> 5.1</w:t>
            </w:r>
          </w:p>
        </w:tc>
        <w:tc>
          <w:tcPr>
            <w:tcW w:w="3458" w:type="dxa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 w:rsidRPr="00726FBD">
              <w:rPr>
                <w:lang w:val="en-GB"/>
              </w:rPr>
              <w:t>35 (10.7%)</w:t>
            </w:r>
          </w:p>
        </w:tc>
        <w:tc>
          <w:tcPr>
            <w:tcW w:w="3458" w:type="dxa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 w:rsidRPr="00726FBD">
              <w:rPr>
                <w:lang w:val="en-GB"/>
              </w:rPr>
              <w:t>21 (9.8%)</w:t>
            </w:r>
          </w:p>
        </w:tc>
        <w:tc>
          <w:tcPr>
            <w:tcW w:w="0" w:type="auto"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0.735</w:t>
            </w:r>
          </w:p>
        </w:tc>
        <w:tc>
          <w:tcPr>
            <w:tcW w:w="0" w:type="auto"/>
            <w:vMerge/>
            <w:vAlign w:val="center"/>
          </w:tcPr>
          <w:p w:rsidR="00EB6743" w:rsidRPr="00726FBD" w:rsidRDefault="00EB6743" w:rsidP="00A601FC">
            <w:pPr>
              <w:pStyle w:val="PlainText"/>
              <w:widowControl w:val="0"/>
              <w:jc w:val="center"/>
              <w:rPr>
                <w:lang w:val="en-GB"/>
              </w:rPr>
            </w:pPr>
          </w:p>
        </w:tc>
      </w:tr>
    </w:tbl>
    <w:p w:rsidR="00EB6743" w:rsidRDefault="00EB6743" w:rsidP="00A601FC">
      <w:pPr>
        <w:pStyle w:val="PlainText"/>
        <w:widowControl w:val="0"/>
        <w:jc w:val="both"/>
        <w:rPr>
          <w:lang w:val="en-GB"/>
        </w:rPr>
      </w:pPr>
      <w:r>
        <w:rPr>
          <w:lang w:val="en-GB"/>
        </w:rPr>
        <w:t>Chi square test</w:t>
      </w:r>
    </w:p>
    <w:p w:rsidR="00EB6743" w:rsidRPr="00726FBD" w:rsidRDefault="00EB6743" w:rsidP="00A601FC">
      <w:pPr>
        <w:pStyle w:val="PlainText"/>
        <w:widowControl w:val="0"/>
        <w:jc w:val="both"/>
        <w:rPr>
          <w:lang w:val="en-GB"/>
        </w:rPr>
      </w:pPr>
    </w:p>
    <w:p w:rsidR="00EB6743" w:rsidRDefault="00EB6743" w:rsidP="00A601FC">
      <w:pPr>
        <w:widowControl w:val="0"/>
        <w:rPr>
          <w:rFonts w:ascii="Calibri" w:hAnsi="Calibri"/>
          <w:szCs w:val="21"/>
          <w:u w:val="single"/>
          <w:lang w:val="en-GB"/>
        </w:rPr>
      </w:pPr>
      <w:r>
        <w:rPr>
          <w:u w:val="single"/>
          <w:lang w:val="en-GB"/>
        </w:rPr>
        <w:br w:type="page"/>
      </w:r>
    </w:p>
    <w:p w:rsidR="00EB6743" w:rsidRDefault="00EB6743" w:rsidP="00A601FC">
      <w:pPr>
        <w:pStyle w:val="PlainText"/>
        <w:widowControl w:val="0"/>
        <w:jc w:val="both"/>
        <w:rPr>
          <w:lang w:val="en-GB"/>
        </w:rPr>
      </w:pPr>
      <w:r w:rsidRPr="00EB6743">
        <w:rPr>
          <w:u w:val="single"/>
          <w:lang w:val="en-GB"/>
        </w:rPr>
        <w:lastRenderedPageBreak/>
        <w:t xml:space="preserve">Supplementary Table </w:t>
      </w:r>
      <w:r w:rsidR="00A233EF">
        <w:rPr>
          <w:u w:val="single"/>
          <w:lang w:val="en-GB"/>
        </w:rPr>
        <w:t>2</w:t>
      </w:r>
      <w:r w:rsidRPr="00EB6743">
        <w:rPr>
          <w:u w:val="single"/>
          <w:lang w:val="en-GB"/>
        </w:rPr>
        <w:t xml:space="preserve"> : </w:t>
      </w:r>
      <w:r>
        <w:rPr>
          <w:lang w:val="en-GB"/>
        </w:rPr>
        <w:t>Comparison of treatment at inclusion between the whole initial population and the complete follow-up population</w:t>
      </w:r>
    </w:p>
    <w:p w:rsidR="00EB6743" w:rsidRDefault="00EB6743" w:rsidP="00A601FC">
      <w:pPr>
        <w:pStyle w:val="PlainText"/>
        <w:widowControl w:val="0"/>
        <w:tabs>
          <w:tab w:val="left" w:pos="8039"/>
        </w:tabs>
        <w:rPr>
          <w:lang w:val="en-GB"/>
        </w:rPr>
      </w:pPr>
    </w:p>
    <w:p w:rsidR="00520C73" w:rsidRPr="00E2572F" w:rsidRDefault="00520C73" w:rsidP="00A601FC">
      <w:pPr>
        <w:pStyle w:val="PlainText"/>
        <w:widowControl w:val="0"/>
        <w:jc w:val="both"/>
        <w:rPr>
          <w:lang w:val="en-GB"/>
        </w:rPr>
      </w:pPr>
    </w:p>
    <w:tbl>
      <w:tblPr>
        <w:tblW w:w="942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6"/>
        <w:gridCol w:w="2760"/>
        <w:gridCol w:w="3056"/>
        <w:gridCol w:w="942"/>
      </w:tblGrid>
      <w:tr w:rsidR="00520C73" w:rsidTr="001C605F">
        <w:trPr>
          <w:trHeight w:val="342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 xml:space="preserve">Whole population </w:t>
            </w:r>
          </w:p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(n=364)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Complete follow-up population (n=215)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</w:rPr>
            </w:pPr>
            <w:r w:rsidRPr="00883B17">
              <w:rPr>
                <w:b/>
                <w:lang w:val="en-US"/>
              </w:rPr>
              <w:t>P</w:t>
            </w:r>
          </w:p>
        </w:tc>
      </w:tr>
      <w:tr w:rsidR="00520C73" w:rsidTr="001C605F">
        <w:trPr>
          <w:trHeight w:val="382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Corticosteroids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187 (51.4%)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114</w:t>
            </w:r>
            <w:r>
              <w:rPr>
                <w:lang w:val="en-US"/>
              </w:rPr>
              <w:t xml:space="preserve"> (53%)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</w:pPr>
            <w:r>
              <w:t>0.70</w:t>
            </w:r>
          </w:p>
        </w:tc>
      </w:tr>
      <w:tr w:rsidR="00520C73" w:rsidTr="001C605F">
        <w:trPr>
          <w:trHeight w:val="382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 xml:space="preserve">Dose of corticosteroids </w:t>
            </w:r>
          </w:p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(mg/day ; mean)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7.3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6.32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</w:pPr>
            <w:r>
              <w:t>0.12</w:t>
            </w:r>
          </w:p>
        </w:tc>
      </w:tr>
      <w:tr w:rsidR="00520C73" w:rsidTr="001C605F">
        <w:trPr>
          <w:trHeight w:val="382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csDMARDs only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221 (60.7%)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122</w:t>
            </w:r>
            <w:r>
              <w:rPr>
                <w:lang w:val="en-US"/>
              </w:rPr>
              <w:t xml:space="preserve"> (56.7%)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</w:pPr>
            <w:r>
              <w:t>0.88</w:t>
            </w:r>
          </w:p>
        </w:tc>
      </w:tr>
      <w:tr w:rsidR="00520C73" w:rsidTr="001C605F">
        <w:trPr>
          <w:trHeight w:val="393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Biologics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 (27.2%)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74</w:t>
            </w:r>
            <w:r>
              <w:rPr>
                <w:lang w:val="en-US"/>
              </w:rPr>
              <w:t xml:space="preserve"> (34.4%)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</w:pPr>
            <w:r>
              <w:t>0.07</w:t>
            </w:r>
          </w:p>
        </w:tc>
      </w:tr>
      <w:tr w:rsidR="00520C73" w:rsidTr="001C605F">
        <w:trPr>
          <w:trHeight w:val="49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csDMARD and bDMARD coprescription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70 (19.5%) 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45</w:t>
            </w:r>
            <w:r>
              <w:rPr>
                <w:lang w:val="en-US"/>
              </w:rPr>
              <w:t xml:space="preserve"> (20.9%)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</w:pPr>
            <w:r>
              <w:t>0.62</w:t>
            </w:r>
          </w:p>
        </w:tc>
      </w:tr>
      <w:tr w:rsidR="00520C73" w:rsidRPr="00630197" w:rsidTr="001C605F">
        <w:trPr>
          <w:trHeight w:val="49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bDMARDs only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29 (7.7%)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29</w:t>
            </w:r>
            <w:r>
              <w:rPr>
                <w:lang w:val="en-US"/>
              </w:rPr>
              <w:t xml:space="preserve"> (13.5%)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63019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0.03</w:t>
            </w:r>
          </w:p>
        </w:tc>
      </w:tr>
      <w:tr w:rsidR="00520C73" w:rsidTr="001C605F">
        <w:trPr>
          <w:trHeight w:val="49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No DMARD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44 (12.1%)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19</w:t>
            </w:r>
            <w:r>
              <w:rPr>
                <w:lang w:val="en-US"/>
              </w:rPr>
              <w:t xml:space="preserve"> (8.8%)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</w:tr>
    </w:tbl>
    <w:p w:rsidR="00EB6743" w:rsidRDefault="00EB6743" w:rsidP="00A601FC">
      <w:pPr>
        <w:pStyle w:val="PlainText"/>
        <w:widowControl w:val="0"/>
        <w:tabs>
          <w:tab w:val="left" w:pos="8039"/>
        </w:tabs>
        <w:rPr>
          <w:lang w:val="en-GB"/>
        </w:rPr>
      </w:pPr>
      <w:r>
        <w:rPr>
          <w:lang w:val="en-GB"/>
        </w:rPr>
        <w:t>Chi square test and Wilcoxon test</w:t>
      </w:r>
    </w:p>
    <w:p w:rsidR="00EB6743" w:rsidRPr="00B95346" w:rsidRDefault="00EB6743" w:rsidP="00A601FC">
      <w:pPr>
        <w:pStyle w:val="PlainText"/>
        <w:widowControl w:val="0"/>
        <w:tabs>
          <w:tab w:val="left" w:pos="8039"/>
        </w:tabs>
        <w:rPr>
          <w:lang w:val="en-GB"/>
        </w:rPr>
      </w:pPr>
      <w:r w:rsidRPr="00B95346">
        <w:rPr>
          <w:lang w:val="en-GB"/>
        </w:rPr>
        <w:tab/>
      </w:r>
    </w:p>
    <w:p w:rsidR="00EB6743" w:rsidRDefault="00EB6743" w:rsidP="00A601FC">
      <w:pPr>
        <w:widowControl w:val="0"/>
        <w:rPr>
          <w:rFonts w:ascii="Calibri" w:hAnsi="Calibri"/>
          <w:szCs w:val="21"/>
          <w:u w:val="single"/>
          <w:lang w:val="en-GB"/>
        </w:rPr>
      </w:pPr>
      <w:r>
        <w:rPr>
          <w:u w:val="single"/>
          <w:lang w:val="en-GB"/>
        </w:rPr>
        <w:br w:type="page"/>
      </w:r>
    </w:p>
    <w:p w:rsidR="00EB6743" w:rsidRDefault="00EB6743" w:rsidP="00A601FC">
      <w:pPr>
        <w:pStyle w:val="PlainText"/>
        <w:widowControl w:val="0"/>
        <w:jc w:val="both"/>
        <w:rPr>
          <w:lang w:val="en-GB"/>
        </w:rPr>
      </w:pPr>
      <w:r w:rsidRPr="00EB6743">
        <w:rPr>
          <w:u w:val="single"/>
          <w:lang w:val="en-GB"/>
        </w:rPr>
        <w:lastRenderedPageBreak/>
        <w:t xml:space="preserve">Supplementary Table </w:t>
      </w:r>
      <w:r w:rsidR="00A233EF">
        <w:rPr>
          <w:u w:val="single"/>
          <w:lang w:val="en-GB"/>
        </w:rPr>
        <w:t>3</w:t>
      </w:r>
      <w:r w:rsidRPr="00EB6743">
        <w:rPr>
          <w:u w:val="single"/>
          <w:lang w:val="en-GB"/>
        </w:rPr>
        <w:t xml:space="preserve"> : </w:t>
      </w:r>
      <w:r>
        <w:rPr>
          <w:lang w:val="en-GB"/>
        </w:rPr>
        <w:t>Comparison of treatment at inclusion between the lost to follow-up group with DAS28 available and the complete follow-up population</w:t>
      </w:r>
    </w:p>
    <w:p w:rsidR="00520C73" w:rsidRDefault="00520C73" w:rsidP="00A601FC">
      <w:pPr>
        <w:pStyle w:val="PlainText"/>
        <w:widowControl w:val="0"/>
        <w:tabs>
          <w:tab w:val="left" w:pos="8039"/>
        </w:tabs>
        <w:rPr>
          <w:b/>
          <w:lang w:val="en-GB"/>
        </w:rPr>
      </w:pPr>
    </w:p>
    <w:tbl>
      <w:tblPr>
        <w:tblW w:w="942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6"/>
        <w:gridCol w:w="2760"/>
        <w:gridCol w:w="3056"/>
        <w:gridCol w:w="942"/>
      </w:tblGrid>
      <w:tr w:rsidR="00520C73" w:rsidTr="001C605F">
        <w:trPr>
          <w:trHeight w:val="342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Lost to follow-up population</w:t>
            </w:r>
          </w:p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(n=149)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Complete follow-up population (n=215)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</w:rPr>
            </w:pPr>
            <w:r w:rsidRPr="00883B17">
              <w:rPr>
                <w:b/>
                <w:lang w:val="en-US"/>
              </w:rPr>
              <w:t>p</w:t>
            </w:r>
          </w:p>
        </w:tc>
      </w:tr>
      <w:tr w:rsidR="00520C73" w:rsidTr="001C605F">
        <w:trPr>
          <w:trHeight w:val="382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Corticosteroids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73 (49%)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114</w:t>
            </w:r>
            <w:r>
              <w:rPr>
                <w:lang w:val="en-US"/>
              </w:rPr>
              <w:t xml:space="preserve"> (53%)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</w:pPr>
            <w:r>
              <w:t>0.45</w:t>
            </w:r>
          </w:p>
        </w:tc>
      </w:tr>
      <w:tr w:rsidR="00520C73" w:rsidTr="001C605F">
        <w:trPr>
          <w:trHeight w:val="382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Dose of corticosteroids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8.28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6.32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A1142A" w:rsidRDefault="00520C73" w:rsidP="00A601FC">
            <w:pPr>
              <w:pStyle w:val="NoSpacing"/>
              <w:widowControl w:val="0"/>
              <w:jc w:val="center"/>
              <w:rPr>
                <w:b/>
              </w:rPr>
            </w:pPr>
            <w:r w:rsidRPr="00A1142A">
              <w:rPr>
                <w:b/>
              </w:rPr>
              <w:t>&lt; 0.001</w:t>
            </w:r>
          </w:p>
        </w:tc>
      </w:tr>
      <w:tr w:rsidR="00520C73" w:rsidTr="001C605F">
        <w:trPr>
          <w:trHeight w:val="382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csDMARDs only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 (66.4%)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122</w:t>
            </w:r>
            <w:r>
              <w:rPr>
                <w:lang w:val="en-US"/>
              </w:rPr>
              <w:t xml:space="preserve"> (56.7%)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</w:pPr>
            <w:r>
              <w:t>0.06</w:t>
            </w:r>
          </w:p>
        </w:tc>
      </w:tr>
      <w:tr w:rsidR="00520C73" w:rsidTr="001C605F">
        <w:trPr>
          <w:trHeight w:val="393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Biologics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 (16.8%)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74</w:t>
            </w:r>
            <w:r>
              <w:rPr>
                <w:lang w:val="en-US"/>
              </w:rPr>
              <w:t xml:space="preserve"> (34.4%)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A1142A" w:rsidRDefault="00520C73" w:rsidP="00A601FC">
            <w:pPr>
              <w:pStyle w:val="NoSpacing"/>
              <w:widowControl w:val="0"/>
              <w:jc w:val="center"/>
              <w:rPr>
                <w:b/>
              </w:rPr>
            </w:pPr>
            <w:r w:rsidRPr="00A1142A">
              <w:rPr>
                <w:b/>
              </w:rPr>
              <w:t>&lt; 0.001</w:t>
            </w:r>
          </w:p>
        </w:tc>
      </w:tr>
      <w:tr w:rsidR="00520C73" w:rsidTr="001C605F">
        <w:trPr>
          <w:trHeight w:val="49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csDMARD and bDMARD coprescription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 (16.8%)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45</w:t>
            </w:r>
            <w:r>
              <w:rPr>
                <w:lang w:val="en-US"/>
              </w:rPr>
              <w:t xml:space="preserve"> (20.9%)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</w:pPr>
            <w:r>
              <w:t>0.32</w:t>
            </w:r>
          </w:p>
        </w:tc>
      </w:tr>
      <w:tr w:rsidR="00520C73" w:rsidRPr="00630197" w:rsidTr="001C605F">
        <w:trPr>
          <w:trHeight w:val="49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bDMARDs only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29</w:t>
            </w:r>
            <w:r>
              <w:rPr>
                <w:lang w:val="en-US"/>
              </w:rPr>
              <w:t xml:space="preserve"> (13.5%)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63019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0.04</w:t>
            </w:r>
          </w:p>
        </w:tc>
      </w:tr>
      <w:tr w:rsidR="00520C73" w:rsidTr="001C605F">
        <w:trPr>
          <w:trHeight w:val="49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883B17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883B17">
              <w:rPr>
                <w:b/>
                <w:lang w:val="en-US"/>
              </w:rPr>
              <w:t>No DMARD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 (16.8%)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B10BEF" w:rsidRDefault="00520C73" w:rsidP="00A601FC">
            <w:pPr>
              <w:pStyle w:val="NoSpacing"/>
              <w:widowControl w:val="0"/>
              <w:jc w:val="center"/>
              <w:rPr>
                <w:lang w:val="en-US"/>
              </w:rPr>
            </w:pPr>
            <w:r w:rsidRPr="00B10BEF">
              <w:rPr>
                <w:lang w:val="en-US"/>
              </w:rPr>
              <w:t>19</w:t>
            </w:r>
            <w:r>
              <w:rPr>
                <w:lang w:val="en-US"/>
              </w:rPr>
              <w:t xml:space="preserve"> (8.8%)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0C73" w:rsidRPr="00A1142A" w:rsidRDefault="00520C73" w:rsidP="00A601FC">
            <w:pPr>
              <w:pStyle w:val="NoSpacing"/>
              <w:widowControl w:val="0"/>
              <w:jc w:val="center"/>
              <w:rPr>
                <w:b/>
                <w:lang w:val="en-US"/>
              </w:rPr>
            </w:pPr>
            <w:r w:rsidRPr="00A1142A">
              <w:rPr>
                <w:b/>
                <w:lang w:val="en-US"/>
              </w:rPr>
              <w:t>0.02</w:t>
            </w:r>
          </w:p>
        </w:tc>
      </w:tr>
    </w:tbl>
    <w:p w:rsidR="00520C73" w:rsidRPr="003F1020" w:rsidRDefault="00520C73" w:rsidP="00A601FC">
      <w:pPr>
        <w:pStyle w:val="PlainText"/>
        <w:widowControl w:val="0"/>
        <w:tabs>
          <w:tab w:val="left" w:pos="8039"/>
        </w:tabs>
        <w:rPr>
          <w:lang w:val="en-GB"/>
        </w:rPr>
      </w:pPr>
    </w:p>
    <w:p w:rsidR="00EB6743" w:rsidRDefault="00EB6743" w:rsidP="00A601FC">
      <w:pPr>
        <w:pStyle w:val="PlainText"/>
        <w:widowControl w:val="0"/>
        <w:tabs>
          <w:tab w:val="left" w:pos="8039"/>
        </w:tabs>
        <w:rPr>
          <w:lang w:val="en-GB"/>
        </w:rPr>
      </w:pPr>
      <w:r>
        <w:rPr>
          <w:lang w:val="en-GB"/>
        </w:rPr>
        <w:t>Chi square test and Wilcoxon test</w:t>
      </w:r>
    </w:p>
    <w:p w:rsidR="00966819" w:rsidRPr="00EB6743" w:rsidRDefault="00966819" w:rsidP="00A601FC">
      <w:pPr>
        <w:widowControl w:val="0"/>
        <w:rPr>
          <w:u w:val="single"/>
          <w:lang w:val="en-GB"/>
        </w:rPr>
      </w:pPr>
      <w:bookmarkStart w:id="0" w:name="_GoBack"/>
      <w:bookmarkEnd w:id="0"/>
    </w:p>
    <w:sectPr w:rsidR="00966819" w:rsidRPr="00EB67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77" w:rsidRDefault="00877A77" w:rsidP="00553FD1">
      <w:pPr>
        <w:spacing w:after="0" w:line="240" w:lineRule="auto"/>
      </w:pPr>
      <w:r>
        <w:separator/>
      </w:r>
    </w:p>
  </w:endnote>
  <w:endnote w:type="continuationSeparator" w:id="0">
    <w:p w:rsidR="00877A77" w:rsidRDefault="00877A77" w:rsidP="0055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0896273"/>
      <w:docPartObj>
        <w:docPartGallery w:val="Page Numbers (Bottom of Page)"/>
        <w:docPartUnique/>
      </w:docPartObj>
    </w:sdtPr>
    <w:sdtEndPr/>
    <w:sdtContent>
      <w:p w:rsidR="00553FD1" w:rsidRDefault="00553FD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1FC">
          <w:rPr>
            <w:noProof/>
          </w:rPr>
          <w:t>4</w:t>
        </w:r>
        <w:r>
          <w:fldChar w:fldCharType="end"/>
        </w:r>
      </w:p>
    </w:sdtContent>
  </w:sdt>
  <w:p w:rsidR="00553FD1" w:rsidRDefault="00553F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77" w:rsidRDefault="00877A77" w:rsidP="00553FD1">
      <w:pPr>
        <w:spacing w:after="0" w:line="240" w:lineRule="auto"/>
      </w:pPr>
      <w:r>
        <w:separator/>
      </w:r>
    </w:p>
  </w:footnote>
  <w:footnote w:type="continuationSeparator" w:id="0">
    <w:p w:rsidR="00877A77" w:rsidRDefault="00877A77" w:rsidP="0055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19"/>
    <w:rsid w:val="001C2F38"/>
    <w:rsid w:val="00520C73"/>
    <w:rsid w:val="00553FD1"/>
    <w:rsid w:val="007E1BFA"/>
    <w:rsid w:val="00877A77"/>
    <w:rsid w:val="00966819"/>
    <w:rsid w:val="00A233EF"/>
    <w:rsid w:val="00A601FC"/>
    <w:rsid w:val="00E16120"/>
    <w:rsid w:val="00EB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463D67-11EC-46CD-B863-40C292B0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B674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B6743"/>
    <w:rPr>
      <w:rFonts w:ascii="Calibri" w:hAnsi="Calibri"/>
      <w:szCs w:val="21"/>
    </w:rPr>
  </w:style>
  <w:style w:type="paragraph" w:styleId="NoSpacing">
    <w:name w:val="No Spacing"/>
    <w:uiPriority w:val="1"/>
    <w:qFormat/>
    <w:rsid w:val="00EB6743"/>
    <w:pPr>
      <w:spacing w:after="0" w:line="240" w:lineRule="auto"/>
    </w:pPr>
  </w:style>
  <w:style w:type="table" w:styleId="TableGrid">
    <w:name w:val="Table Grid"/>
    <w:basedOn w:val="TableNormal"/>
    <w:uiPriority w:val="39"/>
    <w:rsid w:val="00EB6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libreA">
    <w:name w:val="Format libre A"/>
    <w:rsid w:val="00E16120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sz w:val="24"/>
      <w:szCs w:val="20"/>
      <w:lang w:eastAsia="ar-SA"/>
    </w:rPr>
  </w:style>
  <w:style w:type="character" w:customStyle="1" w:styleId="orcid-id-https">
    <w:name w:val="orcid-id-https"/>
    <w:basedOn w:val="DefaultParagraphFont"/>
    <w:rsid w:val="00E16120"/>
  </w:style>
  <w:style w:type="paragraph" w:styleId="Header">
    <w:name w:val="header"/>
    <w:basedOn w:val="Normal"/>
    <w:link w:val="HeaderChar"/>
    <w:uiPriority w:val="99"/>
    <w:unhideWhenUsed/>
    <w:rsid w:val="00553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FD1"/>
  </w:style>
  <w:style w:type="paragraph" w:styleId="Footer">
    <w:name w:val="footer"/>
    <w:basedOn w:val="Normal"/>
    <w:link w:val="FooterChar"/>
    <w:uiPriority w:val="99"/>
    <w:unhideWhenUsed/>
    <w:rsid w:val="00553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LARID</dc:creator>
  <cp:lastModifiedBy>Suresh kumar.S</cp:lastModifiedBy>
  <cp:revision>9</cp:revision>
  <cp:lastPrinted>2021-10-27T08:43:00Z</cp:lastPrinted>
  <dcterms:created xsi:type="dcterms:W3CDTF">2021-10-22T08:42:00Z</dcterms:created>
  <dcterms:modified xsi:type="dcterms:W3CDTF">2022-02-03T08:55:00Z</dcterms:modified>
</cp:coreProperties>
</file>