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404D2" w14:textId="1D70D1AF" w:rsidR="002D0D23" w:rsidRDefault="242986C9" w:rsidP="3EC1276F">
      <w:pPr>
        <w:spacing w:line="257" w:lineRule="auto"/>
        <w:rPr>
          <w:rFonts w:ascii="Times New Roman" w:eastAsia="Times New Roman" w:hAnsi="Times New Roman" w:cs="Times New Roman"/>
          <w:b/>
          <w:bCs/>
          <w:sz w:val="24"/>
          <w:szCs w:val="24"/>
        </w:rPr>
      </w:pPr>
      <w:r w:rsidRPr="3EC1276F">
        <w:rPr>
          <w:rFonts w:ascii="Times New Roman" w:eastAsia="Times New Roman" w:hAnsi="Times New Roman" w:cs="Times New Roman"/>
          <w:sz w:val="24"/>
          <w:szCs w:val="24"/>
        </w:rPr>
        <w:t>Electronic Supplementary Material</w:t>
      </w:r>
    </w:p>
    <w:p w14:paraId="562F0DE4" w14:textId="624C9C88" w:rsidR="002D0D23" w:rsidRDefault="242986C9" w:rsidP="3EC1276F">
      <w:pPr>
        <w:spacing w:line="257" w:lineRule="auto"/>
      </w:pPr>
      <w:r w:rsidRPr="3EC1276F">
        <w:rPr>
          <w:rFonts w:ascii="Times New Roman" w:eastAsia="Times New Roman" w:hAnsi="Times New Roman" w:cs="Times New Roman"/>
          <w:b/>
          <w:bCs/>
          <w:sz w:val="24"/>
          <w:szCs w:val="24"/>
        </w:rPr>
        <w:t xml:space="preserve">Quantitative </w:t>
      </w:r>
      <w:r w:rsidRPr="3EC1276F">
        <w:rPr>
          <w:rFonts w:ascii="Times New Roman" w:eastAsia="Times New Roman" w:hAnsi="Times New Roman" w:cs="Times New Roman"/>
          <w:b/>
          <w:bCs/>
          <w:i/>
          <w:iCs/>
          <w:sz w:val="24"/>
          <w:szCs w:val="24"/>
        </w:rPr>
        <w:t>in vivo</w:t>
      </w:r>
      <w:r w:rsidRPr="3EC1276F">
        <w:rPr>
          <w:rFonts w:ascii="Times New Roman" w:eastAsia="Times New Roman" w:hAnsi="Times New Roman" w:cs="Times New Roman"/>
          <w:b/>
          <w:bCs/>
          <w:sz w:val="24"/>
          <w:szCs w:val="24"/>
        </w:rPr>
        <w:t xml:space="preserve"> micro-computed tomography for monitoring disease activity and treatment response in a collagen-induced arthritis mouse model</w:t>
      </w:r>
    </w:p>
    <w:p w14:paraId="7276C560" w14:textId="77777777" w:rsidR="00D256BC" w:rsidRPr="00D256BC" w:rsidRDefault="00D256BC" w:rsidP="00D256BC">
      <w:pPr>
        <w:spacing w:line="257" w:lineRule="auto"/>
        <w:rPr>
          <w:rFonts w:ascii="Times New Roman" w:eastAsia="Times New Roman" w:hAnsi="Times New Roman" w:cs="Times New Roman"/>
          <w:sz w:val="24"/>
          <w:szCs w:val="24"/>
        </w:rPr>
      </w:pPr>
      <w:bookmarkStart w:id="0" w:name="_Hlk87961318"/>
      <w:r w:rsidRPr="00D256BC">
        <w:rPr>
          <w:rFonts w:ascii="Times New Roman" w:eastAsia="Times New Roman" w:hAnsi="Times New Roman" w:cs="Times New Roman"/>
          <w:sz w:val="24"/>
          <w:szCs w:val="24"/>
        </w:rPr>
        <w:t>Audrey E. Lord</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Liang Zhang</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Jamie E. Erickson</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Shaughn Bryant</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Christine M. Nelson</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Stephanie M. Gaudette</w:t>
      </w:r>
      <w:r w:rsidRPr="00D256BC">
        <w:rPr>
          <w:rFonts w:ascii="Times New Roman" w:eastAsia="Times New Roman" w:hAnsi="Times New Roman" w:cs="Times New Roman"/>
          <w:sz w:val="24"/>
          <w:szCs w:val="24"/>
          <w:vertAlign w:val="superscript"/>
        </w:rPr>
        <w:t>2</w:t>
      </w:r>
      <w:r w:rsidRPr="00D256BC">
        <w:rPr>
          <w:rFonts w:ascii="Times New Roman" w:eastAsia="Times New Roman" w:hAnsi="Times New Roman" w:cs="Times New Roman"/>
          <w:sz w:val="24"/>
          <w:szCs w:val="24"/>
        </w:rPr>
        <w:t>, Lucy A. Phillips</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Annette J. Schwartz Sterman</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Soumya Mitra</w:t>
      </w: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 xml:space="preserve"> </w:t>
      </w:r>
    </w:p>
    <w:p w14:paraId="517EDA27" w14:textId="77777777" w:rsidR="00D256BC" w:rsidRPr="00D256BC" w:rsidRDefault="00D256BC" w:rsidP="00D256BC">
      <w:pPr>
        <w:spacing w:line="257" w:lineRule="auto"/>
        <w:rPr>
          <w:rFonts w:ascii="Times New Roman" w:eastAsia="Times New Roman" w:hAnsi="Times New Roman" w:cs="Times New Roman"/>
          <w:sz w:val="24"/>
          <w:szCs w:val="24"/>
        </w:rPr>
      </w:pPr>
      <w:r w:rsidRPr="00D256BC">
        <w:rPr>
          <w:rFonts w:ascii="Times New Roman" w:eastAsia="Times New Roman" w:hAnsi="Times New Roman" w:cs="Times New Roman"/>
          <w:sz w:val="24"/>
          <w:szCs w:val="24"/>
          <w:vertAlign w:val="superscript"/>
        </w:rPr>
        <w:t>1</w:t>
      </w:r>
      <w:r w:rsidRPr="00D256BC">
        <w:rPr>
          <w:rFonts w:ascii="Times New Roman" w:eastAsia="Times New Roman" w:hAnsi="Times New Roman" w:cs="Times New Roman"/>
          <w:sz w:val="24"/>
          <w:szCs w:val="24"/>
        </w:rPr>
        <w:t>AbbVie Bioresearch Center, Worcester, MA</w:t>
      </w:r>
    </w:p>
    <w:p w14:paraId="5792063E" w14:textId="1BCB55F6" w:rsidR="002D0D23" w:rsidRPr="00D256BC" w:rsidRDefault="00D256BC" w:rsidP="3EC1276F">
      <w:pPr>
        <w:spacing w:line="257" w:lineRule="auto"/>
        <w:rPr>
          <w:rFonts w:ascii="Times New Roman" w:eastAsia="Times New Roman" w:hAnsi="Times New Roman" w:cs="Times New Roman"/>
          <w:sz w:val="24"/>
          <w:szCs w:val="24"/>
        </w:rPr>
      </w:pPr>
      <w:r w:rsidRPr="00D256BC">
        <w:rPr>
          <w:rFonts w:ascii="Times New Roman" w:eastAsia="Times New Roman" w:hAnsi="Times New Roman" w:cs="Times New Roman"/>
          <w:sz w:val="24"/>
          <w:szCs w:val="24"/>
          <w:vertAlign w:val="superscript"/>
        </w:rPr>
        <w:t>2</w:t>
      </w:r>
      <w:r w:rsidRPr="00D256BC">
        <w:rPr>
          <w:rFonts w:ascii="Times New Roman" w:eastAsia="Times New Roman" w:hAnsi="Times New Roman" w:cs="Times New Roman"/>
          <w:sz w:val="24"/>
          <w:szCs w:val="24"/>
        </w:rPr>
        <w:t>Worcester Technical High School, Worcester, MA</w:t>
      </w:r>
      <w:bookmarkEnd w:id="0"/>
    </w:p>
    <w:p w14:paraId="75E6275B" w14:textId="77777777" w:rsidR="003B00C7" w:rsidRDefault="003B00C7" w:rsidP="3EC1276F">
      <w:pPr>
        <w:spacing w:line="257" w:lineRule="auto"/>
        <w:rPr>
          <w:rFonts w:ascii="Times New Roman" w:eastAsia="Times New Roman" w:hAnsi="Times New Roman" w:cs="Times New Roman"/>
          <w:sz w:val="24"/>
          <w:szCs w:val="24"/>
          <w:vertAlign w:val="superscript"/>
        </w:rPr>
      </w:pPr>
    </w:p>
    <w:p w14:paraId="525DEDF2" w14:textId="728F1359" w:rsidR="002D0D23" w:rsidRDefault="242986C9" w:rsidP="3EC1276F">
      <w:pPr>
        <w:spacing w:line="257" w:lineRule="auto"/>
      </w:pPr>
      <w:r w:rsidRPr="3EC1276F">
        <w:rPr>
          <w:rFonts w:ascii="Times New Roman" w:eastAsia="Times New Roman" w:hAnsi="Times New Roman" w:cs="Times New Roman"/>
          <w:sz w:val="24"/>
          <w:szCs w:val="24"/>
          <w:vertAlign w:val="superscript"/>
        </w:rPr>
        <w:t>*</w:t>
      </w:r>
      <w:r w:rsidRPr="3EC1276F">
        <w:rPr>
          <w:rFonts w:ascii="Times New Roman" w:eastAsia="Times New Roman" w:hAnsi="Times New Roman" w:cs="Times New Roman"/>
          <w:sz w:val="24"/>
          <w:szCs w:val="24"/>
        </w:rPr>
        <w:t>Corresponding Author</w:t>
      </w:r>
    </w:p>
    <w:p w14:paraId="7C74206E" w14:textId="167526E5" w:rsidR="002D0D23" w:rsidRDefault="242986C9">
      <w:r w:rsidRPr="3EC1276F">
        <w:rPr>
          <w:rFonts w:ascii="Times New Roman" w:eastAsia="Times New Roman" w:hAnsi="Times New Roman" w:cs="Times New Roman"/>
          <w:sz w:val="24"/>
          <w:szCs w:val="24"/>
        </w:rPr>
        <w:t>Soumya Mitra, Ph.D.</w:t>
      </w:r>
    </w:p>
    <w:p w14:paraId="05E45CDA" w14:textId="307DB242" w:rsidR="002D0D23" w:rsidRDefault="242986C9">
      <w:r w:rsidRPr="3EC1276F">
        <w:rPr>
          <w:rFonts w:ascii="Times New Roman" w:eastAsia="Times New Roman" w:hAnsi="Times New Roman" w:cs="Times New Roman"/>
          <w:sz w:val="24"/>
          <w:szCs w:val="24"/>
        </w:rPr>
        <w:t>AbbVie Bioresearch Center</w:t>
      </w:r>
    </w:p>
    <w:p w14:paraId="711D89CE" w14:textId="3EC421EA" w:rsidR="002D0D23" w:rsidRDefault="242986C9">
      <w:r w:rsidRPr="3EC1276F">
        <w:rPr>
          <w:rFonts w:ascii="Times New Roman" w:eastAsia="Times New Roman" w:hAnsi="Times New Roman" w:cs="Times New Roman"/>
          <w:sz w:val="24"/>
          <w:szCs w:val="24"/>
        </w:rPr>
        <w:t>Worcester, MA 016015</w:t>
      </w:r>
    </w:p>
    <w:p w14:paraId="14695479" w14:textId="13447D14" w:rsidR="002D0D23" w:rsidRDefault="242986C9">
      <w:r w:rsidRPr="3EC1276F">
        <w:rPr>
          <w:rFonts w:ascii="Times New Roman" w:eastAsia="Times New Roman" w:hAnsi="Times New Roman" w:cs="Times New Roman"/>
          <w:sz w:val="24"/>
          <w:szCs w:val="24"/>
        </w:rPr>
        <w:t>(508)-688-3439</w:t>
      </w:r>
    </w:p>
    <w:p w14:paraId="2C078E63" w14:textId="7BA93029" w:rsidR="002D0D23" w:rsidRDefault="242986C9" w:rsidP="3EC1276F">
      <w:pPr>
        <w:rPr>
          <w:rFonts w:ascii="Times New Roman" w:eastAsia="Times New Roman" w:hAnsi="Times New Roman" w:cs="Times New Roman"/>
          <w:sz w:val="24"/>
          <w:szCs w:val="24"/>
        </w:rPr>
      </w:pPr>
      <w:r w:rsidRPr="3EC1276F">
        <w:rPr>
          <w:rFonts w:ascii="Times New Roman" w:eastAsia="Times New Roman" w:hAnsi="Times New Roman" w:cs="Times New Roman"/>
          <w:sz w:val="24"/>
          <w:szCs w:val="24"/>
        </w:rPr>
        <w:t>soumya.mitra@abbvie.com</w:t>
      </w:r>
    </w:p>
    <w:p w14:paraId="41E83401" w14:textId="032D5560" w:rsidR="3EC1276F" w:rsidRDefault="3EC1276F">
      <w:r>
        <w:br w:type="page"/>
      </w:r>
    </w:p>
    <w:p w14:paraId="4C9FDA31" w14:textId="18B27C95" w:rsidR="364DD5DA" w:rsidRDefault="364DD5DA">
      <w:pPr>
        <w:rPr>
          <w:rFonts w:ascii="Times New Roman" w:eastAsia="Times New Roman" w:hAnsi="Times New Roman" w:cs="Times New Roman"/>
          <w:b/>
          <w:bCs/>
          <w:sz w:val="24"/>
          <w:szCs w:val="24"/>
        </w:rPr>
      </w:pPr>
      <w:r w:rsidRPr="65C45A8D">
        <w:rPr>
          <w:rFonts w:ascii="Times New Roman" w:eastAsia="Times New Roman" w:hAnsi="Times New Roman" w:cs="Times New Roman"/>
          <w:b/>
          <w:bCs/>
          <w:sz w:val="24"/>
          <w:szCs w:val="24"/>
        </w:rPr>
        <w:lastRenderedPageBreak/>
        <w:t>Suppl. Fig. 1</w:t>
      </w:r>
    </w:p>
    <w:p w14:paraId="28BDE5E4" w14:textId="77777777" w:rsidR="00790A8D" w:rsidRDefault="00790A8D" w:rsidP="00790A8D">
      <w:pPr>
        <w:rPr>
          <w:rFonts w:ascii="Times New Roman" w:eastAsia="Times New Roman" w:hAnsi="Times New Roman" w:cs="Times New Roman"/>
          <w:b/>
          <w:bCs/>
          <w:sz w:val="24"/>
          <w:szCs w:val="24"/>
        </w:rPr>
      </w:pPr>
      <w:r w:rsidRPr="00124500">
        <w:rPr>
          <w:rFonts w:ascii="Times New Roman" w:eastAsia="Times New Roman" w:hAnsi="Times New Roman" w:cs="Times New Roman"/>
          <w:b/>
          <w:bCs/>
          <w:noProof/>
          <w:sz w:val="24"/>
          <w:szCs w:val="24"/>
        </w:rPr>
        <w:drawing>
          <wp:inline distT="0" distB="0" distL="0" distR="0" wp14:anchorId="7F58DA29" wp14:editId="0EB65B5F">
            <wp:extent cx="5943600" cy="2051050"/>
            <wp:effectExtent l="0" t="0" r="0" b="6350"/>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a:blip r:embed="rId8"/>
                    <a:stretch>
                      <a:fillRect/>
                    </a:stretch>
                  </pic:blipFill>
                  <pic:spPr>
                    <a:xfrm>
                      <a:off x="0" y="0"/>
                      <a:ext cx="5943600" cy="2051050"/>
                    </a:xfrm>
                    <a:prstGeom prst="rect">
                      <a:avLst/>
                    </a:prstGeom>
                  </pic:spPr>
                </pic:pic>
              </a:graphicData>
            </a:graphic>
          </wp:inline>
        </w:drawing>
      </w:r>
    </w:p>
    <w:p w14:paraId="18293166" w14:textId="77777777" w:rsidR="00790A8D" w:rsidRPr="00124500" w:rsidRDefault="00790A8D" w:rsidP="00790A8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timeline of events pertaining to the study are included here. These time points are relevant for all group except for the naïve group, which had in vivo µCT imaging on days 0, 7, 14, and 28. A subset of the naïve group was imaged using ex vivo µCT and processed for histopathology on Day 0, at 10-12 weeks of age. </w:t>
      </w:r>
    </w:p>
    <w:p w14:paraId="25DDD91D" w14:textId="77777777" w:rsidR="00790A8D" w:rsidRDefault="00790A8D"/>
    <w:p w14:paraId="100C38FC" w14:textId="7592100C" w:rsidR="364DD5DA" w:rsidRPr="007A7F74" w:rsidRDefault="364DD5DA" w:rsidP="006041AB">
      <w:r w:rsidRPr="65C45A8D">
        <w:rPr>
          <w:rFonts w:ascii="Times New Roman" w:eastAsia="Times New Roman" w:hAnsi="Times New Roman" w:cs="Times New Roman"/>
          <w:b/>
          <w:bCs/>
          <w:sz w:val="24"/>
          <w:szCs w:val="24"/>
        </w:rPr>
        <w:t xml:space="preserve"> </w:t>
      </w:r>
    </w:p>
    <w:p w14:paraId="1AA89694" w14:textId="5C31D6F1" w:rsidR="00E32A26" w:rsidRDefault="00E32A2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F0FC978" w14:textId="36C97CF7" w:rsidR="3EC1276F" w:rsidRDefault="00E32A26" w:rsidP="3EC1276F">
      <w:pPr>
        <w:rPr>
          <w:rFonts w:ascii="Times New Roman" w:eastAsia="Times New Roman" w:hAnsi="Times New Roman" w:cs="Times New Roman"/>
          <w:b/>
          <w:bCs/>
          <w:sz w:val="24"/>
          <w:szCs w:val="24"/>
        </w:rPr>
      </w:pPr>
      <w:r w:rsidRPr="00E32A26">
        <w:rPr>
          <w:rFonts w:ascii="Times New Roman" w:eastAsia="Times New Roman" w:hAnsi="Times New Roman" w:cs="Times New Roman"/>
          <w:b/>
          <w:bCs/>
          <w:sz w:val="24"/>
          <w:szCs w:val="24"/>
        </w:rPr>
        <w:lastRenderedPageBreak/>
        <w:t xml:space="preserve">Suppl. Fig. </w:t>
      </w:r>
      <w:r w:rsidR="009B3492">
        <w:rPr>
          <w:rFonts w:ascii="Times New Roman" w:eastAsia="Times New Roman" w:hAnsi="Times New Roman" w:cs="Times New Roman"/>
          <w:b/>
          <w:bCs/>
          <w:sz w:val="24"/>
          <w:szCs w:val="24"/>
        </w:rPr>
        <w:t>2</w:t>
      </w:r>
    </w:p>
    <w:p w14:paraId="06D4BF63" w14:textId="672420C3" w:rsidR="00E32A26" w:rsidRPr="002A12E9" w:rsidRDefault="00825E96" w:rsidP="3EC1276F">
      <w:pPr>
        <w:rPr>
          <w:rFonts w:ascii="Times New Roman" w:eastAsia="Times New Roman" w:hAnsi="Times New Roman" w:cs="Times New Roman"/>
          <w:sz w:val="24"/>
          <w:szCs w:val="24"/>
        </w:rPr>
      </w:pPr>
      <w:r w:rsidRPr="00825E96">
        <w:rPr>
          <w:rFonts w:ascii="Times New Roman" w:eastAsia="Times New Roman" w:hAnsi="Times New Roman" w:cs="Times New Roman"/>
          <w:noProof/>
          <w:sz w:val="24"/>
          <w:szCs w:val="24"/>
        </w:rPr>
        <w:drawing>
          <wp:inline distT="0" distB="0" distL="0" distR="0" wp14:anchorId="7009B9B8" wp14:editId="3245A72F">
            <wp:extent cx="4214553" cy="4644757"/>
            <wp:effectExtent l="0" t="0" r="1905" b="381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9"/>
                    <a:stretch>
                      <a:fillRect/>
                    </a:stretch>
                  </pic:blipFill>
                  <pic:spPr>
                    <a:xfrm>
                      <a:off x="0" y="0"/>
                      <a:ext cx="4232390" cy="4664415"/>
                    </a:xfrm>
                    <a:prstGeom prst="rect">
                      <a:avLst/>
                    </a:prstGeom>
                  </pic:spPr>
                </pic:pic>
              </a:graphicData>
            </a:graphic>
          </wp:inline>
        </w:drawing>
      </w:r>
    </w:p>
    <w:p w14:paraId="0D8274C1" w14:textId="332872E3" w:rsidR="0016476B" w:rsidRPr="002A12E9" w:rsidRDefault="00234C7B" w:rsidP="3EC1276F">
      <w:pPr>
        <w:rPr>
          <w:rFonts w:ascii="Times New Roman" w:eastAsia="Times New Roman" w:hAnsi="Times New Roman" w:cs="Times New Roman"/>
          <w:sz w:val="24"/>
          <w:szCs w:val="24"/>
        </w:rPr>
      </w:pPr>
      <w:r w:rsidRPr="00BA305D">
        <w:rPr>
          <w:rFonts w:ascii="Times New Roman" w:eastAsia="Times New Roman" w:hAnsi="Times New Roman" w:cs="Times New Roman"/>
          <w:sz w:val="24"/>
          <w:szCs w:val="24"/>
        </w:rPr>
        <w:t>(</w:t>
      </w:r>
      <w:r w:rsidRPr="00BA305D">
        <w:rPr>
          <w:rFonts w:ascii="Times New Roman" w:eastAsia="Times New Roman" w:hAnsi="Times New Roman" w:cs="Times New Roman"/>
          <w:b/>
          <w:bCs/>
          <w:sz w:val="24"/>
          <w:szCs w:val="24"/>
        </w:rPr>
        <w:t>a</w:t>
      </w:r>
      <w:r w:rsidRPr="00BA305D">
        <w:rPr>
          <w:rFonts w:ascii="Times New Roman" w:eastAsia="Times New Roman" w:hAnsi="Times New Roman" w:cs="Times New Roman"/>
          <w:sz w:val="24"/>
          <w:szCs w:val="24"/>
        </w:rPr>
        <w:t xml:space="preserve">) A frequency histogram </w:t>
      </w:r>
      <w:r w:rsidR="0017648A" w:rsidRPr="00BA305D">
        <w:rPr>
          <w:rFonts w:ascii="Times New Roman" w:eastAsia="Times New Roman" w:hAnsi="Times New Roman" w:cs="Times New Roman"/>
          <w:sz w:val="24"/>
          <w:szCs w:val="24"/>
        </w:rPr>
        <w:t xml:space="preserve">shows the densities of voxels in </w:t>
      </w:r>
      <w:r w:rsidR="00825E96" w:rsidRPr="00BA305D">
        <w:rPr>
          <w:rFonts w:ascii="Times New Roman" w:eastAsia="Times New Roman" w:hAnsi="Times New Roman" w:cs="Times New Roman"/>
          <w:sz w:val="24"/>
          <w:szCs w:val="24"/>
        </w:rPr>
        <w:t>Arbitrary</w:t>
      </w:r>
      <w:r w:rsidR="0017648A" w:rsidRPr="00BA305D">
        <w:rPr>
          <w:rFonts w:ascii="Times New Roman" w:eastAsia="Times New Roman" w:hAnsi="Times New Roman" w:cs="Times New Roman"/>
          <w:sz w:val="24"/>
          <w:szCs w:val="24"/>
        </w:rPr>
        <w:t xml:space="preserve"> Units</w:t>
      </w:r>
      <w:r w:rsidR="008F2C4E" w:rsidRPr="00BA305D">
        <w:rPr>
          <w:rFonts w:ascii="Times New Roman" w:eastAsia="Times New Roman" w:hAnsi="Times New Roman" w:cs="Times New Roman"/>
          <w:sz w:val="24"/>
          <w:szCs w:val="24"/>
        </w:rPr>
        <w:t xml:space="preserve"> </w:t>
      </w:r>
      <w:r w:rsidR="00322367" w:rsidRPr="00BA305D">
        <w:rPr>
          <w:rFonts w:ascii="Times New Roman" w:eastAsia="Times New Roman" w:hAnsi="Times New Roman" w:cs="Times New Roman"/>
          <w:sz w:val="24"/>
          <w:szCs w:val="24"/>
        </w:rPr>
        <w:t xml:space="preserve">(AU) </w:t>
      </w:r>
      <w:r w:rsidR="008F2C4E" w:rsidRPr="00BA305D">
        <w:rPr>
          <w:rFonts w:ascii="Times New Roman" w:eastAsia="Times New Roman" w:hAnsi="Times New Roman" w:cs="Times New Roman"/>
          <w:sz w:val="24"/>
          <w:szCs w:val="24"/>
        </w:rPr>
        <w:t>in an</w:t>
      </w:r>
      <w:r w:rsidR="002B7328" w:rsidRPr="00BA305D">
        <w:rPr>
          <w:rFonts w:ascii="Times New Roman" w:eastAsia="Times New Roman" w:hAnsi="Times New Roman" w:cs="Times New Roman"/>
          <w:sz w:val="24"/>
          <w:szCs w:val="24"/>
        </w:rPr>
        <w:t xml:space="preserve"> in vivo </w:t>
      </w:r>
      <w:r w:rsidR="000C394E" w:rsidRPr="00BA305D">
        <w:rPr>
          <w:rFonts w:ascii="Times New Roman" w:eastAsia="Times New Roman" w:hAnsi="Times New Roman" w:cs="Times New Roman"/>
          <w:sz w:val="24"/>
          <w:szCs w:val="24"/>
        </w:rPr>
        <w:t>µ</w:t>
      </w:r>
      <w:r w:rsidR="002B7328" w:rsidRPr="00BA305D">
        <w:rPr>
          <w:rFonts w:ascii="Times New Roman" w:eastAsia="Times New Roman" w:hAnsi="Times New Roman" w:cs="Times New Roman"/>
          <w:sz w:val="24"/>
          <w:szCs w:val="24"/>
        </w:rPr>
        <w:t>CT image</w:t>
      </w:r>
      <w:r w:rsidR="008F2C4E" w:rsidRPr="00BA305D">
        <w:rPr>
          <w:rFonts w:ascii="Times New Roman" w:eastAsia="Times New Roman" w:hAnsi="Times New Roman" w:cs="Times New Roman"/>
          <w:sz w:val="24"/>
          <w:szCs w:val="24"/>
        </w:rPr>
        <w:t>. The image is</w:t>
      </w:r>
      <w:r w:rsidR="004E0A7B" w:rsidRPr="00BA305D">
        <w:rPr>
          <w:rFonts w:ascii="Times New Roman" w:eastAsia="Times New Roman" w:hAnsi="Times New Roman" w:cs="Times New Roman"/>
          <w:sz w:val="24"/>
          <w:szCs w:val="24"/>
        </w:rPr>
        <w:t xml:space="preserve"> of a representative </w:t>
      </w:r>
      <w:r w:rsidR="000C394E" w:rsidRPr="00BA305D">
        <w:rPr>
          <w:rFonts w:ascii="Times New Roman" w:eastAsia="Times New Roman" w:hAnsi="Times New Roman" w:cs="Times New Roman"/>
          <w:sz w:val="24"/>
          <w:szCs w:val="24"/>
        </w:rPr>
        <w:t xml:space="preserve">naïve animal and consists of the same </w:t>
      </w:r>
      <w:r w:rsidR="00CF77E7" w:rsidRPr="00BA305D">
        <w:rPr>
          <w:rFonts w:ascii="Times New Roman" w:eastAsia="Times New Roman" w:hAnsi="Times New Roman" w:cs="Times New Roman"/>
          <w:sz w:val="24"/>
          <w:szCs w:val="24"/>
        </w:rPr>
        <w:t>V</w:t>
      </w:r>
      <w:r w:rsidR="000C394E" w:rsidRPr="00BA305D">
        <w:rPr>
          <w:rFonts w:ascii="Times New Roman" w:eastAsia="Times New Roman" w:hAnsi="Times New Roman" w:cs="Times New Roman"/>
          <w:sz w:val="24"/>
          <w:szCs w:val="24"/>
        </w:rPr>
        <w:t>OI used for other analyses.</w:t>
      </w:r>
      <w:r w:rsidR="00C036CB" w:rsidRPr="00BA305D">
        <w:rPr>
          <w:rFonts w:ascii="Times New Roman" w:eastAsia="Times New Roman" w:hAnsi="Times New Roman" w:cs="Times New Roman"/>
          <w:sz w:val="24"/>
          <w:szCs w:val="24"/>
        </w:rPr>
        <w:t xml:space="preserve"> Vertical dotted lines indicate the density values used for thresholding.</w:t>
      </w:r>
      <w:r w:rsidR="003C3DEE" w:rsidRPr="00BA305D">
        <w:rPr>
          <w:rFonts w:ascii="Times New Roman" w:eastAsia="Times New Roman" w:hAnsi="Times New Roman" w:cs="Times New Roman"/>
          <w:sz w:val="24"/>
          <w:szCs w:val="24"/>
        </w:rPr>
        <w:t xml:space="preserve"> </w:t>
      </w:r>
      <w:r w:rsidR="00DE3D5F" w:rsidRPr="00BA305D">
        <w:rPr>
          <w:rFonts w:ascii="Times New Roman" w:eastAsia="Times New Roman" w:hAnsi="Times New Roman" w:cs="Times New Roman"/>
          <w:sz w:val="24"/>
          <w:szCs w:val="24"/>
        </w:rPr>
        <w:t xml:space="preserve">Arbitrary Units </w:t>
      </w:r>
      <w:r w:rsidR="002613E4" w:rsidRPr="00BA305D">
        <w:rPr>
          <w:rFonts w:ascii="Times New Roman" w:eastAsia="Times New Roman" w:hAnsi="Times New Roman" w:cs="Times New Roman"/>
          <w:sz w:val="24"/>
          <w:szCs w:val="24"/>
        </w:rPr>
        <w:t>have been assigned, as opposed to Hounsfield Units</w:t>
      </w:r>
      <w:r w:rsidR="2B229E6B" w:rsidRPr="00BA305D">
        <w:rPr>
          <w:rFonts w:ascii="Times New Roman" w:eastAsia="Times New Roman" w:hAnsi="Times New Roman" w:cs="Times New Roman"/>
          <w:sz w:val="24"/>
          <w:szCs w:val="24"/>
        </w:rPr>
        <w:t xml:space="preserve"> (HU)</w:t>
      </w:r>
      <w:r w:rsidR="002613E4" w:rsidRPr="00BA305D">
        <w:rPr>
          <w:rFonts w:ascii="Times New Roman" w:eastAsia="Times New Roman" w:hAnsi="Times New Roman" w:cs="Times New Roman"/>
          <w:sz w:val="24"/>
          <w:szCs w:val="24"/>
        </w:rPr>
        <w:t xml:space="preserve">, due to the fact that µCT </w:t>
      </w:r>
      <w:r w:rsidR="00831A9C" w:rsidRPr="00BA305D">
        <w:rPr>
          <w:rFonts w:ascii="Times New Roman" w:eastAsia="Times New Roman" w:hAnsi="Times New Roman" w:cs="Times New Roman"/>
          <w:sz w:val="24"/>
          <w:szCs w:val="24"/>
        </w:rPr>
        <w:t>can be linearly calibrated between -1000 HU and 0 HU</w:t>
      </w:r>
      <w:r w:rsidR="000D669D" w:rsidRPr="00BA305D">
        <w:rPr>
          <w:rFonts w:ascii="Times New Roman" w:eastAsia="Times New Roman" w:hAnsi="Times New Roman" w:cs="Times New Roman"/>
          <w:sz w:val="24"/>
          <w:szCs w:val="24"/>
        </w:rPr>
        <w:t xml:space="preserve">. However, at far denser ranges such as that of bone, </w:t>
      </w:r>
      <w:r w:rsidR="00932B47" w:rsidRPr="00BA305D">
        <w:rPr>
          <w:rFonts w:ascii="Times New Roman" w:eastAsia="Times New Roman" w:hAnsi="Times New Roman" w:cs="Times New Roman"/>
          <w:sz w:val="24"/>
          <w:szCs w:val="24"/>
        </w:rPr>
        <w:t xml:space="preserve">the correction factors and absorption coefficients may be gradually off, leading to </w:t>
      </w:r>
      <w:r w:rsidR="00897D51" w:rsidRPr="00BA305D">
        <w:rPr>
          <w:rFonts w:ascii="Times New Roman" w:eastAsia="Times New Roman" w:hAnsi="Times New Roman" w:cs="Times New Roman"/>
          <w:sz w:val="24"/>
          <w:szCs w:val="24"/>
        </w:rPr>
        <w:t xml:space="preserve">an inaccurate representation of </w:t>
      </w:r>
      <w:r w:rsidR="5F2932B7" w:rsidRPr="00BA305D">
        <w:rPr>
          <w:rFonts w:ascii="Times New Roman" w:eastAsia="Times New Roman" w:hAnsi="Times New Roman" w:cs="Times New Roman"/>
          <w:sz w:val="24"/>
          <w:szCs w:val="24"/>
        </w:rPr>
        <w:t xml:space="preserve">HU </w:t>
      </w:r>
      <w:r w:rsidR="00897D51" w:rsidRPr="00BA305D">
        <w:rPr>
          <w:rFonts w:ascii="Times New Roman" w:eastAsia="Times New Roman" w:hAnsi="Times New Roman" w:cs="Times New Roman"/>
          <w:sz w:val="24"/>
          <w:szCs w:val="24"/>
        </w:rPr>
        <w:t>values in th</w:t>
      </w:r>
      <w:r w:rsidR="00EB2CEE" w:rsidRPr="00BA305D">
        <w:rPr>
          <w:rFonts w:ascii="Times New Roman" w:eastAsia="Times New Roman" w:hAnsi="Times New Roman" w:cs="Times New Roman"/>
          <w:sz w:val="24"/>
          <w:szCs w:val="24"/>
        </w:rPr>
        <w:t>e range of bone. Further, these differences become highly dependent on the scanner</w:t>
      </w:r>
      <w:r w:rsidR="00C7350F" w:rsidRPr="00BA305D">
        <w:rPr>
          <w:rFonts w:ascii="Times New Roman" w:eastAsia="Times New Roman" w:hAnsi="Times New Roman" w:cs="Times New Roman"/>
          <w:sz w:val="24"/>
          <w:szCs w:val="24"/>
        </w:rPr>
        <w:t xml:space="preserve">. While </w:t>
      </w:r>
      <w:r w:rsidR="00E573B3" w:rsidRPr="00BA305D">
        <w:rPr>
          <w:rFonts w:ascii="Times New Roman" w:eastAsia="Times New Roman" w:hAnsi="Times New Roman" w:cs="Times New Roman"/>
          <w:sz w:val="24"/>
          <w:szCs w:val="24"/>
        </w:rPr>
        <w:t>H</w:t>
      </w:r>
      <w:r w:rsidR="1B78C0CA" w:rsidRPr="00BA305D">
        <w:rPr>
          <w:rFonts w:ascii="Times New Roman" w:eastAsia="Times New Roman" w:hAnsi="Times New Roman" w:cs="Times New Roman"/>
          <w:sz w:val="24"/>
          <w:szCs w:val="24"/>
        </w:rPr>
        <w:t>U</w:t>
      </w:r>
      <w:r w:rsidR="00E573B3" w:rsidRPr="00BA305D">
        <w:rPr>
          <w:rFonts w:ascii="Times New Roman" w:eastAsia="Times New Roman" w:hAnsi="Times New Roman" w:cs="Times New Roman"/>
          <w:sz w:val="24"/>
          <w:szCs w:val="24"/>
        </w:rPr>
        <w:t xml:space="preserve"> may still be appropriate for soft tissue thresholding, they cannot reliably be assigned here for bone.</w:t>
      </w:r>
      <w:r w:rsidR="00EB2CEE" w:rsidRPr="00BA305D">
        <w:rPr>
          <w:rFonts w:ascii="Times New Roman" w:eastAsia="Times New Roman" w:hAnsi="Times New Roman" w:cs="Times New Roman"/>
          <w:sz w:val="24"/>
          <w:szCs w:val="24"/>
        </w:rPr>
        <w:t xml:space="preserve"> </w:t>
      </w:r>
      <w:r w:rsidRPr="00BA305D">
        <w:rPr>
          <w:rFonts w:ascii="Times New Roman" w:eastAsia="Times New Roman" w:hAnsi="Times New Roman" w:cs="Times New Roman"/>
          <w:sz w:val="24"/>
          <w:szCs w:val="24"/>
        </w:rPr>
        <w:t>(</w:t>
      </w:r>
      <w:r w:rsidRPr="00BA305D">
        <w:rPr>
          <w:rFonts w:ascii="Times New Roman" w:eastAsia="Times New Roman" w:hAnsi="Times New Roman" w:cs="Times New Roman"/>
          <w:b/>
          <w:bCs/>
          <w:sz w:val="24"/>
          <w:szCs w:val="24"/>
        </w:rPr>
        <w:t>b</w:t>
      </w:r>
      <w:r w:rsidRPr="00BA305D">
        <w:rPr>
          <w:rFonts w:ascii="Times New Roman" w:eastAsia="Times New Roman" w:hAnsi="Times New Roman" w:cs="Times New Roman"/>
          <w:sz w:val="24"/>
          <w:szCs w:val="24"/>
        </w:rPr>
        <w:t xml:space="preserve">) </w:t>
      </w:r>
      <w:r w:rsidR="001B4815" w:rsidRPr="00BA305D">
        <w:rPr>
          <w:rFonts w:ascii="Times New Roman" w:eastAsia="Times New Roman" w:hAnsi="Times New Roman" w:cs="Times New Roman"/>
          <w:sz w:val="24"/>
          <w:szCs w:val="24"/>
        </w:rPr>
        <w:t xml:space="preserve">This frequency histogram shows a </w:t>
      </w:r>
      <w:r w:rsidR="0016476B" w:rsidRPr="00BA305D">
        <w:rPr>
          <w:rFonts w:ascii="Times New Roman" w:eastAsia="Times New Roman" w:hAnsi="Times New Roman" w:cs="Times New Roman"/>
          <w:sz w:val="24"/>
          <w:szCs w:val="24"/>
        </w:rPr>
        <w:t>narrower</w:t>
      </w:r>
      <w:r w:rsidR="001B4815" w:rsidRPr="00BA305D">
        <w:rPr>
          <w:rFonts w:ascii="Times New Roman" w:eastAsia="Times New Roman" w:hAnsi="Times New Roman" w:cs="Times New Roman"/>
          <w:sz w:val="24"/>
          <w:szCs w:val="24"/>
        </w:rPr>
        <w:t xml:space="preserve"> range of densities to illustrate the changes in bone density associated with disease and treatment</w:t>
      </w:r>
      <w:r w:rsidR="00F138D9" w:rsidRPr="00BA305D">
        <w:rPr>
          <w:rFonts w:ascii="Times New Roman" w:eastAsia="Times New Roman" w:hAnsi="Times New Roman" w:cs="Times New Roman"/>
          <w:sz w:val="24"/>
          <w:szCs w:val="24"/>
        </w:rPr>
        <w:t xml:space="preserve"> </w:t>
      </w:r>
      <w:r w:rsidR="353484B6" w:rsidRPr="00BA305D">
        <w:rPr>
          <w:rFonts w:ascii="Times New Roman" w:eastAsia="Times New Roman" w:hAnsi="Times New Roman" w:cs="Times New Roman"/>
          <w:sz w:val="24"/>
          <w:szCs w:val="24"/>
        </w:rPr>
        <w:t>on</w:t>
      </w:r>
      <w:r w:rsidR="00F138D9" w:rsidRPr="00BA305D">
        <w:rPr>
          <w:rFonts w:ascii="Times New Roman" w:eastAsia="Times New Roman" w:hAnsi="Times New Roman" w:cs="Times New Roman"/>
          <w:sz w:val="24"/>
          <w:szCs w:val="24"/>
        </w:rPr>
        <w:t xml:space="preserve"> Day 21 of disease</w:t>
      </w:r>
      <w:r w:rsidR="001B4815" w:rsidRPr="00BA305D">
        <w:rPr>
          <w:rFonts w:ascii="Times New Roman" w:eastAsia="Times New Roman" w:hAnsi="Times New Roman" w:cs="Times New Roman"/>
          <w:sz w:val="24"/>
          <w:szCs w:val="24"/>
        </w:rPr>
        <w:t xml:space="preserve">. </w:t>
      </w:r>
      <w:r w:rsidR="00887D8C" w:rsidRPr="00BA305D">
        <w:rPr>
          <w:rFonts w:ascii="Times New Roman" w:eastAsia="Times New Roman" w:hAnsi="Times New Roman" w:cs="Times New Roman"/>
          <w:sz w:val="24"/>
          <w:szCs w:val="24"/>
        </w:rPr>
        <w:t xml:space="preserve">All voxels with a density greater than 3500 </w:t>
      </w:r>
      <w:r w:rsidR="00322367" w:rsidRPr="00BA305D">
        <w:rPr>
          <w:rFonts w:ascii="Times New Roman" w:eastAsia="Times New Roman" w:hAnsi="Times New Roman" w:cs="Times New Roman"/>
          <w:sz w:val="24"/>
          <w:szCs w:val="24"/>
        </w:rPr>
        <w:t>A</w:t>
      </w:r>
      <w:r w:rsidR="00887D8C" w:rsidRPr="00BA305D">
        <w:rPr>
          <w:rFonts w:ascii="Times New Roman" w:eastAsia="Times New Roman" w:hAnsi="Times New Roman" w:cs="Times New Roman"/>
          <w:sz w:val="24"/>
          <w:szCs w:val="24"/>
        </w:rPr>
        <w:t xml:space="preserve">U were attributed to bone. The number of voxels in this </w:t>
      </w:r>
      <w:r w:rsidR="0016476B" w:rsidRPr="00BA305D">
        <w:rPr>
          <w:rFonts w:ascii="Times New Roman" w:eastAsia="Times New Roman" w:hAnsi="Times New Roman" w:cs="Times New Roman"/>
          <w:sz w:val="24"/>
          <w:szCs w:val="24"/>
        </w:rPr>
        <w:t>density range</w:t>
      </w:r>
      <w:r w:rsidR="00887D8C" w:rsidRPr="00BA305D">
        <w:rPr>
          <w:rFonts w:ascii="Times New Roman" w:eastAsia="Times New Roman" w:hAnsi="Times New Roman" w:cs="Times New Roman"/>
          <w:sz w:val="24"/>
          <w:szCs w:val="24"/>
        </w:rPr>
        <w:t xml:space="preserve"> decreased with disease and prednisolone treatment </w:t>
      </w:r>
      <w:r w:rsidR="0016476B" w:rsidRPr="00BA305D">
        <w:rPr>
          <w:rFonts w:ascii="Times New Roman" w:eastAsia="Times New Roman" w:hAnsi="Times New Roman" w:cs="Times New Roman"/>
          <w:sz w:val="24"/>
          <w:szCs w:val="24"/>
        </w:rPr>
        <w:t xml:space="preserve">increased the number of voxels as compared to the untreated group. </w:t>
      </w:r>
      <w:r w:rsidR="007E3FE1" w:rsidRPr="00BA305D">
        <w:rPr>
          <w:rFonts w:ascii="Times New Roman" w:eastAsia="Times New Roman" w:hAnsi="Times New Roman" w:cs="Times New Roman"/>
          <w:sz w:val="24"/>
          <w:szCs w:val="24"/>
        </w:rPr>
        <w:t xml:space="preserve">The formation of bone which is less than 3500 </w:t>
      </w:r>
      <w:r w:rsidR="00D31567" w:rsidRPr="00BA305D">
        <w:rPr>
          <w:rFonts w:ascii="Times New Roman" w:eastAsia="Times New Roman" w:hAnsi="Times New Roman" w:cs="Times New Roman"/>
          <w:sz w:val="24"/>
          <w:szCs w:val="24"/>
        </w:rPr>
        <w:t>A</w:t>
      </w:r>
      <w:r w:rsidR="007E3FE1" w:rsidRPr="00BA305D">
        <w:rPr>
          <w:rFonts w:ascii="Times New Roman" w:eastAsia="Times New Roman" w:hAnsi="Times New Roman" w:cs="Times New Roman"/>
          <w:sz w:val="24"/>
          <w:szCs w:val="24"/>
        </w:rPr>
        <w:t xml:space="preserve">U </w:t>
      </w:r>
      <w:r w:rsidR="009554F7" w:rsidRPr="00BA305D">
        <w:rPr>
          <w:rFonts w:ascii="Times New Roman" w:eastAsia="Times New Roman" w:hAnsi="Times New Roman" w:cs="Times New Roman"/>
          <w:sz w:val="24"/>
          <w:szCs w:val="24"/>
        </w:rPr>
        <w:t xml:space="preserve">can likely be attributed to the formation of periosteal bone which is associated with </w:t>
      </w:r>
      <w:r w:rsidR="002A12E9" w:rsidRPr="00BA305D">
        <w:rPr>
          <w:rFonts w:ascii="Times New Roman" w:eastAsia="Times New Roman" w:hAnsi="Times New Roman" w:cs="Times New Roman"/>
          <w:sz w:val="24"/>
          <w:szCs w:val="24"/>
        </w:rPr>
        <w:t>RA and CIA</w:t>
      </w:r>
      <w:r w:rsidR="002A12E9" w:rsidRPr="00BA305D">
        <w:rPr>
          <w:rFonts w:ascii="Times New Roman" w:eastAsia="Times New Roman" w:hAnsi="Times New Roman" w:cs="Times New Roman"/>
          <w:sz w:val="24"/>
          <w:szCs w:val="24"/>
          <w:vertAlign w:val="superscript"/>
        </w:rPr>
        <w:t>2</w:t>
      </w:r>
      <w:r w:rsidR="002A12E9" w:rsidRPr="00BA305D">
        <w:rPr>
          <w:rFonts w:ascii="Times New Roman" w:eastAsia="Times New Roman" w:hAnsi="Times New Roman" w:cs="Times New Roman"/>
          <w:sz w:val="24"/>
          <w:szCs w:val="24"/>
        </w:rPr>
        <w:t>.</w:t>
      </w:r>
    </w:p>
    <w:p w14:paraId="79CEB23B" w14:textId="5379F148" w:rsidR="00234C7B" w:rsidRDefault="0016476B" w:rsidP="3EC1276F">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b/>
          <w:bCs/>
          <w:sz w:val="24"/>
          <w:szCs w:val="24"/>
        </w:rPr>
        <w:lastRenderedPageBreak/>
        <w:t>Suppl. Fig. 3</w:t>
      </w:r>
    </w:p>
    <w:p w14:paraId="44FDF72B" w14:textId="538BDD8F" w:rsidR="006041AB" w:rsidRDefault="00EC726F" w:rsidP="006041AB">
      <w:r w:rsidRPr="00EC726F">
        <w:rPr>
          <w:noProof/>
        </w:rPr>
        <w:drawing>
          <wp:inline distT="0" distB="0" distL="0" distR="0" wp14:anchorId="37BF87F3" wp14:editId="17178413">
            <wp:extent cx="5943600" cy="6044565"/>
            <wp:effectExtent l="0" t="0" r="0" b="0"/>
            <wp:docPr id="1" name="Picture 1"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ox and whisker chart&#10;&#10;Description automatically generated"/>
                    <pic:cNvPicPr/>
                  </pic:nvPicPr>
                  <pic:blipFill>
                    <a:blip r:embed="rId10"/>
                    <a:stretch>
                      <a:fillRect/>
                    </a:stretch>
                  </pic:blipFill>
                  <pic:spPr>
                    <a:xfrm>
                      <a:off x="0" y="0"/>
                      <a:ext cx="5943600" cy="6044565"/>
                    </a:xfrm>
                    <a:prstGeom prst="rect">
                      <a:avLst/>
                    </a:prstGeom>
                  </pic:spPr>
                </pic:pic>
              </a:graphicData>
            </a:graphic>
          </wp:inline>
        </w:drawing>
      </w:r>
    </w:p>
    <w:p w14:paraId="5E000329" w14:textId="4A493FE0" w:rsidR="006041AB" w:rsidRPr="00D256BC" w:rsidRDefault="00AF5FA6" w:rsidP="006041AB">
      <w:pPr>
        <w:rPr>
          <w:rFonts w:ascii="Times New Roman" w:eastAsia="Times New Roman" w:hAnsi="Times New Roman" w:cs="Times New Roman"/>
          <w:sz w:val="24"/>
          <w:szCs w:val="24"/>
        </w:rPr>
      </w:pPr>
      <w:r w:rsidRPr="00D256BC">
        <w:rPr>
          <w:rFonts w:ascii="Times New Roman" w:eastAsia="Times New Roman" w:hAnsi="Times New Roman" w:cs="Times New Roman"/>
          <w:sz w:val="24"/>
          <w:szCs w:val="24"/>
        </w:rPr>
        <w:t xml:space="preserve">Blood counts </w:t>
      </w:r>
      <w:r w:rsidR="00B528E6" w:rsidRPr="00D256BC">
        <w:rPr>
          <w:rFonts w:ascii="Times New Roman" w:eastAsia="Times New Roman" w:hAnsi="Times New Roman" w:cs="Times New Roman"/>
          <w:sz w:val="24"/>
          <w:szCs w:val="24"/>
        </w:rPr>
        <w:t xml:space="preserve">are shown for </w:t>
      </w:r>
      <w:r w:rsidR="00C72BAC" w:rsidRPr="00D256BC">
        <w:rPr>
          <w:rFonts w:ascii="Times New Roman" w:eastAsia="Times New Roman" w:hAnsi="Times New Roman" w:cs="Times New Roman"/>
          <w:sz w:val="24"/>
          <w:szCs w:val="24"/>
        </w:rPr>
        <w:t>five</w:t>
      </w:r>
      <w:r w:rsidR="00F02F65" w:rsidRPr="00D256BC">
        <w:rPr>
          <w:rFonts w:ascii="Times New Roman" w:eastAsia="Times New Roman" w:hAnsi="Times New Roman" w:cs="Times New Roman"/>
          <w:sz w:val="24"/>
          <w:szCs w:val="24"/>
        </w:rPr>
        <w:t xml:space="preserve"> </w:t>
      </w:r>
      <w:r w:rsidR="00B528E6" w:rsidRPr="00D256BC">
        <w:rPr>
          <w:rFonts w:ascii="Times New Roman" w:eastAsia="Times New Roman" w:hAnsi="Times New Roman" w:cs="Times New Roman"/>
          <w:sz w:val="24"/>
          <w:szCs w:val="24"/>
        </w:rPr>
        <w:t xml:space="preserve">mice imaged on days 0, 7, 21, and 28. </w:t>
      </w:r>
      <w:r w:rsidR="00C866D8" w:rsidRPr="00D256BC">
        <w:rPr>
          <w:rFonts w:ascii="Times New Roman" w:eastAsia="Times New Roman" w:hAnsi="Times New Roman" w:cs="Times New Roman"/>
          <w:sz w:val="24"/>
          <w:szCs w:val="24"/>
        </w:rPr>
        <w:t xml:space="preserve">Horizontal black dotted lines represent a standard reference range of values for C57BL/6 mice from Charles River Laboratories (Wilmington, MA) and horizontal red lines indicate the mean values from C57BL/6 and DBA/1J mice as provided by Jackson Laboratory (Bar Harbor, ME). Standard mean values for DBA/1J mice were provided by the vendor, Jackson Laboratories. </w:t>
      </w:r>
      <w:r w:rsidR="00882338" w:rsidRPr="00D256BC">
        <w:rPr>
          <w:rFonts w:ascii="Times New Roman" w:eastAsia="Times New Roman" w:hAnsi="Times New Roman" w:cs="Times New Roman"/>
          <w:sz w:val="24"/>
          <w:szCs w:val="24"/>
        </w:rPr>
        <w:t xml:space="preserve">No statistical differences were detected by one-way ANOVA, with the exception </w:t>
      </w:r>
      <w:r w:rsidR="00141C3C" w:rsidRPr="00D256BC">
        <w:rPr>
          <w:rFonts w:ascii="Times New Roman" w:eastAsia="Times New Roman" w:hAnsi="Times New Roman" w:cs="Times New Roman"/>
          <w:sz w:val="24"/>
          <w:szCs w:val="24"/>
        </w:rPr>
        <w:t xml:space="preserve">of red blood cell count. </w:t>
      </w:r>
      <w:r w:rsidR="006041AB" w:rsidRPr="00D256BC">
        <w:rPr>
          <w:rFonts w:ascii="Times New Roman" w:eastAsia="Times New Roman" w:hAnsi="Times New Roman" w:cs="Times New Roman"/>
          <w:sz w:val="24"/>
          <w:szCs w:val="24"/>
        </w:rPr>
        <w:t>(</w:t>
      </w:r>
      <w:r w:rsidR="006041AB" w:rsidRPr="00D256BC">
        <w:rPr>
          <w:rFonts w:ascii="Times New Roman" w:eastAsia="Times New Roman" w:hAnsi="Times New Roman" w:cs="Times New Roman"/>
          <w:b/>
          <w:bCs/>
          <w:sz w:val="24"/>
          <w:szCs w:val="24"/>
        </w:rPr>
        <w:t>a</w:t>
      </w:r>
      <w:r w:rsidR="006041AB" w:rsidRPr="00D256BC">
        <w:rPr>
          <w:rFonts w:ascii="Times New Roman" w:eastAsia="Times New Roman" w:hAnsi="Times New Roman" w:cs="Times New Roman"/>
          <w:sz w:val="24"/>
          <w:szCs w:val="24"/>
        </w:rPr>
        <w:t>)</w:t>
      </w:r>
      <w:r w:rsidR="00FF3D40" w:rsidRPr="00D256BC">
        <w:rPr>
          <w:rFonts w:ascii="Times New Roman" w:eastAsia="Times New Roman" w:hAnsi="Times New Roman" w:cs="Times New Roman"/>
          <w:sz w:val="24"/>
          <w:szCs w:val="24"/>
        </w:rPr>
        <w:t xml:space="preserve"> platelet count</w:t>
      </w:r>
      <w:r w:rsidR="006041AB" w:rsidRPr="00D256BC">
        <w:rPr>
          <w:rFonts w:ascii="Times New Roman" w:eastAsia="Times New Roman" w:hAnsi="Times New Roman" w:cs="Times New Roman"/>
          <w:sz w:val="24"/>
          <w:szCs w:val="24"/>
        </w:rPr>
        <w:t xml:space="preserve"> (</w:t>
      </w:r>
      <w:r w:rsidR="006041AB" w:rsidRPr="00D256BC">
        <w:rPr>
          <w:rFonts w:ascii="Times New Roman" w:eastAsia="Times New Roman" w:hAnsi="Times New Roman" w:cs="Times New Roman"/>
          <w:b/>
          <w:bCs/>
          <w:sz w:val="24"/>
          <w:szCs w:val="24"/>
        </w:rPr>
        <w:t>b</w:t>
      </w:r>
      <w:r w:rsidR="006041AB" w:rsidRPr="00D256BC">
        <w:rPr>
          <w:rFonts w:ascii="Times New Roman" w:eastAsia="Times New Roman" w:hAnsi="Times New Roman" w:cs="Times New Roman"/>
          <w:sz w:val="24"/>
          <w:szCs w:val="24"/>
        </w:rPr>
        <w:t>) red blood cell count, (</w:t>
      </w:r>
      <w:r w:rsidR="006041AB" w:rsidRPr="00D256BC">
        <w:rPr>
          <w:rFonts w:ascii="Times New Roman" w:eastAsia="Times New Roman" w:hAnsi="Times New Roman" w:cs="Times New Roman"/>
          <w:b/>
          <w:bCs/>
          <w:sz w:val="24"/>
          <w:szCs w:val="24"/>
        </w:rPr>
        <w:t>c</w:t>
      </w:r>
      <w:r w:rsidR="006041AB" w:rsidRPr="00D256BC">
        <w:rPr>
          <w:rFonts w:ascii="Times New Roman" w:eastAsia="Times New Roman" w:hAnsi="Times New Roman" w:cs="Times New Roman"/>
          <w:sz w:val="24"/>
          <w:szCs w:val="24"/>
        </w:rPr>
        <w:t>) lymphocyte count, (</w:t>
      </w:r>
      <w:r w:rsidR="006041AB" w:rsidRPr="00D256BC">
        <w:rPr>
          <w:rFonts w:ascii="Times New Roman" w:eastAsia="Times New Roman" w:hAnsi="Times New Roman" w:cs="Times New Roman"/>
          <w:b/>
          <w:bCs/>
          <w:sz w:val="24"/>
          <w:szCs w:val="24"/>
        </w:rPr>
        <w:t>d</w:t>
      </w:r>
      <w:r w:rsidR="006041AB" w:rsidRPr="00D256BC">
        <w:rPr>
          <w:rFonts w:ascii="Times New Roman" w:eastAsia="Times New Roman" w:hAnsi="Times New Roman" w:cs="Times New Roman"/>
          <w:sz w:val="24"/>
          <w:szCs w:val="24"/>
        </w:rPr>
        <w:t>) neutrophil count.</w:t>
      </w:r>
      <w:r w:rsidR="00882338" w:rsidRPr="00D256BC">
        <w:rPr>
          <w:rFonts w:ascii="Times New Roman" w:eastAsia="Times New Roman" w:hAnsi="Times New Roman" w:cs="Times New Roman"/>
          <w:sz w:val="24"/>
          <w:szCs w:val="24"/>
        </w:rPr>
        <w:t xml:space="preserve"> </w:t>
      </w:r>
    </w:p>
    <w:sectPr w:rsidR="006041AB" w:rsidRPr="00D25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xml><?xml version="1.0" encoding="utf-8"?>
<int:Intelligence xmlns:int="http://schemas.microsoft.com/office/intelligence/2019/intelligence">
  <int:IntelligenceSettings/>
  <int:Manifest>
    <int:ParagraphRange paragraphId="226653377" textId="1507453683" start="351" length="20" invalidationStart="351" invalidationLength="20" id="kmCa8TTy"/>
  </int:Manifest>
  <int:Observations>
    <int:Content id="kmCa8TT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864B8F"/>
    <w:multiLevelType w:val="hybridMultilevel"/>
    <w:tmpl w:val="81A0347C"/>
    <w:lvl w:ilvl="0" w:tplc="B7FCED8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4A9580"/>
    <w:rsid w:val="00003C0D"/>
    <w:rsid w:val="000C1F8E"/>
    <w:rsid w:val="000C394E"/>
    <w:rsid w:val="000D669D"/>
    <w:rsid w:val="00124500"/>
    <w:rsid w:val="00133A82"/>
    <w:rsid w:val="00141C3C"/>
    <w:rsid w:val="0016476B"/>
    <w:rsid w:val="0017648A"/>
    <w:rsid w:val="00192933"/>
    <w:rsid w:val="001B3119"/>
    <w:rsid w:val="001B4815"/>
    <w:rsid w:val="001C64B5"/>
    <w:rsid w:val="00212F05"/>
    <w:rsid w:val="00234C7B"/>
    <w:rsid w:val="002613E4"/>
    <w:rsid w:val="002A12E9"/>
    <w:rsid w:val="002B53BF"/>
    <w:rsid w:val="002B7328"/>
    <w:rsid w:val="002D0D23"/>
    <w:rsid w:val="003170E5"/>
    <w:rsid w:val="00322367"/>
    <w:rsid w:val="00351F60"/>
    <w:rsid w:val="003B00C7"/>
    <w:rsid w:val="003C3DEE"/>
    <w:rsid w:val="003F58BE"/>
    <w:rsid w:val="00477DF4"/>
    <w:rsid w:val="004E0A7B"/>
    <w:rsid w:val="00500F99"/>
    <w:rsid w:val="00517840"/>
    <w:rsid w:val="0055478B"/>
    <w:rsid w:val="0056666F"/>
    <w:rsid w:val="005B4A3D"/>
    <w:rsid w:val="006041AB"/>
    <w:rsid w:val="00746506"/>
    <w:rsid w:val="00790A8D"/>
    <w:rsid w:val="007A7F74"/>
    <w:rsid w:val="007E3FE1"/>
    <w:rsid w:val="00814BC7"/>
    <w:rsid w:val="008253CD"/>
    <w:rsid w:val="00825E96"/>
    <w:rsid w:val="00831A9C"/>
    <w:rsid w:val="008372DE"/>
    <w:rsid w:val="00840986"/>
    <w:rsid w:val="00882338"/>
    <w:rsid w:val="00887D8C"/>
    <w:rsid w:val="00897D51"/>
    <w:rsid w:val="008F2C4E"/>
    <w:rsid w:val="00932B47"/>
    <w:rsid w:val="009554F7"/>
    <w:rsid w:val="00976447"/>
    <w:rsid w:val="009B3492"/>
    <w:rsid w:val="009D1B42"/>
    <w:rsid w:val="00A401AF"/>
    <w:rsid w:val="00A40B8F"/>
    <w:rsid w:val="00A64743"/>
    <w:rsid w:val="00AF5FA6"/>
    <w:rsid w:val="00B528E6"/>
    <w:rsid w:val="00B9385F"/>
    <w:rsid w:val="00BA305D"/>
    <w:rsid w:val="00C036CB"/>
    <w:rsid w:val="00C5187F"/>
    <w:rsid w:val="00C72BAC"/>
    <w:rsid w:val="00C7350F"/>
    <w:rsid w:val="00C866D8"/>
    <w:rsid w:val="00C95857"/>
    <w:rsid w:val="00CF77E7"/>
    <w:rsid w:val="00D256BC"/>
    <w:rsid w:val="00D31567"/>
    <w:rsid w:val="00D60D4E"/>
    <w:rsid w:val="00DE3D5F"/>
    <w:rsid w:val="00E32A26"/>
    <w:rsid w:val="00E573B3"/>
    <w:rsid w:val="00E800B9"/>
    <w:rsid w:val="00E91AEC"/>
    <w:rsid w:val="00EB2CEE"/>
    <w:rsid w:val="00EB7BFE"/>
    <w:rsid w:val="00EC726F"/>
    <w:rsid w:val="00EE76A7"/>
    <w:rsid w:val="00F02F65"/>
    <w:rsid w:val="00F138D9"/>
    <w:rsid w:val="00F76503"/>
    <w:rsid w:val="00FB46AF"/>
    <w:rsid w:val="00FF3D40"/>
    <w:rsid w:val="1271FAF4"/>
    <w:rsid w:val="1B78C0CA"/>
    <w:rsid w:val="1F5911D6"/>
    <w:rsid w:val="242986C9"/>
    <w:rsid w:val="2B229E6B"/>
    <w:rsid w:val="353484B6"/>
    <w:rsid w:val="364DD5DA"/>
    <w:rsid w:val="3EC1276F"/>
    <w:rsid w:val="43804706"/>
    <w:rsid w:val="53BAB17E"/>
    <w:rsid w:val="574A9580"/>
    <w:rsid w:val="5B0A7FD6"/>
    <w:rsid w:val="5F2932B7"/>
    <w:rsid w:val="65C45A8D"/>
    <w:rsid w:val="7294CA34"/>
    <w:rsid w:val="783353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A9580"/>
  <w15:chartTrackingRefBased/>
  <w15:docId w15:val="{7C81581B-47CB-4863-A997-0EA44BAA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778b79df8783432f"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E4628C411936428CCD577DA86FF4D9" ma:contentTypeVersion="12" ma:contentTypeDescription="Create a new document." ma:contentTypeScope="" ma:versionID="7b3d4c28843f314ec0e5809885bd6150">
  <xsd:schema xmlns:xsd="http://www.w3.org/2001/XMLSchema" xmlns:xs="http://www.w3.org/2001/XMLSchema" xmlns:p="http://schemas.microsoft.com/office/2006/metadata/properties" xmlns:ns2="2eb2a928-f585-4e22-a57e-c780a610710d" xmlns:ns3="cfc96be5-c0e7-4d04-9483-53ef94ec0e87" targetNamespace="http://schemas.microsoft.com/office/2006/metadata/properties" ma:root="true" ma:fieldsID="442d812a6bd407e1f21a4c5d87152c37" ns2:_="" ns3:_="">
    <xsd:import namespace="2eb2a928-f585-4e22-a57e-c780a610710d"/>
    <xsd:import namespace="cfc96be5-c0e7-4d04-9483-53ef94ec0e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2a928-f585-4e22-a57e-c780a6107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c96be5-c0e7-4d04-9483-53ef94ec0e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876575-4555-457A-84F9-39418E61DD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149FBF-7828-4D3C-8D82-2A2333A24E7C}">
  <ds:schemaRefs>
    <ds:schemaRef ds:uri="http://schemas.microsoft.com/sharepoint/v3/contenttype/forms"/>
  </ds:schemaRefs>
</ds:datastoreItem>
</file>

<file path=customXml/itemProps3.xml><?xml version="1.0" encoding="utf-8"?>
<ds:datastoreItem xmlns:ds="http://schemas.openxmlformats.org/officeDocument/2006/customXml" ds:itemID="{E8AB37C6-CBC2-49FD-B092-875895A04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2a928-f585-4e22-a57e-c780a610710d"/>
    <ds:schemaRef ds:uri="cfc96be5-c0e7-4d04-9483-53ef94ec0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 Audrey E</dc:creator>
  <cp:keywords/>
  <dc:description/>
  <cp:lastModifiedBy>Mitra, Soumya</cp:lastModifiedBy>
  <cp:revision>84</cp:revision>
  <dcterms:created xsi:type="dcterms:W3CDTF">2021-06-03T20:48:00Z</dcterms:created>
  <dcterms:modified xsi:type="dcterms:W3CDTF">2022-01-13T17:17:00Z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0x0101000AE4628C411936428CCD577DA86FF4D9</vt:lpwstr>
  </property>
</Properties>
</file>