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45F" w:rsidRDefault="0009545F" w:rsidP="0009545F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SUPPLEMENTARY MATERIAL</w:t>
      </w:r>
    </w:p>
    <w:p w:rsidR="0009545F" w:rsidRPr="00120423" w:rsidRDefault="00120423" w:rsidP="001204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20423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Untargeted sequencing of circulating microRNAs in a healthy and diseased older population</w:t>
      </w:r>
    </w:p>
    <w:p w:rsidR="00120423" w:rsidRPr="00120423" w:rsidRDefault="00120423" w:rsidP="0012042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Lukas Streese</w:t>
      </w: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, Philippe Demougin</w:t>
      </w: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385F00"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Paula Iborra</w:t>
      </w:r>
      <w:r w:rsidR="00385F00"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 w:rsidR="00385F00"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Alexander Kanitz</w:t>
      </w: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, Arne Deiseroth</w:t>
      </w: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, Julia M. Kröpfl</w:t>
      </w: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, Arno Schmidt-Trucksäss</w:t>
      </w: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, Mihaela Zavolan</w:t>
      </w: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, Henner Hanssen</w:t>
      </w: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*</w:t>
      </w:r>
    </w:p>
    <w:p w:rsidR="00120423" w:rsidRPr="00120423" w:rsidRDefault="00120423" w:rsidP="001204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Department of Sport, Exercise and Health, Medical Faculty, University of Basel, Basel, Switzerland.</w:t>
      </w:r>
    </w:p>
    <w:p w:rsidR="00120423" w:rsidRPr="00120423" w:rsidRDefault="00120423" w:rsidP="001204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Transfaculty Research Platform Molecular and Cognitive Neurosciences, Life Sciences Training Facility, </w:t>
      </w:r>
      <w:proofErr w:type="spellStart"/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Biozentrum</w:t>
      </w:r>
      <w:proofErr w:type="spellEnd"/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, University of Basel, Basel, Switzerland.</w:t>
      </w:r>
    </w:p>
    <w:p w:rsidR="00120423" w:rsidRPr="00120423" w:rsidRDefault="00120423" w:rsidP="0012042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120423">
        <w:rPr>
          <w:rFonts w:ascii="Times New Roman" w:eastAsia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Computational and Systems Biology, </w:t>
      </w:r>
      <w:proofErr w:type="spellStart"/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Biozentrum</w:t>
      </w:r>
      <w:proofErr w:type="spellEnd"/>
      <w:r w:rsidRPr="00120423">
        <w:rPr>
          <w:rFonts w:ascii="Times New Roman" w:eastAsia="Times New Roman" w:hAnsi="Times New Roman" w:cs="Times New Roman"/>
          <w:sz w:val="24"/>
          <w:szCs w:val="24"/>
          <w:lang w:val="en-GB"/>
        </w:rPr>
        <w:t>, University of Basel, Basel, Switzerland.</w:t>
      </w:r>
    </w:p>
    <w:p w:rsidR="0009545F" w:rsidRPr="00120423" w:rsidRDefault="0009545F" w:rsidP="0009545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09545F" w:rsidRPr="0009545F" w:rsidRDefault="0009545F" w:rsidP="0009545F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9545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Short title</w:t>
      </w:r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t>: Untargeted sequencing of circulating miRNAs</w:t>
      </w:r>
    </w:p>
    <w:p w:rsidR="00713826" w:rsidRDefault="00713826" w:rsidP="0009545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13826" w:rsidRDefault="00713826" w:rsidP="0009545F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09545F" w:rsidRPr="0009545F" w:rsidRDefault="0009545F" w:rsidP="0009545F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9545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*Address for correspondence: </w:t>
      </w:r>
      <w:r w:rsidRPr="0009545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br/>
      </w:r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t>Prof. Henner Hanssen, FESC</w:t>
      </w:r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br/>
        <w:t>Professor of Preventive Sports Medicine</w:t>
      </w:r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br/>
        <w:t>Department of Sport, Exercise and Health, University of Basel</w:t>
      </w:r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br/>
      </w:r>
      <w:proofErr w:type="spellStart"/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t>Birsstrasse</w:t>
      </w:r>
      <w:proofErr w:type="spellEnd"/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320 </w:t>
      </w:r>
      <w:proofErr w:type="gramStart"/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t>B ,</w:t>
      </w:r>
      <w:proofErr w:type="gramEnd"/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4052 Basel</w:t>
      </w:r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br/>
        <w:t>Tel. 041 (0)61 377 8746|Fax 041 (0)61 207 4748</w:t>
      </w:r>
      <w:r w:rsidRPr="0009545F">
        <w:rPr>
          <w:rFonts w:ascii="Times New Roman" w:eastAsia="Times New Roman" w:hAnsi="Times New Roman" w:cs="Times New Roman"/>
          <w:sz w:val="24"/>
          <w:szCs w:val="24"/>
          <w:lang w:val="en-GB"/>
        </w:rPr>
        <w:br/>
        <w:t>email: henner.hanssen@unibas.ch</w:t>
      </w:r>
    </w:p>
    <w:p w:rsidR="00E45A14" w:rsidRDefault="00E45A14">
      <w:pPr>
        <w:sectPr w:rsidR="00E45A14">
          <w:pgSz w:w="11906" w:h="16838"/>
          <w:pgMar w:top="1417" w:right="1417" w:bottom="1134" w:left="1417" w:header="708" w:footer="708" w:gutter="0"/>
          <w:pgNumType w:start="1"/>
          <w:cols w:space="720"/>
        </w:sectPr>
      </w:pPr>
    </w:p>
    <w:p w:rsidR="00E45A14" w:rsidRDefault="00FC3CCC">
      <w:r>
        <w:rPr>
          <w:noProof/>
        </w:rPr>
        <w:lastRenderedPageBreak/>
        <w:drawing>
          <wp:inline distT="0" distB="0" distL="0" distR="0">
            <wp:extent cx="5760720" cy="4228465"/>
            <wp:effectExtent l="0" t="0" r="0" b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28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5A14" w:rsidRPr="00BC5852" w:rsidRDefault="00FC3CCC">
      <w:pPr>
        <w:rPr>
          <w:rFonts w:ascii="Times New Roman" w:hAnsi="Times New Roman" w:cs="Times New Roman"/>
          <w:sz w:val="24"/>
        </w:rPr>
      </w:pPr>
      <w:r w:rsidRPr="00BC5852">
        <w:rPr>
          <w:rFonts w:ascii="Times New Roman" w:hAnsi="Times New Roman" w:cs="Times New Roman"/>
          <w:b/>
          <w:sz w:val="24"/>
        </w:rPr>
        <w:t>Figure S1. Flow-chart</w:t>
      </w:r>
    </w:p>
    <w:p w:rsidR="00E45A14" w:rsidRPr="00BC5852" w:rsidRDefault="00FC3CCC">
      <w:pPr>
        <w:rPr>
          <w:rFonts w:ascii="Times New Roman" w:hAnsi="Times New Roman" w:cs="Times New Roman"/>
          <w:sz w:val="24"/>
        </w:rPr>
      </w:pPr>
      <w:r w:rsidRPr="00BC5852">
        <w:rPr>
          <w:rFonts w:ascii="Times New Roman" w:hAnsi="Times New Roman" w:cs="Times New Roman"/>
          <w:sz w:val="24"/>
        </w:rPr>
        <w:t>CV, cardiovascular; HA, healthy active, HS, healthy sedentary, SR, sedentary patients with increased cardiovascular risk.</w:t>
      </w:r>
    </w:p>
    <w:p w:rsidR="00E45A14" w:rsidRDefault="00E45A14">
      <w:pPr>
        <w:rPr>
          <w:rFonts w:ascii="Times New Roman" w:hAnsi="Times New Roman" w:cs="Times New Roman"/>
          <w:sz w:val="24"/>
        </w:rPr>
      </w:pPr>
    </w:p>
    <w:p w:rsidR="00AE242F" w:rsidRDefault="00AE242F">
      <w:pPr>
        <w:rPr>
          <w:rFonts w:ascii="Times New Roman" w:hAnsi="Times New Roman" w:cs="Times New Roman"/>
          <w:sz w:val="24"/>
        </w:rPr>
        <w:sectPr w:rsidR="00AE242F">
          <w:pgSz w:w="11906" w:h="16838"/>
          <w:pgMar w:top="1417" w:right="1417" w:bottom="1134" w:left="1417" w:header="708" w:footer="708" w:gutter="0"/>
          <w:cols w:space="720"/>
        </w:sectPr>
      </w:pPr>
    </w:p>
    <w:p w:rsidR="00AE242F" w:rsidRDefault="00AE24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5548355" cy="7847938"/>
            <wp:effectExtent l="0" t="0" r="0" b="127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es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261" cy="7852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42F" w:rsidRPr="00AE242F" w:rsidRDefault="00AE242F" w:rsidP="00AE242F">
      <w:pPr>
        <w:rPr>
          <w:rFonts w:ascii="Times New Roman" w:hAnsi="Times New Roman" w:cs="Times New Roman"/>
          <w:b/>
          <w:sz w:val="24"/>
        </w:rPr>
      </w:pPr>
      <w:r w:rsidRPr="00AE242F">
        <w:rPr>
          <w:rFonts w:ascii="Times New Roman" w:hAnsi="Times New Roman" w:cs="Times New Roman"/>
          <w:b/>
          <w:sz w:val="24"/>
        </w:rPr>
        <w:t xml:space="preserve">Figure </w:t>
      </w:r>
      <w:r>
        <w:rPr>
          <w:rFonts w:ascii="Times New Roman" w:hAnsi="Times New Roman" w:cs="Times New Roman"/>
          <w:b/>
          <w:sz w:val="24"/>
        </w:rPr>
        <w:t>S2</w:t>
      </w:r>
      <w:r w:rsidRPr="00AE242F">
        <w:rPr>
          <w:rFonts w:ascii="Times New Roman" w:hAnsi="Times New Roman" w:cs="Times New Roman"/>
          <w:b/>
          <w:sz w:val="24"/>
        </w:rPr>
        <w:t xml:space="preserve">. Principal component analysis of the </w:t>
      </w:r>
      <w:r w:rsidR="00A50118" w:rsidRPr="00A50118">
        <w:rPr>
          <w:rFonts w:ascii="Times New Roman" w:hAnsi="Times New Roman" w:cs="Times New Roman"/>
          <w:b/>
          <w:sz w:val="24"/>
        </w:rPr>
        <w:t>differentially expressed miRNAs only</w:t>
      </w:r>
      <w:r w:rsidRPr="00AE242F">
        <w:rPr>
          <w:rFonts w:ascii="Times New Roman" w:hAnsi="Times New Roman" w:cs="Times New Roman"/>
          <w:b/>
          <w:sz w:val="24"/>
        </w:rPr>
        <w:t xml:space="preserve">. </w:t>
      </w:r>
    </w:p>
    <w:p w:rsidR="00E45A14" w:rsidRDefault="00AE242F" w:rsidP="00A50118">
      <w:pPr>
        <w:jc w:val="both"/>
      </w:pPr>
      <w:r w:rsidRPr="00AE242F">
        <w:rPr>
          <w:rFonts w:ascii="Times New Roman" w:hAnsi="Times New Roman" w:cs="Times New Roman"/>
          <w:sz w:val="24"/>
        </w:rPr>
        <w:t xml:space="preserve">(A) Projection of the data on the ﬁrst two principal components, which explain </w:t>
      </w:r>
      <w:r w:rsidR="00A50118">
        <w:rPr>
          <w:rFonts w:ascii="Times New Roman" w:hAnsi="Times New Roman" w:cs="Times New Roman"/>
          <w:sz w:val="24"/>
        </w:rPr>
        <w:t>27</w:t>
      </w:r>
      <w:r w:rsidRPr="00AE242F">
        <w:rPr>
          <w:rFonts w:ascii="Times New Roman" w:hAnsi="Times New Roman" w:cs="Times New Roman"/>
          <w:sz w:val="24"/>
        </w:rPr>
        <w:t xml:space="preserve">% and </w:t>
      </w:r>
      <w:r w:rsidR="00A50118" w:rsidRPr="00AE242F">
        <w:rPr>
          <w:rFonts w:ascii="Times New Roman" w:hAnsi="Times New Roman" w:cs="Times New Roman"/>
          <w:sz w:val="24"/>
        </w:rPr>
        <w:t>~</w:t>
      </w:r>
      <w:r w:rsidR="00A50118">
        <w:rPr>
          <w:rFonts w:ascii="Times New Roman" w:hAnsi="Times New Roman" w:cs="Times New Roman"/>
          <w:sz w:val="24"/>
        </w:rPr>
        <w:t>20</w:t>
      </w:r>
      <w:r w:rsidRPr="00AE242F">
        <w:rPr>
          <w:rFonts w:ascii="Times New Roman" w:hAnsi="Times New Roman" w:cs="Times New Roman"/>
          <w:sz w:val="24"/>
        </w:rPr>
        <w:t>% of the vari</w:t>
      </w:r>
      <w:bookmarkStart w:id="0" w:name="_GoBack"/>
      <w:bookmarkEnd w:id="0"/>
      <w:r w:rsidRPr="00AE242F">
        <w:rPr>
          <w:rFonts w:ascii="Times New Roman" w:hAnsi="Times New Roman" w:cs="Times New Roman"/>
          <w:sz w:val="24"/>
        </w:rPr>
        <w:t xml:space="preserve">ance. (B) PCA loadings of </w:t>
      </w:r>
      <w:r w:rsidR="00A50118">
        <w:rPr>
          <w:rFonts w:ascii="Times New Roman" w:hAnsi="Times New Roman" w:cs="Times New Roman"/>
          <w:sz w:val="24"/>
        </w:rPr>
        <w:t>all</w:t>
      </w:r>
      <w:r w:rsidRPr="00AE242F">
        <w:rPr>
          <w:rFonts w:ascii="Times New Roman" w:hAnsi="Times New Roman" w:cs="Times New Roman"/>
          <w:sz w:val="24"/>
        </w:rPr>
        <w:t xml:space="preserve"> 30 </w:t>
      </w:r>
      <w:r w:rsidR="00A50118" w:rsidRPr="00A50118">
        <w:rPr>
          <w:rFonts w:ascii="Times New Roman" w:hAnsi="Times New Roman" w:cs="Times New Roman"/>
          <w:sz w:val="24"/>
        </w:rPr>
        <w:t xml:space="preserve">deferentially expressed miRNAs with its contribution to the explained variance in the data </w:t>
      </w:r>
      <w:r w:rsidRPr="00AE242F">
        <w:rPr>
          <w:rFonts w:ascii="Times New Roman" w:hAnsi="Times New Roman" w:cs="Times New Roman"/>
          <w:sz w:val="24"/>
        </w:rPr>
        <w:t xml:space="preserve">(as indicated on the </w:t>
      </w:r>
      <w:proofErr w:type="spellStart"/>
      <w:r w:rsidRPr="00AE242F">
        <w:rPr>
          <w:rFonts w:ascii="Times New Roman" w:hAnsi="Times New Roman" w:cs="Times New Roman"/>
          <w:sz w:val="24"/>
        </w:rPr>
        <w:t>colour</w:t>
      </w:r>
      <w:proofErr w:type="spellEnd"/>
      <w:r w:rsidRPr="00AE242F">
        <w:rPr>
          <w:rFonts w:ascii="Times New Roman" w:hAnsi="Times New Roman" w:cs="Times New Roman"/>
          <w:sz w:val="24"/>
        </w:rPr>
        <w:t xml:space="preserve"> scale).</w:t>
      </w:r>
    </w:p>
    <w:p w:rsidR="00543DBA" w:rsidRDefault="00543DBA">
      <w:pPr>
        <w:sectPr w:rsidR="00543DBA">
          <w:pgSz w:w="11906" w:h="16838"/>
          <w:pgMar w:top="1417" w:right="1417" w:bottom="1134" w:left="1417" w:header="708" w:footer="708" w:gutter="0"/>
          <w:cols w:space="720"/>
        </w:sectPr>
      </w:pPr>
    </w:p>
    <w:p w:rsidR="00E45A14" w:rsidRDefault="00FC3CCC">
      <w:r>
        <w:rPr>
          <w:noProof/>
        </w:rPr>
        <w:lastRenderedPageBreak/>
        <w:drawing>
          <wp:inline distT="114300" distB="114300" distL="114300" distR="114300">
            <wp:extent cx="5760410" cy="56642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5664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5A14" w:rsidRPr="00BC5852" w:rsidRDefault="00FC3CCC">
      <w:pPr>
        <w:rPr>
          <w:rFonts w:ascii="Times New Roman" w:hAnsi="Times New Roman" w:cs="Times New Roman"/>
          <w:sz w:val="24"/>
        </w:rPr>
      </w:pPr>
      <w:r w:rsidRPr="00BC5852">
        <w:rPr>
          <w:rFonts w:ascii="Times New Roman" w:hAnsi="Times New Roman" w:cs="Times New Roman"/>
          <w:b/>
          <w:sz w:val="24"/>
        </w:rPr>
        <w:t>Figure S</w:t>
      </w:r>
      <w:r w:rsidR="00AE242F">
        <w:rPr>
          <w:rFonts w:ascii="Times New Roman" w:hAnsi="Times New Roman" w:cs="Times New Roman"/>
          <w:b/>
          <w:sz w:val="24"/>
        </w:rPr>
        <w:t>3</w:t>
      </w:r>
      <w:r w:rsidRPr="00BC5852">
        <w:rPr>
          <w:rFonts w:ascii="Times New Roman" w:hAnsi="Times New Roman" w:cs="Times New Roman"/>
          <w:b/>
          <w:sz w:val="24"/>
        </w:rPr>
        <w:t>. STRING network of top ten target genes associated with cardiovascular disease</w:t>
      </w:r>
    </w:p>
    <w:p w:rsidR="00E45A14" w:rsidRPr="00B41822" w:rsidRDefault="00FC3CCC" w:rsidP="004C0D9A">
      <w:pPr>
        <w:jc w:val="both"/>
        <w:rPr>
          <w:rFonts w:ascii="Times New Roman" w:hAnsi="Times New Roman" w:cs="Times New Roman"/>
          <w:sz w:val="24"/>
          <w:lang w:val="en-GB"/>
        </w:rPr>
      </w:pPr>
      <w:r w:rsidRPr="00B41822">
        <w:rPr>
          <w:rFonts w:ascii="Times New Roman" w:hAnsi="Times New Roman" w:cs="Times New Roman"/>
          <w:sz w:val="24"/>
        </w:rPr>
        <w:t>Top ten target genes of miRNAs highlighted in Figure 3 (</w:t>
      </w:r>
      <w:r w:rsidR="00543DBA" w:rsidRPr="00B41822">
        <w:rPr>
          <w:rFonts w:ascii="Times New Roman" w:hAnsi="Times New Roman" w:cs="Times New Roman"/>
          <w:sz w:val="24"/>
        </w:rPr>
        <w:t>left</w:t>
      </w:r>
      <w:r w:rsidRPr="00B41822">
        <w:rPr>
          <w:rFonts w:ascii="Times New Roman" w:hAnsi="Times New Roman" w:cs="Times New Roman"/>
          <w:sz w:val="24"/>
        </w:rPr>
        <w:t xml:space="preserve"> block) were included in this STRING network.</w:t>
      </w:r>
      <w:r w:rsidR="00BC5852" w:rsidRPr="00B41822">
        <w:rPr>
          <w:rFonts w:ascii="Times New Roman" w:hAnsi="Times New Roman" w:cs="Times New Roman"/>
          <w:sz w:val="24"/>
        </w:rPr>
        <w:t xml:space="preserve"> Color saturation of the edges represents the confidence score of </w:t>
      </w:r>
      <w:r w:rsidR="00521072" w:rsidRPr="00B41822">
        <w:rPr>
          <w:rFonts w:ascii="Times New Roman" w:hAnsi="Times New Roman" w:cs="Times New Roman"/>
          <w:sz w:val="24"/>
        </w:rPr>
        <w:t>the</w:t>
      </w:r>
      <w:r w:rsidR="00BC5852" w:rsidRPr="00B41822">
        <w:rPr>
          <w:rFonts w:ascii="Times New Roman" w:hAnsi="Times New Roman" w:cs="Times New Roman"/>
          <w:sz w:val="24"/>
        </w:rPr>
        <w:t xml:space="preserve"> functional association</w:t>
      </w:r>
      <w:r w:rsidR="008D38E4" w:rsidRPr="00B41822">
        <w:rPr>
          <w:rFonts w:ascii="Times New Roman" w:hAnsi="Times New Roman" w:cs="Times New Roman"/>
          <w:sz w:val="24"/>
        </w:rPr>
        <w:t xml:space="preserve">. Red lines, indicates the presence of fusion evidence; green lines, neighborhood evidence; blue lines, </w:t>
      </w:r>
      <w:r w:rsidR="00A94FBC" w:rsidRPr="00B41822">
        <w:rPr>
          <w:rFonts w:ascii="Times New Roman" w:hAnsi="Times New Roman" w:cs="Times New Roman"/>
          <w:sz w:val="24"/>
        </w:rPr>
        <w:t>cooccurrence evidence; purple lines, experimental evidence; yellow lines, text</w:t>
      </w:r>
      <w:r w:rsidR="00521072" w:rsidRPr="00B41822">
        <w:rPr>
          <w:rFonts w:ascii="Times New Roman" w:hAnsi="Times New Roman" w:cs="Times New Roman"/>
          <w:sz w:val="24"/>
        </w:rPr>
        <w:t>-</w:t>
      </w:r>
      <w:r w:rsidR="00A94FBC" w:rsidRPr="00B41822">
        <w:rPr>
          <w:rFonts w:ascii="Times New Roman" w:hAnsi="Times New Roman" w:cs="Times New Roman"/>
          <w:sz w:val="24"/>
        </w:rPr>
        <w:t>mining evidence; light blue lines, database evidence; black lines, co</w:t>
      </w:r>
      <w:r w:rsidR="00521072" w:rsidRPr="00B41822">
        <w:rPr>
          <w:rFonts w:ascii="Times New Roman" w:hAnsi="Times New Roman" w:cs="Times New Roman"/>
          <w:sz w:val="24"/>
        </w:rPr>
        <w:t>-</w:t>
      </w:r>
      <w:r w:rsidR="00A94FBC" w:rsidRPr="00B41822">
        <w:rPr>
          <w:rFonts w:ascii="Times New Roman" w:hAnsi="Times New Roman" w:cs="Times New Roman"/>
          <w:sz w:val="24"/>
        </w:rPr>
        <w:t xml:space="preserve">expression evidence. </w:t>
      </w:r>
    </w:p>
    <w:p w:rsidR="00E45A14" w:rsidRDefault="00E45A14"/>
    <w:p w:rsidR="00543DBA" w:rsidRDefault="00543DBA">
      <w:pPr>
        <w:sectPr w:rsidR="00543DBA">
          <w:pgSz w:w="11906" w:h="16838"/>
          <w:pgMar w:top="1417" w:right="1417" w:bottom="1134" w:left="1417" w:header="708" w:footer="708" w:gutter="0"/>
          <w:cols w:space="720"/>
        </w:sectPr>
      </w:pPr>
    </w:p>
    <w:p w:rsidR="00E45A14" w:rsidRDefault="00FC3CCC">
      <w:r>
        <w:rPr>
          <w:noProof/>
        </w:rPr>
        <w:lastRenderedPageBreak/>
        <w:drawing>
          <wp:inline distT="114300" distB="114300" distL="114300" distR="114300">
            <wp:extent cx="5760410" cy="32258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225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45A14" w:rsidRPr="00BC5852" w:rsidRDefault="00FC3CCC">
      <w:pPr>
        <w:rPr>
          <w:rFonts w:ascii="Times New Roman" w:hAnsi="Times New Roman" w:cs="Times New Roman"/>
          <w:sz w:val="24"/>
        </w:rPr>
      </w:pPr>
      <w:r w:rsidRPr="00BC5852">
        <w:rPr>
          <w:rFonts w:ascii="Times New Roman" w:hAnsi="Times New Roman" w:cs="Times New Roman"/>
          <w:b/>
          <w:sz w:val="24"/>
        </w:rPr>
        <w:t>Figure S</w:t>
      </w:r>
      <w:r w:rsidR="00AE242F">
        <w:rPr>
          <w:rFonts w:ascii="Times New Roman" w:hAnsi="Times New Roman" w:cs="Times New Roman"/>
          <w:b/>
          <w:sz w:val="24"/>
        </w:rPr>
        <w:t>4</w:t>
      </w:r>
      <w:r w:rsidRPr="00BC5852">
        <w:rPr>
          <w:rFonts w:ascii="Times New Roman" w:hAnsi="Times New Roman" w:cs="Times New Roman"/>
          <w:b/>
          <w:sz w:val="24"/>
        </w:rPr>
        <w:t>. STRING network of top ten target genes associated with a healthy lifestyle</w:t>
      </w:r>
    </w:p>
    <w:p w:rsidR="00E45A14" w:rsidRPr="00B41822" w:rsidRDefault="00FC3CCC" w:rsidP="004C0D9A">
      <w:pPr>
        <w:jc w:val="both"/>
        <w:rPr>
          <w:rFonts w:ascii="Times New Roman" w:hAnsi="Times New Roman" w:cs="Times New Roman"/>
          <w:sz w:val="24"/>
        </w:rPr>
      </w:pPr>
      <w:r w:rsidRPr="00BC5852">
        <w:rPr>
          <w:rFonts w:ascii="Times New Roman" w:hAnsi="Times New Roman" w:cs="Times New Roman"/>
          <w:sz w:val="24"/>
        </w:rPr>
        <w:t xml:space="preserve">Top ten </w:t>
      </w:r>
      <w:r w:rsidRPr="00B41822">
        <w:rPr>
          <w:rFonts w:ascii="Times New Roman" w:hAnsi="Times New Roman" w:cs="Times New Roman"/>
          <w:sz w:val="24"/>
        </w:rPr>
        <w:t>target genes of miRNAs highlighted in Figure 3 (</w:t>
      </w:r>
      <w:r w:rsidR="00543DBA" w:rsidRPr="00B41822">
        <w:rPr>
          <w:rFonts w:ascii="Times New Roman" w:hAnsi="Times New Roman" w:cs="Times New Roman"/>
          <w:sz w:val="24"/>
        </w:rPr>
        <w:t>right</w:t>
      </w:r>
      <w:r w:rsidRPr="00B41822">
        <w:rPr>
          <w:rFonts w:ascii="Times New Roman" w:hAnsi="Times New Roman" w:cs="Times New Roman"/>
          <w:sz w:val="24"/>
        </w:rPr>
        <w:t xml:space="preserve"> block) were included in this STRING network.</w:t>
      </w:r>
      <w:r w:rsidR="004C0D9A" w:rsidRPr="00B41822">
        <w:rPr>
          <w:rFonts w:ascii="Times New Roman" w:hAnsi="Times New Roman" w:cs="Times New Roman"/>
          <w:sz w:val="24"/>
        </w:rPr>
        <w:t xml:space="preserve"> Color saturation of the edges represents the confidence score of a functional association. Red lines, indicates the presence of fusion evidence; blue lines, cooccurrence evidence; purple lines, experimental evidence; yellow lines, text</w:t>
      </w:r>
      <w:r w:rsidR="00521072" w:rsidRPr="00B41822">
        <w:rPr>
          <w:rFonts w:ascii="Times New Roman" w:hAnsi="Times New Roman" w:cs="Times New Roman"/>
          <w:sz w:val="24"/>
        </w:rPr>
        <w:t>-</w:t>
      </w:r>
      <w:r w:rsidR="004C0D9A" w:rsidRPr="00B41822">
        <w:rPr>
          <w:rFonts w:ascii="Times New Roman" w:hAnsi="Times New Roman" w:cs="Times New Roman"/>
          <w:sz w:val="24"/>
        </w:rPr>
        <w:t>mining evidence; light blue lines, database evidence.</w:t>
      </w:r>
    </w:p>
    <w:p w:rsidR="00E45A14" w:rsidRDefault="00E45A14"/>
    <w:p w:rsidR="004C0D9A" w:rsidRDefault="004C0D9A"/>
    <w:p w:rsidR="004C0D9A" w:rsidRDefault="004C0D9A">
      <w:pPr>
        <w:sectPr w:rsidR="004C0D9A">
          <w:pgSz w:w="11906" w:h="16838"/>
          <w:pgMar w:top="1417" w:right="1417" w:bottom="1134" w:left="1417" w:header="708" w:footer="708" w:gutter="0"/>
          <w:cols w:space="720"/>
        </w:sectPr>
      </w:pPr>
    </w:p>
    <w:p w:rsidR="00E45A14" w:rsidRDefault="00FC3CCC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Table S1. Risk factors.</w:t>
      </w:r>
    </w:p>
    <w:tbl>
      <w:tblPr>
        <w:tblStyle w:val="a"/>
        <w:tblW w:w="1105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42"/>
        <w:gridCol w:w="7618"/>
        <w:gridCol w:w="992"/>
      </w:tblGrid>
      <w:tr w:rsidR="00E45A14">
        <w:tc>
          <w:tcPr>
            <w:tcW w:w="244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45A14" w:rsidRDefault="00FD3DE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</w:t>
            </w:r>
            <w:r w:rsidR="00FC3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isk factor</w:t>
            </w:r>
          </w:p>
        </w:tc>
        <w:tc>
          <w:tcPr>
            <w:tcW w:w="761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45A14" w:rsidRDefault="00FD3DEE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</w:t>
            </w:r>
            <w:r w:rsidR="00FC3C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efinition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:rsidR="00E45A14" w:rsidRDefault="00FC3CC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SR</w:t>
            </w:r>
          </w:p>
          <w:p w:rsidR="00E45A14" w:rsidRDefault="00FC3CCC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 (%)</w:t>
            </w:r>
          </w:p>
        </w:tc>
      </w:tr>
      <w:tr w:rsidR="00E45A14" w:rsidRPr="00FD3DEE">
        <w:tc>
          <w:tcPr>
            <w:tcW w:w="2442" w:type="dxa"/>
            <w:tcBorders>
              <w:top w:val="single" w:sz="4" w:space="0" w:color="000000"/>
            </w:tcBorders>
            <w:vAlign w:val="center"/>
          </w:tcPr>
          <w:p w:rsidR="00E45A14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Obesity</w:t>
            </w:r>
          </w:p>
        </w:tc>
        <w:tc>
          <w:tcPr>
            <w:tcW w:w="7618" w:type="dxa"/>
            <w:tcBorders>
              <w:top w:val="single" w:sz="4" w:space="0" w:color="000000"/>
            </w:tcBorders>
          </w:tcPr>
          <w:p w:rsidR="00E45A14" w:rsidRPr="00FD3DEE" w:rsidRDefault="00A5011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0"/>
                <w:id w:val="-1025011324"/>
              </w:sdtPr>
              <w:sdtEndPr/>
              <w:sdtContent>
                <w:r w:rsidR="00FC3CCC" w:rsidRPr="00FD3DEE">
                  <w:rPr>
                    <w:rFonts w:ascii="Times New Roman" w:eastAsia="Gungsuh" w:hAnsi="Times New Roman" w:cs="Times New Roman"/>
                    <w:sz w:val="24"/>
                    <w:szCs w:val="24"/>
                  </w:rPr>
                  <w:t>body mass index ≥30 kg/m</w:t>
                </w:r>
              </w:sdtContent>
            </w:sdt>
            <w:r w:rsidR="00FC3CCC" w:rsidRPr="00FD3DE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</w:tcBorders>
          </w:tcPr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71 (85)</w:t>
            </w:r>
          </w:p>
        </w:tc>
      </w:tr>
      <w:tr w:rsidR="00E45A14" w:rsidRPr="00FD3DEE">
        <w:tc>
          <w:tcPr>
            <w:tcW w:w="2442" w:type="dxa"/>
          </w:tcPr>
          <w:p w:rsidR="00E45A14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Hypertension</w:t>
            </w:r>
          </w:p>
        </w:tc>
        <w:tc>
          <w:tcPr>
            <w:tcW w:w="7618" w:type="dxa"/>
          </w:tcPr>
          <w:p w:rsidR="00E45A14" w:rsidRPr="00FD3DEE" w:rsidRDefault="00A5011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1"/>
                <w:id w:val="-845396144"/>
              </w:sdtPr>
              <w:sdtEndPr/>
              <w:sdtContent>
                <w:r w:rsidR="00FC3CCC" w:rsidRPr="00FD3DEE">
                  <w:rPr>
                    <w:rFonts w:ascii="Times New Roman" w:eastAsia="Gungsuh" w:hAnsi="Times New Roman" w:cs="Times New Roman"/>
                    <w:sz w:val="24"/>
                    <w:szCs w:val="24"/>
                  </w:rPr>
                  <w:t xml:space="preserve">≥140 mmHg systolic or ≥90 mmHg diastolic BP during 24h monitoring or </w:t>
                </w:r>
              </w:sdtContent>
            </w:sdt>
          </w:p>
          <w:p w:rsidR="00E45A14" w:rsidRPr="00FD3DEE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treatment with antihypertensive medications</w:t>
            </w:r>
          </w:p>
        </w:tc>
        <w:tc>
          <w:tcPr>
            <w:tcW w:w="992" w:type="dxa"/>
          </w:tcPr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18 (21)</w:t>
            </w:r>
          </w:p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38 (45)</w:t>
            </w:r>
          </w:p>
        </w:tc>
      </w:tr>
      <w:tr w:rsidR="00E45A14" w:rsidRPr="00FD3DEE">
        <w:tc>
          <w:tcPr>
            <w:tcW w:w="2442" w:type="dxa"/>
          </w:tcPr>
          <w:p w:rsidR="00E45A14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Diabetes</w:t>
            </w:r>
          </w:p>
        </w:tc>
        <w:tc>
          <w:tcPr>
            <w:tcW w:w="7618" w:type="dxa"/>
          </w:tcPr>
          <w:p w:rsidR="00E45A14" w:rsidRPr="00FD3DEE" w:rsidRDefault="00A50118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</w:rPr>
                <w:tag w:val="goog_rdk_2"/>
                <w:id w:val="659351587"/>
              </w:sdtPr>
              <w:sdtEndPr/>
              <w:sdtContent>
                <w:r w:rsidR="00FC3CCC" w:rsidRPr="00FD3DEE">
                  <w:rPr>
                    <w:rFonts w:ascii="Times New Roman" w:eastAsia="Gungsuh" w:hAnsi="Times New Roman" w:cs="Times New Roman"/>
                    <w:sz w:val="24"/>
                    <w:szCs w:val="24"/>
                  </w:rPr>
                  <w:t xml:space="preserve">fasting glucose ≥5.6 mmol/l or </w:t>
                </w:r>
              </w:sdtContent>
            </w:sdt>
          </w:p>
          <w:p w:rsidR="00E45A14" w:rsidRPr="00FD3DEE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antidiabetic medications</w:t>
            </w:r>
          </w:p>
        </w:tc>
        <w:tc>
          <w:tcPr>
            <w:tcW w:w="992" w:type="dxa"/>
          </w:tcPr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24 (29)</w:t>
            </w:r>
          </w:p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10 (12)</w:t>
            </w:r>
          </w:p>
        </w:tc>
      </w:tr>
      <w:tr w:rsidR="00E45A14" w:rsidRPr="00FD3DEE">
        <w:tc>
          <w:tcPr>
            <w:tcW w:w="2442" w:type="dxa"/>
          </w:tcPr>
          <w:p w:rsidR="00E45A14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Smoking</w:t>
            </w:r>
          </w:p>
        </w:tc>
        <w:tc>
          <w:tcPr>
            <w:tcW w:w="7618" w:type="dxa"/>
          </w:tcPr>
          <w:p w:rsidR="00E45A14" w:rsidRPr="00FD3DEE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current smoking status</w:t>
            </w:r>
          </w:p>
        </w:tc>
        <w:tc>
          <w:tcPr>
            <w:tcW w:w="992" w:type="dxa"/>
          </w:tcPr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28 (33)</w:t>
            </w:r>
          </w:p>
        </w:tc>
      </w:tr>
      <w:tr w:rsidR="00E45A14" w:rsidRPr="00FD3DEE">
        <w:tc>
          <w:tcPr>
            <w:tcW w:w="2442" w:type="dxa"/>
          </w:tcPr>
          <w:p w:rsidR="00E45A14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Low HDL</w:t>
            </w:r>
          </w:p>
        </w:tc>
        <w:tc>
          <w:tcPr>
            <w:tcW w:w="7618" w:type="dxa"/>
          </w:tcPr>
          <w:p w:rsidR="00E45A14" w:rsidRPr="00FD3DEE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&lt;1.0 mmol/l (male); &lt;1.2 mmol/l (female)</w:t>
            </w:r>
          </w:p>
        </w:tc>
        <w:tc>
          <w:tcPr>
            <w:tcW w:w="992" w:type="dxa"/>
          </w:tcPr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28 (33)</w:t>
            </w:r>
          </w:p>
        </w:tc>
      </w:tr>
      <w:tr w:rsidR="00E45A14" w:rsidRPr="00FD3DEE">
        <w:tc>
          <w:tcPr>
            <w:tcW w:w="2442" w:type="dxa"/>
          </w:tcPr>
          <w:p w:rsidR="00E45A14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Hypertriglyceridemia</w:t>
            </w:r>
          </w:p>
        </w:tc>
        <w:tc>
          <w:tcPr>
            <w:tcW w:w="7618" w:type="dxa"/>
          </w:tcPr>
          <w:p w:rsidR="00E45A14" w:rsidRPr="00FD3DEE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triglyceride &gt;1.7 mmol/l</w:t>
            </w:r>
          </w:p>
        </w:tc>
        <w:tc>
          <w:tcPr>
            <w:tcW w:w="992" w:type="dxa"/>
          </w:tcPr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24 (29)</w:t>
            </w:r>
          </w:p>
        </w:tc>
      </w:tr>
      <w:tr w:rsidR="00E45A14" w:rsidRPr="00FD3DEE">
        <w:trPr>
          <w:trHeight w:val="785"/>
        </w:trPr>
        <w:tc>
          <w:tcPr>
            <w:tcW w:w="2442" w:type="dxa"/>
            <w:tcBorders>
              <w:bottom w:val="single" w:sz="4" w:space="0" w:color="000000"/>
            </w:tcBorders>
          </w:tcPr>
          <w:p w:rsidR="00E45A14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High LDL</w:t>
            </w:r>
          </w:p>
        </w:tc>
        <w:tc>
          <w:tcPr>
            <w:tcW w:w="7618" w:type="dxa"/>
            <w:tcBorders>
              <w:bottom w:val="single" w:sz="4" w:space="0" w:color="000000"/>
            </w:tcBorders>
          </w:tcPr>
          <w:p w:rsidR="00E45A14" w:rsidRPr="00FD3DEE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&gt;4.9 mmol/l or </w:t>
            </w:r>
          </w:p>
          <w:p w:rsidR="00E45A14" w:rsidRPr="00FD3DEE" w:rsidRDefault="00FC3CCC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cholesterol lowering drugs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2 (2)</w:t>
            </w:r>
          </w:p>
          <w:p w:rsidR="00E45A14" w:rsidRPr="00FD3DEE" w:rsidRDefault="00FC3CCC">
            <w:pPr>
              <w:spacing w:line="48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3DEE">
              <w:rPr>
                <w:rFonts w:ascii="Times New Roman" w:eastAsia="Times New Roman" w:hAnsi="Times New Roman" w:cs="Times New Roman"/>
                <w:sz w:val="24"/>
                <w:szCs w:val="24"/>
              </w:rPr>
              <w:t>15 (18)</w:t>
            </w:r>
          </w:p>
        </w:tc>
      </w:tr>
    </w:tbl>
    <w:p w:rsidR="00E45A14" w:rsidRDefault="00FC3CCC" w:rsidP="00FD3DEE">
      <w:pPr>
        <w:spacing w:line="480" w:lineRule="auto"/>
        <w:ind w:right="1422"/>
        <w:rPr>
          <w:rFonts w:ascii="Times New Roman" w:eastAsia="Times New Roman" w:hAnsi="Times New Roman" w:cs="Times New Roman"/>
          <w:sz w:val="24"/>
          <w:szCs w:val="24"/>
        </w:rPr>
        <w:sectPr w:rsidR="00E45A14">
          <w:pgSz w:w="16838" w:h="11906" w:orient="landscape"/>
          <w:pgMar w:top="1417" w:right="1417" w:bottom="1417" w:left="1134" w:header="708" w:footer="708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SR, sedentary patients with increased cardiovascular risk; BP, blood pressure; HDL, high-density lipoprotein; </w:t>
      </w:r>
      <w:r w:rsidR="00FD3DEE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LDL, low-density lipoprotein. </w:t>
      </w:r>
    </w:p>
    <w:p w:rsidR="00E45A14" w:rsidRPr="00FD3DEE" w:rsidRDefault="009E3D77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3DEE">
        <w:rPr>
          <w:rFonts w:ascii="Times New Roman" w:eastAsia="Gungsuh" w:hAnsi="Times New Roman" w:cs="Times New Roman"/>
          <w:b/>
          <w:sz w:val="24"/>
          <w:szCs w:val="24"/>
        </w:rPr>
        <w:lastRenderedPageBreak/>
        <w:t>Table S2. Summary of target genes triggered by ≥</w:t>
      </w:r>
      <w:r>
        <w:rPr>
          <w:rFonts w:ascii="Times New Roman" w:eastAsia="Gungsuh" w:hAnsi="Times New Roman" w:cs="Times New Roman"/>
          <w:b/>
          <w:sz w:val="24"/>
          <w:szCs w:val="24"/>
        </w:rPr>
        <w:t xml:space="preserve"> </w:t>
      </w:r>
      <w:r w:rsidRPr="00FD3DEE">
        <w:rPr>
          <w:rFonts w:ascii="Times New Roman" w:eastAsia="Gungsuh" w:hAnsi="Times New Roman" w:cs="Times New Roman"/>
          <w:b/>
          <w:sz w:val="24"/>
          <w:szCs w:val="24"/>
        </w:rPr>
        <w:t>three miRNAs described in Figure 3</w:t>
      </w:r>
      <w:r>
        <w:rPr>
          <w:rFonts w:ascii="Times New Roman" w:eastAsia="Gungsuh" w:hAnsi="Times New Roman" w:cs="Times New Roman"/>
          <w:b/>
          <w:sz w:val="24"/>
          <w:szCs w:val="24"/>
        </w:rPr>
        <w:t>.</w:t>
      </w:r>
    </w:p>
    <w:tbl>
      <w:tblPr>
        <w:tblStyle w:val="a0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3555"/>
        <w:gridCol w:w="4524"/>
      </w:tblGrid>
      <w:tr w:rsidR="00E45A14" w:rsidRPr="00FD3DEE">
        <w:tc>
          <w:tcPr>
            <w:tcW w:w="1555" w:type="dxa"/>
          </w:tcPr>
          <w:p w:rsidR="00E45A14" w:rsidRPr="00FD3DEE" w:rsidRDefault="00FD3DE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</w:t>
            </w:r>
            <w:r w:rsidR="00FC3CCC" w:rsidRPr="00FD3DEE">
              <w:rPr>
                <w:rFonts w:ascii="Times New Roman" w:hAnsi="Times New Roman" w:cs="Times New Roman"/>
                <w:b/>
              </w:rPr>
              <w:t>arget gene</w:t>
            </w:r>
          </w:p>
        </w:tc>
        <w:tc>
          <w:tcPr>
            <w:tcW w:w="3555" w:type="dxa"/>
          </w:tcPr>
          <w:p w:rsidR="00E45A14" w:rsidRPr="00FD3DEE" w:rsidRDefault="00FD3DEE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  <w:r w:rsidR="00FC3CCC" w:rsidRPr="00FD3DEE">
              <w:rPr>
                <w:rFonts w:ascii="Times New Roman" w:hAnsi="Times New Roman" w:cs="Times New Roman"/>
                <w:b/>
              </w:rPr>
              <w:t>ene name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FD3DEE">
              <w:rPr>
                <w:rFonts w:ascii="Times New Roman" w:hAnsi="Times New Roman" w:cs="Times New Roman"/>
                <w:b/>
              </w:rPr>
              <w:t>miRNAs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FAM126B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 xml:space="preserve">family with sequence similarity </w:t>
            </w:r>
            <w:proofErr w:type="gramStart"/>
            <w:r w:rsidRPr="00FD3DEE">
              <w:rPr>
                <w:rFonts w:ascii="Times New Roman" w:hAnsi="Times New Roman" w:cs="Times New Roman"/>
              </w:rPr>
              <w:t>126 member</w:t>
            </w:r>
            <w:proofErr w:type="gramEnd"/>
            <w:r w:rsidRPr="00FD3DEE">
              <w:rPr>
                <w:rFonts w:ascii="Times New Roman" w:hAnsi="Times New Roman" w:cs="Times New Roman"/>
              </w:rPr>
              <w:t xml:space="preserve"> B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miR-342-3p, miR-885-3p, miR-34a-5p, miR-505-3p, miR-27b-3p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MSL2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male-specific lethal 2 homolog (Drosophila)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miR-34a-5p, miR-27b-3p, miR-885-5p, miR-23b-5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CREBRF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CREB3 regulatory factor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miR-34a-5p, miR-505-3p, miR-27b-3p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KITLG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bookmarkStart w:id="1" w:name="_heading=h.gjdgxs" w:colFirst="0" w:colLast="0"/>
            <w:bookmarkEnd w:id="1"/>
            <w:r w:rsidRPr="00FD3DEE">
              <w:rPr>
                <w:rFonts w:ascii="Times New Roman" w:hAnsi="Times New Roman" w:cs="Times New Roman"/>
              </w:rPr>
              <w:t>KIT ligand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miR-34a-5p, miR-505-3p, miR-27b-3p, miR-194-5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MSANTD3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Myb/SANT-like DNA-binding domain containing 3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miR-92b-5p, miR-342-3p, miR-23b-5p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LIN28B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lin-28 homolog B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miR-885-3p, miR-27b-3p, miR-194-5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CADM1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cell adhesion molecule 1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miR-505-3p, miR-27b-3p, miR-194-5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SORCS1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sortilin-related VPS10 domain containing receptor 1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miR-122-5p, miR-885-5p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CHD1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chromodomain helicase DNA binding protein 1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miR-885-3p, miR-34a-5p, miR-194-5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ZBTB34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zinc finger and BTB domain containing 34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miR-27b-3p, miR-885-5p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FLRT3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fibronectin leucine rich transmembrane protein 3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miR-885-3p, miR-505-3p,</w:t>
            </w:r>
            <w:r w:rsidRPr="00FD3DEE">
              <w:rPr>
                <w:rFonts w:ascii="Times New Roman" w:hAnsi="Times New Roman" w:cs="Times New Roman"/>
                <w:b/>
                <w:lang w:val="de-CH"/>
              </w:rPr>
              <w:t xml:space="preserve"> </w:t>
            </w:r>
            <w:r w:rsidRPr="00FD3DEE">
              <w:rPr>
                <w:rFonts w:ascii="Times New Roman" w:hAnsi="Times New Roman" w:cs="Times New Roman"/>
                <w:lang w:val="de-CH"/>
              </w:rPr>
              <w:t>miR-27b-3p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MEIS2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FD3DEE">
              <w:rPr>
                <w:rFonts w:ascii="Times New Roman" w:hAnsi="Times New Roman" w:cs="Times New Roman"/>
              </w:rPr>
              <w:t>meis</w:t>
            </w:r>
            <w:proofErr w:type="spellEnd"/>
            <w:r w:rsidRPr="00FD3DEE">
              <w:rPr>
                <w:rFonts w:ascii="Times New Roman" w:hAnsi="Times New Roman" w:cs="Times New Roman"/>
              </w:rPr>
              <w:t xml:space="preserve"> homeobox 2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miR-505-3p,</w:t>
            </w:r>
            <w:r w:rsidRPr="00FD3DEE">
              <w:rPr>
                <w:rFonts w:ascii="Times New Roman" w:hAnsi="Times New Roman" w:cs="Times New Roman"/>
                <w:b/>
                <w:lang w:val="de-CH"/>
              </w:rPr>
              <w:t xml:space="preserve"> </w:t>
            </w:r>
            <w:r w:rsidRPr="00FD3DEE">
              <w:rPr>
                <w:rFonts w:ascii="Times New Roman" w:hAnsi="Times New Roman" w:cs="Times New Roman"/>
                <w:lang w:val="de-CH"/>
              </w:rPr>
              <w:t>miR-27b-3p, miR-194-5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SOX6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SRY-box transcription factor 6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miR-342-3p, miR-505-3p,</w:t>
            </w:r>
            <w:r w:rsidRPr="00FD3DEE">
              <w:rPr>
                <w:rFonts w:ascii="Times New Roman" w:hAnsi="Times New Roman" w:cs="Times New Roman"/>
                <w:b/>
                <w:lang w:val="de-CH"/>
              </w:rPr>
              <w:t xml:space="preserve"> </w:t>
            </w:r>
            <w:r w:rsidRPr="00FD3DEE">
              <w:rPr>
                <w:rFonts w:ascii="Times New Roman" w:hAnsi="Times New Roman" w:cs="Times New Roman"/>
                <w:lang w:val="de-CH"/>
              </w:rPr>
              <w:t>miR-194-5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GALNT7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polypeptide N-</w:t>
            </w:r>
            <w:proofErr w:type="spellStart"/>
            <w:r w:rsidRPr="00FD3DEE">
              <w:rPr>
                <w:rFonts w:ascii="Times New Roman" w:hAnsi="Times New Roman" w:cs="Times New Roman"/>
              </w:rPr>
              <w:t>acetylgalactosaminyltransferase</w:t>
            </w:r>
            <w:proofErr w:type="spellEnd"/>
            <w:r w:rsidRPr="00FD3DEE">
              <w:rPr>
                <w:rFonts w:ascii="Times New Roman" w:hAnsi="Times New Roman" w:cs="Times New Roman"/>
              </w:rPr>
              <w:t xml:space="preserve"> 7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miR-885-3p, miR-34a-5p, miR-27b-3p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MTMR4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myotubularin related protein 4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miR-27b-3p, miR-885-5p, miR-23b-5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lastRenderedPageBreak/>
              <w:t>FOXP1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FD3DEE">
              <w:rPr>
                <w:rFonts w:ascii="Times New Roman" w:hAnsi="Times New Roman" w:cs="Times New Roman"/>
              </w:rPr>
              <w:t>forkhead</w:t>
            </w:r>
            <w:proofErr w:type="spellEnd"/>
            <w:r w:rsidRPr="00FD3DEE">
              <w:rPr>
                <w:rFonts w:ascii="Times New Roman" w:hAnsi="Times New Roman" w:cs="Times New Roman"/>
              </w:rPr>
              <w:t xml:space="preserve"> box P1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miR-122-5p, miR-34a-5p, miR-885-5p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FOXP2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 w:rsidRPr="00FD3DEE">
              <w:rPr>
                <w:rFonts w:ascii="Times New Roman" w:hAnsi="Times New Roman" w:cs="Times New Roman"/>
              </w:rPr>
              <w:t>forkhead</w:t>
            </w:r>
            <w:proofErr w:type="spellEnd"/>
            <w:r w:rsidRPr="00FD3DEE">
              <w:rPr>
                <w:rFonts w:ascii="Times New Roman" w:hAnsi="Times New Roman" w:cs="Times New Roman"/>
              </w:rPr>
              <w:t xml:space="preserve"> box P2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miR-122-5p, miR-34a-5p, miR-27b-3p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FBXO33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F-box protein 33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miR-27b-3p, miR-885-5p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TMEM185B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transmembrane protein 185B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miR-885-5p, miR-23b-5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LCOR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ligand dependent nuclear receptor corepressor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miR-27b-3p, miR-23b-5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DIXDC1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DIX domain containing 1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miR-34a-5p, miR-885-5p, miR-23b-5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PDE7A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phosphodiesterase 7A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miR-122-5p, miR-34a-5p, miR-23b-5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CDK14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cyclin-dependent kinase 14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miR-27b-3p, miR-885-5p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PLAG1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 xml:space="preserve">pleiomorphic adenoma gene 1 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miR-122-5p, miR-34a-5p, miR-27b-3p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SATB1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SATB homeobox 1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miR-193b-5p, miR-122-5p, miR-34a-5p</w:t>
            </w:r>
          </w:p>
        </w:tc>
      </w:tr>
      <w:tr w:rsidR="00E45A14" w:rsidRPr="00AE242F">
        <w:tc>
          <w:tcPr>
            <w:tcW w:w="1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NPAS3</w:t>
            </w:r>
          </w:p>
        </w:tc>
        <w:tc>
          <w:tcPr>
            <w:tcW w:w="3555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FD3DEE">
              <w:rPr>
                <w:rFonts w:ascii="Times New Roman" w:hAnsi="Times New Roman" w:cs="Times New Roman"/>
              </w:rPr>
              <w:t>neuronal PAS domain protein 3</w:t>
            </w:r>
          </w:p>
        </w:tc>
        <w:tc>
          <w:tcPr>
            <w:tcW w:w="4524" w:type="dxa"/>
          </w:tcPr>
          <w:p w:rsidR="00E45A14" w:rsidRPr="00FD3DEE" w:rsidRDefault="00FC3CCC">
            <w:pPr>
              <w:spacing w:line="480" w:lineRule="auto"/>
              <w:rPr>
                <w:rFonts w:ascii="Times New Roman" w:hAnsi="Times New Roman" w:cs="Times New Roman"/>
                <w:lang w:val="de-CH"/>
              </w:rPr>
            </w:pPr>
            <w:r w:rsidRPr="00FD3DEE">
              <w:rPr>
                <w:rFonts w:ascii="Times New Roman" w:hAnsi="Times New Roman" w:cs="Times New Roman"/>
                <w:lang w:val="de-CH"/>
              </w:rPr>
              <w:t>miR-122-5p, miR-27b-3p, miR-885-5p</w:t>
            </w:r>
          </w:p>
        </w:tc>
      </w:tr>
    </w:tbl>
    <w:p w:rsidR="00E45A14" w:rsidRPr="00FD3DEE" w:rsidRDefault="00E45A14">
      <w:pPr>
        <w:rPr>
          <w:rFonts w:ascii="Times New Roman" w:hAnsi="Times New Roman" w:cs="Times New Roman"/>
          <w:b/>
          <w:lang w:val="de-CH"/>
        </w:rPr>
      </w:pPr>
    </w:p>
    <w:p w:rsidR="00E45A14" w:rsidRPr="00FD3DEE" w:rsidRDefault="00E45A14">
      <w:pPr>
        <w:rPr>
          <w:rFonts w:ascii="Times New Roman" w:hAnsi="Times New Roman" w:cs="Times New Roman"/>
          <w:lang w:val="de-CH"/>
        </w:rPr>
      </w:pPr>
    </w:p>
    <w:sectPr w:rsidR="00E45A14" w:rsidRPr="00FD3DEE">
      <w:pgSz w:w="11906" w:h="16838"/>
      <w:pgMar w:top="1417" w:right="1417" w:bottom="1134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7F45C0"/>
    <w:multiLevelType w:val="multilevel"/>
    <w:tmpl w:val="18F4B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A14"/>
    <w:rsid w:val="0009545F"/>
    <w:rsid w:val="000F6C10"/>
    <w:rsid w:val="00120423"/>
    <w:rsid w:val="0032638E"/>
    <w:rsid w:val="00385F00"/>
    <w:rsid w:val="004C0D9A"/>
    <w:rsid w:val="00521072"/>
    <w:rsid w:val="00543DBA"/>
    <w:rsid w:val="00713826"/>
    <w:rsid w:val="008D38E4"/>
    <w:rsid w:val="008E7183"/>
    <w:rsid w:val="009E3D77"/>
    <w:rsid w:val="00A50118"/>
    <w:rsid w:val="00A94FBC"/>
    <w:rsid w:val="00AE242F"/>
    <w:rsid w:val="00B41822"/>
    <w:rsid w:val="00BC5852"/>
    <w:rsid w:val="00E10DDC"/>
    <w:rsid w:val="00E45A14"/>
    <w:rsid w:val="00FC3CCC"/>
    <w:rsid w:val="00FD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BB04A0"/>
  <w15:docId w15:val="{27DFEACC-8CCC-4A27-B00C-8FDBA787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1318B"/>
    <w:rPr>
      <w:rFonts w:eastAsiaTheme="minorEastAsia"/>
      <w:lang w:val="en-US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lenraster">
    <w:name w:val="Table Grid"/>
    <w:basedOn w:val="NormaleTabelle"/>
    <w:uiPriority w:val="39"/>
    <w:rsid w:val="00013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unhideWhenUsed/>
    <w:rsid w:val="00A36248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36248"/>
    <w:rPr>
      <w:rFonts w:ascii="Times New Roman" w:eastAsiaTheme="minorEastAsia" w:hAnsi="Times New Roman"/>
      <w:sz w:val="20"/>
      <w:szCs w:val="20"/>
      <w:lang w:val="en-US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36248"/>
    <w:rPr>
      <w:sz w:val="16"/>
      <w:szCs w:val="16"/>
    </w:rPr>
  </w:style>
  <w:style w:type="character" w:styleId="Hervorhebung">
    <w:name w:val="Emphasis"/>
    <w:basedOn w:val="Absatz-Standardschriftart"/>
    <w:uiPriority w:val="20"/>
    <w:qFormat/>
    <w:rsid w:val="00A36248"/>
    <w:rPr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6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6248"/>
    <w:rPr>
      <w:rFonts w:ascii="Segoe UI" w:eastAsiaTheme="minorEastAsia" w:hAnsi="Segoe UI" w:cs="Segoe UI"/>
      <w:sz w:val="18"/>
      <w:szCs w:val="18"/>
      <w:lang w:val="en-US" w:eastAsia="de-CH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eTabelle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NormaleTabelle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SgAGRg0AOyi8lVcmSxJQxN1TrA==">AMUW2mXlufBIMvtV8J3wwq4DgjUIk1baDle9I1Y4xCixW71qx/+ifiJZrdSEmGOWrxSC5a7edIIMPMaGKnDLeWV/6KsfErmwWRg680d0sB+Ko123W+cCjoUuvVt6wD0WsE8DEBTVWSVlnao5LVL90aOppqwStbqyN84lYkDxOijrWpIurY9mO7RCL+SMBOV6jEB+BCDAP4JyLqlDjwiOMJKv1cZHgYeIhEw3E3NMiOZKtwQgUVWA9SUhgsHwIgFvuPOVf9114gcau8lC0sPa/A7bOYa/fr172aRcHLVv2w6JI+RSsIfnnpAOnhOpe4HZzzAbBe73UBG3AC3VMFR51Pd4BZnFkGZgf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725</Words>
  <Characters>4572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Universität Basel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Streese</dc:creator>
  <cp:lastModifiedBy>Lukas Streese</cp:lastModifiedBy>
  <cp:revision>5</cp:revision>
  <dcterms:created xsi:type="dcterms:W3CDTF">2021-07-14T12:55:00Z</dcterms:created>
  <dcterms:modified xsi:type="dcterms:W3CDTF">2022-01-14T08:17:00Z</dcterms:modified>
</cp:coreProperties>
</file>