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7968" w:rsidRPr="00E73B0F" w:rsidRDefault="005267C5">
      <w:pPr>
        <w:spacing w:line="480" w:lineRule="auto"/>
        <w:jc w:val="center"/>
        <w:rPr>
          <w:rFonts w:cs="Times New Roman"/>
          <w:b/>
          <w:szCs w:val="20"/>
        </w:rPr>
      </w:pPr>
      <w:bookmarkStart w:id="0" w:name="_Hlk85707379"/>
      <w:bookmarkStart w:id="1" w:name="_GoBack"/>
      <w:bookmarkEnd w:id="1"/>
      <w:r w:rsidRPr="00E73B0F">
        <w:rPr>
          <w:rFonts w:cs="Times New Roman"/>
          <w:b/>
          <w:szCs w:val="20"/>
        </w:rPr>
        <w:t>Ultrasound stimulation improves inflammatory resolution, neuroprotection, and functional recovery after spinal cord injury</w:t>
      </w:r>
    </w:p>
    <w:p w:rsidR="008D7968" w:rsidRPr="00E73B0F" w:rsidRDefault="008D7968">
      <w:pPr>
        <w:spacing w:after="120" w:line="480" w:lineRule="auto"/>
        <w:rPr>
          <w:rFonts w:cs="Times New Roman"/>
          <w:szCs w:val="20"/>
        </w:rPr>
      </w:pPr>
    </w:p>
    <w:p w:rsidR="008D7968" w:rsidRPr="00E73B0F" w:rsidRDefault="005267C5">
      <w:pPr>
        <w:spacing w:after="120" w:line="480" w:lineRule="auto"/>
        <w:rPr>
          <w:rFonts w:cs="Times New Roman"/>
          <w:sz w:val="20"/>
          <w:szCs w:val="20"/>
        </w:rPr>
      </w:pPr>
      <w:bookmarkStart w:id="2" w:name="_Hlk66558598"/>
      <w:r w:rsidRPr="00E73B0F">
        <w:rPr>
          <w:rFonts w:cs="Times New Roman"/>
          <w:sz w:val="20"/>
          <w:szCs w:val="20"/>
        </w:rPr>
        <w:t>Yu-ri Hong</w:t>
      </w:r>
      <w:r w:rsidRPr="00E73B0F">
        <w:rPr>
          <w:rFonts w:cs="Times New Roman"/>
          <w:sz w:val="20"/>
          <w:szCs w:val="20"/>
          <w:vertAlign w:val="superscript"/>
        </w:rPr>
        <w:t>1, †</w:t>
      </w:r>
      <w:r w:rsidRPr="00E73B0F">
        <w:rPr>
          <w:rFonts w:cs="Times New Roman"/>
          <w:sz w:val="20"/>
          <w:szCs w:val="20"/>
        </w:rPr>
        <w:t>, Eun-hee Lee</w:t>
      </w:r>
      <w:r w:rsidRPr="00E73B0F">
        <w:rPr>
          <w:rFonts w:cs="Times New Roman"/>
          <w:sz w:val="20"/>
          <w:szCs w:val="20"/>
          <w:vertAlign w:val="superscript"/>
        </w:rPr>
        <w:t>1, †</w:t>
      </w:r>
      <w:r w:rsidRPr="00E73B0F">
        <w:rPr>
          <w:rFonts w:cs="Times New Roman"/>
          <w:sz w:val="20"/>
          <w:szCs w:val="20"/>
        </w:rPr>
        <w:t>, Ki-su Park</w:t>
      </w:r>
      <w:r w:rsidRPr="00E73B0F">
        <w:rPr>
          <w:rFonts w:cs="Times New Roman"/>
          <w:sz w:val="20"/>
          <w:szCs w:val="20"/>
          <w:vertAlign w:val="superscript"/>
        </w:rPr>
        <w:t>2</w:t>
      </w:r>
      <w:r w:rsidRPr="00E73B0F">
        <w:rPr>
          <w:rFonts w:cs="Times New Roman"/>
          <w:sz w:val="20"/>
          <w:szCs w:val="20"/>
        </w:rPr>
        <w:t>, Mun Han</w:t>
      </w:r>
      <w:r w:rsidRPr="00E73B0F">
        <w:rPr>
          <w:rFonts w:cs="Times New Roman"/>
          <w:sz w:val="20"/>
          <w:szCs w:val="20"/>
          <w:vertAlign w:val="superscript"/>
        </w:rPr>
        <w:t>1</w:t>
      </w:r>
      <w:bookmarkEnd w:id="2"/>
      <w:r w:rsidRPr="00E73B0F">
        <w:rPr>
          <w:rFonts w:cs="Times New Roman"/>
          <w:sz w:val="20"/>
          <w:szCs w:val="20"/>
        </w:rPr>
        <w:t>, Kyoung-Tae Kim</w:t>
      </w:r>
      <w:r w:rsidRPr="00E73B0F">
        <w:rPr>
          <w:rFonts w:cs="Times New Roman"/>
          <w:sz w:val="20"/>
          <w:szCs w:val="20"/>
          <w:vertAlign w:val="superscript"/>
        </w:rPr>
        <w:t xml:space="preserve">2, </w:t>
      </w:r>
      <w:r w:rsidRPr="00E73B0F">
        <w:rPr>
          <w:rFonts w:cs="Times New Roman"/>
          <w:sz w:val="20"/>
          <w:szCs w:val="20"/>
        </w:rPr>
        <w:t>*, Juyoung Park</w:t>
      </w:r>
      <w:r w:rsidRPr="00E73B0F">
        <w:rPr>
          <w:rFonts w:cs="Times New Roman"/>
          <w:sz w:val="20"/>
          <w:szCs w:val="20"/>
          <w:vertAlign w:val="superscript"/>
        </w:rPr>
        <w:t xml:space="preserve">1, 3, 4 </w:t>
      </w:r>
      <w:r w:rsidRPr="00E73B0F">
        <w:rPr>
          <w:rFonts w:cs="Times New Roman"/>
          <w:sz w:val="20"/>
          <w:szCs w:val="20"/>
        </w:rPr>
        <w:t>*</w:t>
      </w:r>
    </w:p>
    <w:p w:rsidR="008D7968" w:rsidRPr="00E73B0F" w:rsidRDefault="008D7968">
      <w:pPr>
        <w:spacing w:after="120" w:line="480" w:lineRule="auto"/>
        <w:rPr>
          <w:rFonts w:cs="Times New Roman"/>
          <w:sz w:val="20"/>
          <w:szCs w:val="20"/>
        </w:rPr>
      </w:pPr>
    </w:p>
    <w:p w:rsidR="008D7968" w:rsidRPr="00E73B0F" w:rsidRDefault="005267C5">
      <w:pPr>
        <w:spacing w:line="480" w:lineRule="auto"/>
        <w:ind w:left="100" w:hangingChars="50" w:hanging="100"/>
        <w:rPr>
          <w:rFonts w:cs="Times New Roman"/>
          <w:sz w:val="20"/>
          <w:szCs w:val="20"/>
        </w:rPr>
      </w:pPr>
      <w:r w:rsidRPr="00E73B0F">
        <w:rPr>
          <w:rFonts w:cs="Times New Roman"/>
          <w:sz w:val="20"/>
          <w:szCs w:val="20"/>
          <w:vertAlign w:val="superscript"/>
        </w:rPr>
        <w:t>1</w:t>
      </w:r>
      <w:r w:rsidRPr="00E73B0F">
        <w:rPr>
          <w:rFonts w:cs="Times New Roman"/>
          <w:sz w:val="20"/>
          <w:szCs w:val="20"/>
        </w:rPr>
        <w:t xml:space="preserve"> Medical Device Development Center, Daegu-Gyeongbuk Medical Innovation Foundation, Daegu, Republic of Korea</w:t>
      </w:r>
    </w:p>
    <w:p w:rsidR="008D7968" w:rsidRPr="00E73B0F" w:rsidRDefault="005267C5">
      <w:pPr>
        <w:spacing w:line="480" w:lineRule="auto"/>
        <w:ind w:left="100" w:hangingChars="50" w:hanging="100"/>
        <w:rPr>
          <w:rFonts w:cs="Times New Roman"/>
          <w:sz w:val="20"/>
          <w:szCs w:val="20"/>
        </w:rPr>
      </w:pPr>
      <w:r w:rsidRPr="00E73B0F">
        <w:rPr>
          <w:rFonts w:cs="Times New Roman"/>
          <w:sz w:val="20"/>
          <w:szCs w:val="20"/>
          <w:vertAlign w:val="superscript"/>
        </w:rPr>
        <w:t>2</w:t>
      </w:r>
      <w:r w:rsidRPr="00E73B0F">
        <w:rPr>
          <w:rFonts w:cs="Times New Roman"/>
          <w:sz w:val="20"/>
          <w:szCs w:val="20"/>
        </w:rPr>
        <w:t xml:space="preserve"> Department of Neurosurgery, School of Medicine, Kyungpook National University, Kyungpook National University Hospital, Daegu, Korea</w:t>
      </w:r>
    </w:p>
    <w:p w:rsidR="008D7968" w:rsidRPr="00E73B0F" w:rsidRDefault="005267C5">
      <w:pPr>
        <w:spacing w:line="480" w:lineRule="auto"/>
        <w:ind w:left="100" w:hangingChars="50" w:hanging="100"/>
        <w:rPr>
          <w:rFonts w:cs="Times New Roman"/>
          <w:sz w:val="20"/>
          <w:szCs w:val="20"/>
          <w:vertAlign w:val="superscript"/>
        </w:rPr>
      </w:pPr>
      <w:r w:rsidRPr="00E73B0F">
        <w:rPr>
          <w:rFonts w:cs="Times New Roman"/>
          <w:sz w:val="20"/>
          <w:szCs w:val="20"/>
          <w:vertAlign w:val="superscript"/>
        </w:rPr>
        <w:t xml:space="preserve">3 </w:t>
      </w:r>
      <w:r w:rsidRPr="00E73B0F">
        <w:rPr>
          <w:rFonts w:eastAsiaTheme="minorEastAsia" w:cs="Times New Roman"/>
          <w:sz w:val="20"/>
          <w:szCs w:val="20"/>
        </w:rPr>
        <w:t>Department of High-tech medical device, Gachon University, Seongnam, 1342 Korea</w:t>
      </w:r>
    </w:p>
    <w:p w:rsidR="008D7968" w:rsidRPr="00E73B0F" w:rsidRDefault="005267C5">
      <w:pPr>
        <w:spacing w:line="480" w:lineRule="auto"/>
        <w:ind w:left="100" w:hangingChars="50" w:hanging="100"/>
        <w:rPr>
          <w:rFonts w:cs="Times New Roman"/>
          <w:sz w:val="20"/>
          <w:szCs w:val="20"/>
          <w:vertAlign w:val="superscript"/>
        </w:rPr>
      </w:pPr>
      <w:r w:rsidRPr="00E73B0F">
        <w:rPr>
          <w:rFonts w:cs="Times New Roman"/>
          <w:sz w:val="20"/>
          <w:szCs w:val="20"/>
          <w:vertAlign w:val="superscript"/>
        </w:rPr>
        <w:t xml:space="preserve">4 </w:t>
      </w:r>
      <w:r w:rsidRPr="00E73B0F">
        <w:rPr>
          <w:rFonts w:eastAsiaTheme="minorEastAsia" w:cs="Times New Roman"/>
          <w:sz w:val="20"/>
          <w:szCs w:val="20"/>
        </w:rPr>
        <w:t>SonoTx, Seongnam, Korea</w:t>
      </w:r>
    </w:p>
    <w:p w:rsidR="008D7968" w:rsidRPr="00E73B0F" w:rsidRDefault="008D7968">
      <w:pPr>
        <w:spacing w:line="480" w:lineRule="auto"/>
        <w:ind w:firstLine="0"/>
        <w:rPr>
          <w:rFonts w:cs="Times New Roman"/>
          <w:sz w:val="20"/>
          <w:szCs w:val="20"/>
        </w:rPr>
      </w:pPr>
    </w:p>
    <w:p w:rsidR="008D7968" w:rsidRPr="00E73B0F" w:rsidRDefault="005267C5">
      <w:pPr>
        <w:spacing w:line="480" w:lineRule="auto"/>
        <w:ind w:firstLine="0"/>
        <w:rPr>
          <w:rFonts w:cs="Times New Roman"/>
          <w:sz w:val="20"/>
          <w:szCs w:val="20"/>
        </w:rPr>
      </w:pPr>
      <w:r w:rsidRPr="00E73B0F">
        <w:rPr>
          <w:rFonts w:cs="Times New Roman"/>
          <w:sz w:val="20"/>
          <w:szCs w:val="20"/>
          <w:vertAlign w:val="superscript"/>
        </w:rPr>
        <w:t>†</w:t>
      </w:r>
      <w:r w:rsidRPr="00E73B0F">
        <w:rPr>
          <w:sz w:val="20"/>
          <w:szCs w:val="20"/>
        </w:rPr>
        <w:t>The authors contributed equally to this work</w:t>
      </w:r>
      <w:r w:rsidRPr="00E73B0F">
        <w:rPr>
          <w:rFonts w:eastAsia="Malgun Gothic" w:hAnsi="Malgun Gothic" w:cs="Times New Roman"/>
          <w:sz w:val="20"/>
          <w:szCs w:val="20"/>
        </w:rPr>
        <w:t>.</w:t>
      </w:r>
    </w:p>
    <w:p w:rsidR="008D7968" w:rsidRPr="00E73B0F" w:rsidRDefault="008D7968">
      <w:pPr>
        <w:spacing w:line="480" w:lineRule="auto"/>
        <w:ind w:firstLine="0"/>
        <w:rPr>
          <w:rFonts w:cs="Times New Roman"/>
          <w:sz w:val="20"/>
          <w:szCs w:val="20"/>
        </w:rPr>
      </w:pPr>
    </w:p>
    <w:p w:rsidR="008D7968" w:rsidRPr="00E73B0F" w:rsidRDefault="005267C5">
      <w:pPr>
        <w:spacing w:line="480" w:lineRule="auto"/>
        <w:ind w:firstLine="0"/>
        <w:rPr>
          <w:rFonts w:cs="Times New Roman"/>
          <w:sz w:val="20"/>
          <w:szCs w:val="20"/>
        </w:rPr>
      </w:pPr>
      <w:r w:rsidRPr="00E73B0F">
        <w:rPr>
          <w:rFonts w:cs="Times New Roman"/>
          <w:sz w:val="20"/>
          <w:szCs w:val="20"/>
        </w:rPr>
        <w:t>*Corresponding authors:</w:t>
      </w:r>
    </w:p>
    <w:p w:rsidR="008D7968" w:rsidRPr="00E73B0F" w:rsidRDefault="005267C5">
      <w:pPr>
        <w:spacing w:line="480" w:lineRule="auto"/>
        <w:ind w:firstLine="0"/>
        <w:rPr>
          <w:rFonts w:eastAsiaTheme="minorEastAsia" w:cs="Times New Roman"/>
          <w:sz w:val="20"/>
          <w:szCs w:val="20"/>
          <w:shd w:val="clear" w:color="auto" w:fill="FFFFFF"/>
          <w:lang w:eastAsia="ko-KR"/>
        </w:rPr>
      </w:pPr>
      <w:bookmarkStart w:id="3" w:name="_Hlk66558572"/>
      <w:r w:rsidRPr="00E73B0F">
        <w:rPr>
          <w:rFonts w:cs="Times New Roman"/>
          <w:sz w:val="20"/>
          <w:szCs w:val="20"/>
        </w:rPr>
        <w:t>Kyoung-Tae Kim, M.D., Ph.D., Department of Neurosurgery, School of Medicine, Kyungpook National University, Kyungpook National University Hospital, 130 Dongdeok-ro, Jung-gu, Daegu 41944, Korea, E-mail:</w:t>
      </w:r>
      <w:r w:rsidRPr="00E73B0F">
        <w:rPr>
          <w:rFonts w:cs="Times New Roman"/>
          <w:sz w:val="20"/>
          <w:szCs w:val="20"/>
          <w:shd w:val="clear" w:color="auto" w:fill="FFFFFF"/>
        </w:rPr>
        <w:t> </w:t>
      </w:r>
      <w:hyperlink r:id="rId6" w:history="1">
        <w:r w:rsidRPr="00E73B0F">
          <w:rPr>
            <w:rStyle w:val="Hyperlink"/>
            <w:rFonts w:cs="Times New Roman"/>
            <w:sz w:val="20"/>
            <w:szCs w:val="20"/>
            <w:shd w:val="clear" w:color="auto" w:fill="FFFFFF"/>
          </w:rPr>
          <w:t>nskimkt7@gmail.com</w:t>
        </w:r>
      </w:hyperlink>
      <w:r w:rsidRPr="00E73B0F">
        <w:rPr>
          <w:rFonts w:eastAsiaTheme="minorEastAsia" w:cs="Times New Roman"/>
          <w:sz w:val="20"/>
          <w:szCs w:val="20"/>
          <w:shd w:val="clear" w:color="auto" w:fill="FFFFFF"/>
          <w:lang w:eastAsia="ko-KR"/>
        </w:rPr>
        <w:t xml:space="preserve"> </w:t>
      </w:r>
    </w:p>
    <w:p w:rsidR="008D7968" w:rsidRPr="00E73B0F" w:rsidRDefault="005267C5">
      <w:pPr>
        <w:spacing w:line="480" w:lineRule="auto"/>
        <w:ind w:firstLine="0"/>
        <w:rPr>
          <w:rFonts w:cs="Times New Roman"/>
          <w:sz w:val="20"/>
          <w:szCs w:val="20"/>
          <w:shd w:val="clear" w:color="auto" w:fill="FFFFFF"/>
        </w:rPr>
      </w:pPr>
      <w:r w:rsidRPr="00E73B0F">
        <w:rPr>
          <w:rFonts w:cs="Times New Roman"/>
          <w:sz w:val="20"/>
          <w:szCs w:val="20"/>
        </w:rPr>
        <w:t xml:space="preserve">Juyoung Park. Daegu-Gyeongbuk Medical Innovation Foundation, Medical Device Development Center, Daegu, 41061, South Korea; E-mail: </w:t>
      </w:r>
      <w:hyperlink r:id="rId7" w:history="1">
        <w:r w:rsidRPr="00E73B0F">
          <w:rPr>
            <w:rStyle w:val="Hyperlink"/>
            <w:rFonts w:cs="Times New Roman"/>
            <w:sz w:val="20"/>
            <w:szCs w:val="20"/>
          </w:rPr>
          <w:t>opedoors@gmail.com</w:t>
        </w:r>
      </w:hyperlink>
    </w:p>
    <w:bookmarkEnd w:id="3"/>
    <w:p w:rsidR="008D7968" w:rsidRPr="00E73B0F" w:rsidRDefault="008D7968">
      <w:pPr>
        <w:rPr>
          <w:sz w:val="20"/>
        </w:rPr>
      </w:pPr>
    </w:p>
    <w:p w:rsidR="008D7968" w:rsidRPr="00E73B0F" w:rsidRDefault="008D7968">
      <w:pPr>
        <w:rPr>
          <w:sz w:val="20"/>
        </w:rPr>
      </w:pPr>
    </w:p>
    <w:p w:rsidR="008D7968" w:rsidRPr="00E73B0F" w:rsidRDefault="008D7968">
      <w:pPr>
        <w:rPr>
          <w:sz w:val="20"/>
        </w:rPr>
      </w:pPr>
    </w:p>
    <w:p w:rsidR="008D7968" w:rsidRPr="00E73B0F" w:rsidRDefault="005267C5">
      <w:pPr>
        <w:rPr>
          <w:b/>
          <w:sz w:val="20"/>
        </w:rPr>
      </w:pPr>
      <w:r w:rsidRPr="00E73B0F">
        <w:rPr>
          <w:b/>
          <w:sz w:val="20"/>
        </w:rPr>
        <w:t>This file includes:</w:t>
      </w:r>
    </w:p>
    <w:p w:rsidR="008D7968" w:rsidRPr="00E73B0F" w:rsidRDefault="005267C5">
      <w:pPr>
        <w:rPr>
          <w:b/>
          <w:sz w:val="20"/>
        </w:rPr>
      </w:pPr>
      <w:r w:rsidRPr="00E73B0F">
        <w:rPr>
          <w:b/>
          <w:sz w:val="20"/>
        </w:rPr>
        <w:t xml:space="preserve">        </w:t>
      </w:r>
    </w:p>
    <w:p w:rsidR="008D7968" w:rsidRPr="00E73B0F" w:rsidRDefault="005267C5">
      <w:pPr>
        <w:rPr>
          <w:rFonts w:eastAsiaTheme="minorEastAsia"/>
          <w:sz w:val="20"/>
          <w:lang w:eastAsia="ko-KR"/>
        </w:rPr>
      </w:pPr>
      <w:r w:rsidRPr="00E73B0F">
        <w:rPr>
          <w:rFonts w:eastAsiaTheme="minorEastAsia"/>
          <w:sz w:val="20"/>
          <w:lang w:eastAsia="ko-KR"/>
        </w:rPr>
        <w:t xml:space="preserve">              </w:t>
      </w:r>
      <w:r w:rsidRPr="00E73B0F">
        <w:rPr>
          <w:sz w:val="20"/>
        </w:rPr>
        <w:t>Supplementary Methods</w:t>
      </w:r>
    </w:p>
    <w:p w:rsidR="008D7968" w:rsidRPr="00E73B0F" w:rsidRDefault="005267C5">
      <w:pPr>
        <w:ind w:left="720"/>
        <w:rPr>
          <w:sz w:val="20"/>
        </w:rPr>
      </w:pPr>
      <w:r w:rsidRPr="00E73B0F">
        <w:rPr>
          <w:sz w:val="20"/>
        </w:rPr>
        <w:t>Supplementary Figure 1 to 8</w:t>
      </w:r>
    </w:p>
    <w:p w:rsidR="008D7968" w:rsidRPr="00E73B0F" w:rsidRDefault="008D7968">
      <w:pPr>
        <w:ind w:left="720"/>
        <w:rPr>
          <w:sz w:val="20"/>
        </w:rPr>
      </w:pPr>
    </w:p>
    <w:p w:rsidR="008D7968" w:rsidRPr="00E73B0F" w:rsidRDefault="005267C5">
      <w:pPr>
        <w:ind w:firstLine="0"/>
        <w:rPr>
          <w:sz w:val="20"/>
        </w:rPr>
      </w:pPr>
      <w:r w:rsidRPr="00E73B0F">
        <w:rPr>
          <w:sz w:val="20"/>
        </w:rPr>
        <w:br w:type="page"/>
      </w:r>
    </w:p>
    <w:p w:rsidR="008D7968" w:rsidRPr="00E73B0F" w:rsidRDefault="005267C5">
      <w:pPr>
        <w:spacing w:line="480" w:lineRule="auto"/>
        <w:rPr>
          <w:rFonts w:eastAsia="Cambria" w:cs="Times New Roman"/>
          <w:b/>
          <w:lang w:eastAsia="en-US"/>
        </w:rPr>
      </w:pPr>
      <w:r w:rsidRPr="00E73B0F">
        <w:rPr>
          <w:rFonts w:eastAsia="Cambria" w:cs="Times New Roman"/>
          <w:b/>
          <w:lang w:eastAsia="en-US"/>
        </w:rPr>
        <w:lastRenderedPageBreak/>
        <w:t xml:space="preserve">Supplementary Methods </w:t>
      </w:r>
    </w:p>
    <w:p w:rsidR="008D7968" w:rsidRPr="00E73B0F" w:rsidRDefault="005267C5">
      <w:pPr>
        <w:spacing w:line="480" w:lineRule="auto"/>
        <w:jc w:val="both"/>
        <w:outlineLvl w:val="0"/>
        <w:rPr>
          <w:rFonts w:cs="Times New Roman"/>
          <w:b/>
          <w:sz w:val="20"/>
          <w:szCs w:val="20"/>
        </w:rPr>
      </w:pPr>
      <w:r w:rsidRPr="00E73B0F">
        <w:rPr>
          <w:rFonts w:cs="Times New Roman"/>
          <w:b/>
          <w:sz w:val="20"/>
          <w:szCs w:val="20"/>
        </w:rPr>
        <w:t>Luxol Fast Blue (LFB) staining</w:t>
      </w:r>
    </w:p>
    <w:p w:rsidR="008D7968" w:rsidRPr="00E73B0F" w:rsidRDefault="005267C5">
      <w:pPr>
        <w:spacing w:after="240" w:line="480" w:lineRule="auto"/>
        <w:ind w:firstLine="426"/>
        <w:jc w:val="both"/>
        <w:outlineLvl w:val="0"/>
        <w:rPr>
          <w:rFonts w:cs="Times New Roman"/>
          <w:sz w:val="20"/>
          <w:szCs w:val="20"/>
        </w:rPr>
      </w:pPr>
      <w:r w:rsidRPr="00E73B0F">
        <w:rPr>
          <w:rFonts w:cs="Times New Roman"/>
          <w:sz w:val="20"/>
          <w:szCs w:val="20"/>
        </w:rPr>
        <w:t xml:space="preserve">Coronal sections (5 μm thickness) were deparaffinized and rehydrated in a step-wise gradient. The sections were incubated with LFB staining solution at 60 </w:t>
      </w:r>
      <w:r w:rsidRPr="00E73B0F">
        <w:rPr>
          <w:rFonts w:eastAsiaTheme="minorEastAsia" w:cs="Times New Roman"/>
          <w:sz w:val="20"/>
          <w:szCs w:val="20"/>
        </w:rPr>
        <w:t>°</w:t>
      </w:r>
      <w:r w:rsidRPr="00E73B0F">
        <w:rPr>
          <w:rFonts w:cs="Times New Roman"/>
          <w:sz w:val="20"/>
          <w:szCs w:val="20"/>
        </w:rPr>
        <w:t>C, overnight. The dye was rinsed out with 95% ethanol and tap water sequentially, followed by differentiating with 0.05% lithium carbonate solution. This process was repeated 3 times in order to obtain clear differentiation between white matter and gray matter on monitoring under a microscope. After the differentiation procedure, the slides were placed into 0.5% Cresyl violet solution for 5 min at room temperature. After washing with tap water several times, the slides were dehydrated in ethanol twice and xylene twice. The slides were mounted with DPX mounting media and visualized under an Axio Scan.Z1 microscope. Myelin density was quantified by measuring the mean intensity of the red channel (IR) in the white matter and not in the gray matter</w:t>
      </w:r>
      <w:hyperlink w:anchor="_ENREF_1" w:tooltip="Underhill, 2011 #1" w:history="1">
        <w:r w:rsidRPr="00E73B0F">
          <w:rPr>
            <w:rFonts w:cs="Times New Roman"/>
            <w:sz w:val="20"/>
            <w:szCs w:val="20"/>
          </w:rPr>
          <w:fldChar w:fldCharType="begin"/>
        </w:r>
        <w:r w:rsidRPr="00E73B0F">
          <w:rPr>
            <w:rFonts w:cs="Times New Roman"/>
            <w:sz w:val="20"/>
            <w:szCs w:val="20"/>
          </w:rPr>
          <w:instrText xml:space="preserve"> ADDIN EN.CITE </w:instrText>
        </w:r>
        <w:r w:rsidRPr="00E73B0F">
          <w:rPr>
            <w:rFonts w:cs="Times New Roman"/>
            <w:sz w:val="20"/>
            <w:szCs w:val="20"/>
          </w:rPr>
          <w:fldChar w:fldCharType="begin"/>
        </w:r>
        <w:r w:rsidRPr="00E73B0F">
          <w:rPr>
            <w:rFonts w:cs="Times New Roman"/>
            <w:sz w:val="20"/>
            <w:szCs w:val="20"/>
          </w:rPr>
          <w:instrText xml:space="preserve"> ADDIN EN.CITE.DATA </w:instrText>
        </w:r>
        <w:r w:rsidRPr="00E73B0F">
          <w:rPr>
            <w:rFonts w:cs="Times New Roman"/>
            <w:sz w:val="20"/>
            <w:szCs w:val="20"/>
          </w:rPr>
          <w:fldChar w:fldCharType="end"/>
        </w:r>
        <w:r w:rsidRPr="00E73B0F">
          <w:rPr>
            <w:rFonts w:cs="Times New Roman"/>
            <w:sz w:val="20"/>
            <w:szCs w:val="20"/>
          </w:rPr>
          <w:fldChar w:fldCharType="separate"/>
        </w:r>
        <w:r w:rsidRPr="00E73B0F">
          <w:rPr>
            <w:rFonts w:cs="Times New Roman"/>
            <w:sz w:val="20"/>
            <w:szCs w:val="20"/>
          </w:rPr>
          <w:t>1</w:t>
        </w:r>
        <w:r w:rsidRPr="00E73B0F">
          <w:rPr>
            <w:rFonts w:cs="Times New Roman"/>
            <w:sz w:val="20"/>
            <w:szCs w:val="20"/>
          </w:rPr>
          <w:fldChar w:fldCharType="end"/>
        </w:r>
      </w:hyperlink>
      <w:r w:rsidRPr="00E73B0F">
        <w:rPr>
          <w:rFonts w:cs="Times New Roman"/>
          <w:sz w:val="20"/>
          <w:szCs w:val="20"/>
        </w:rPr>
        <w:t xml:space="preserve">. The red channel is complementary to the blue channel saturation. LFB optical density (%) was calculated for each structure by 100% × [1 - (IR/256)], which yields a high myelin content for increasing values. The value was re-converted into relative myelin contents compared to normal tissue (% of normal tissue level). Individual mean intensity was obtained from three adjacent sections per location.  </w:t>
      </w:r>
    </w:p>
    <w:p w:rsidR="008D7968" w:rsidRPr="00E73B0F" w:rsidRDefault="008D7968">
      <w:pPr>
        <w:spacing w:after="240" w:line="480" w:lineRule="auto"/>
        <w:ind w:firstLine="426"/>
        <w:jc w:val="both"/>
        <w:outlineLvl w:val="0"/>
        <w:rPr>
          <w:rFonts w:cs="Times New Roman"/>
          <w:sz w:val="20"/>
          <w:szCs w:val="20"/>
        </w:rPr>
      </w:pPr>
    </w:p>
    <w:p w:rsidR="008D7968" w:rsidRPr="00E73B0F" w:rsidRDefault="005267C5">
      <w:pPr>
        <w:wordWrap w:val="0"/>
        <w:spacing w:line="480" w:lineRule="auto"/>
        <w:jc w:val="both"/>
        <w:outlineLvl w:val="0"/>
        <w:rPr>
          <w:rFonts w:cs="Times New Roman"/>
          <w:b/>
          <w:sz w:val="20"/>
          <w:szCs w:val="20"/>
        </w:rPr>
      </w:pPr>
      <w:r w:rsidRPr="00E73B0F">
        <w:rPr>
          <w:rFonts w:cs="Times New Roman"/>
          <w:b/>
          <w:sz w:val="20"/>
          <w:szCs w:val="20"/>
        </w:rPr>
        <w:t>Real-time quantitative PCR</w:t>
      </w:r>
    </w:p>
    <w:p w:rsidR="008D7968" w:rsidRPr="00E73B0F" w:rsidRDefault="005267C5">
      <w:pPr>
        <w:spacing w:after="240" w:line="480" w:lineRule="auto"/>
        <w:ind w:firstLine="426"/>
        <w:jc w:val="both"/>
        <w:outlineLvl w:val="0"/>
        <w:rPr>
          <w:rFonts w:cs="Times New Roman"/>
          <w:sz w:val="20"/>
          <w:szCs w:val="20"/>
        </w:rPr>
      </w:pPr>
      <w:r w:rsidRPr="00E73B0F">
        <w:rPr>
          <w:rFonts w:cs="Times New Roman"/>
          <w:sz w:val="20"/>
          <w:szCs w:val="20"/>
        </w:rPr>
        <w:t>Total RNA from the spinal cord was extracted using the RNeasy Plus kit (Qiagen, Hilden, Germany) and cDNA synthesized using the Omniscript RT kit (Qiagen), according to the manufacturer’s instructions. The levels of gene expression were quantified by real-time quantitative PCR using SYBR® Premix Ex Tag™ II (Tli RNaseH Plus, Takara Bio Inc., Otsu, Shiga, Japan) and CFX96 Thermal cycler (Bio-rad, Hercules, CA, USA). The sequences of the primers were as follows: ccl2</w:t>
      </w:r>
      <w:r w:rsidRPr="00E73B0F">
        <w:rPr>
          <w:rFonts w:cs="Times New Roman" w:hint="eastAsia"/>
          <w:sz w:val="20"/>
          <w:szCs w:val="20"/>
        </w:rPr>
        <w:t xml:space="preserve"> (forward, 5</w:t>
      </w:r>
      <w:r w:rsidRPr="00E73B0F">
        <w:rPr>
          <w:rFonts w:cs="Times New Roman" w:hint="eastAsia"/>
          <w:sz w:val="20"/>
          <w:szCs w:val="20"/>
        </w:rPr>
        <w:t>′</w:t>
      </w:r>
      <w:r w:rsidRPr="00E73B0F">
        <w:rPr>
          <w:rFonts w:cs="Times New Roman" w:hint="eastAsia"/>
          <w:sz w:val="20"/>
          <w:szCs w:val="20"/>
        </w:rPr>
        <w:t>-</w:t>
      </w:r>
      <w:r w:rsidRPr="00E73B0F">
        <w:rPr>
          <w:rFonts w:cs="Times New Roman"/>
          <w:sz w:val="20"/>
          <w:szCs w:val="20"/>
        </w:rPr>
        <w:t>GATGCAGTTAATGCCCCACT</w:t>
      </w:r>
      <w:r w:rsidRPr="00E73B0F">
        <w:rPr>
          <w:rFonts w:cs="Times New Roman" w:hint="eastAsia"/>
          <w:sz w:val="20"/>
          <w:szCs w:val="20"/>
        </w:rPr>
        <w:t>-3</w:t>
      </w:r>
      <w:r w:rsidRPr="00E73B0F">
        <w:rPr>
          <w:rFonts w:cs="Times New Roman" w:hint="eastAsia"/>
          <w:sz w:val="20"/>
          <w:szCs w:val="20"/>
        </w:rPr>
        <w:t>′</w:t>
      </w:r>
      <w:r w:rsidRPr="00E73B0F">
        <w:rPr>
          <w:rFonts w:cs="Times New Roman" w:hint="eastAsia"/>
          <w:sz w:val="20"/>
          <w:szCs w:val="20"/>
        </w:rPr>
        <w:t>;</w:t>
      </w:r>
      <w:r w:rsidRPr="00E73B0F">
        <w:rPr>
          <w:rFonts w:cs="Times New Roman"/>
          <w:sz w:val="20"/>
          <w:szCs w:val="20"/>
        </w:rPr>
        <w:t xml:space="preserve"> reverse, </w:t>
      </w:r>
      <w:r w:rsidRPr="00E73B0F">
        <w:rPr>
          <w:rFonts w:cs="Times New Roman" w:hint="eastAsia"/>
          <w:sz w:val="20"/>
          <w:szCs w:val="20"/>
        </w:rPr>
        <w:t>5</w:t>
      </w:r>
      <w:r w:rsidRPr="00E73B0F">
        <w:rPr>
          <w:rFonts w:cs="Times New Roman" w:hint="eastAsia"/>
          <w:sz w:val="20"/>
          <w:szCs w:val="20"/>
        </w:rPr>
        <w:t>′</w:t>
      </w:r>
      <w:r w:rsidRPr="00E73B0F">
        <w:rPr>
          <w:rFonts w:cs="Times New Roman" w:hint="eastAsia"/>
          <w:sz w:val="20"/>
          <w:szCs w:val="20"/>
        </w:rPr>
        <w:t>-</w:t>
      </w:r>
      <w:r w:rsidRPr="00E73B0F">
        <w:rPr>
          <w:rFonts w:cs="Times New Roman"/>
          <w:sz w:val="20"/>
          <w:szCs w:val="20"/>
        </w:rPr>
        <w:t>TTCCTTATTGGGGTCAGCAC-3</w:t>
      </w:r>
      <w:r w:rsidRPr="00E73B0F">
        <w:rPr>
          <w:rFonts w:cs="Times New Roman" w:hint="eastAsia"/>
          <w:sz w:val="20"/>
          <w:szCs w:val="20"/>
        </w:rPr>
        <w:t>′</w:t>
      </w:r>
      <w:r w:rsidRPr="00E73B0F">
        <w:rPr>
          <w:rFonts w:cs="Times New Roman" w:hint="eastAsia"/>
          <w:sz w:val="20"/>
          <w:szCs w:val="20"/>
        </w:rPr>
        <w:t xml:space="preserve">), </w:t>
      </w:r>
      <w:r w:rsidRPr="00E73B0F">
        <w:rPr>
          <w:rFonts w:cs="Times New Roman"/>
          <w:sz w:val="20"/>
          <w:szCs w:val="20"/>
        </w:rPr>
        <w:t>ccl5</w:t>
      </w:r>
      <w:r w:rsidRPr="00E73B0F">
        <w:rPr>
          <w:rFonts w:cs="Times New Roman" w:hint="eastAsia"/>
          <w:sz w:val="20"/>
          <w:szCs w:val="20"/>
        </w:rPr>
        <w:t xml:space="preserve"> (forward, 5</w:t>
      </w:r>
      <w:r w:rsidRPr="00E73B0F">
        <w:rPr>
          <w:rFonts w:cs="Times New Roman" w:hint="eastAsia"/>
          <w:sz w:val="20"/>
          <w:szCs w:val="20"/>
        </w:rPr>
        <w:t>′</w:t>
      </w:r>
      <w:r w:rsidRPr="00E73B0F">
        <w:rPr>
          <w:rFonts w:cs="Times New Roman" w:hint="eastAsia"/>
          <w:sz w:val="20"/>
          <w:szCs w:val="20"/>
        </w:rPr>
        <w:t xml:space="preserve">- </w:t>
      </w:r>
      <w:r w:rsidRPr="00E73B0F">
        <w:rPr>
          <w:rFonts w:cs="Times New Roman"/>
          <w:sz w:val="20"/>
          <w:szCs w:val="20"/>
        </w:rPr>
        <w:t>ATATGGCTCGGACACCACTC-3</w:t>
      </w:r>
      <w:r w:rsidRPr="00E73B0F">
        <w:rPr>
          <w:rFonts w:cs="Times New Roman" w:hint="eastAsia"/>
          <w:sz w:val="20"/>
          <w:szCs w:val="20"/>
        </w:rPr>
        <w:t>′</w:t>
      </w:r>
      <w:r w:rsidRPr="00E73B0F">
        <w:rPr>
          <w:rFonts w:cs="Times New Roman" w:hint="eastAsia"/>
          <w:sz w:val="20"/>
          <w:szCs w:val="20"/>
        </w:rPr>
        <w:t>; reverse, 5</w:t>
      </w:r>
      <w:r w:rsidRPr="00E73B0F">
        <w:rPr>
          <w:rFonts w:cs="Times New Roman" w:hint="eastAsia"/>
          <w:sz w:val="20"/>
          <w:szCs w:val="20"/>
        </w:rPr>
        <w:t>′</w:t>
      </w:r>
      <w:r w:rsidRPr="00E73B0F">
        <w:rPr>
          <w:rFonts w:cs="Times New Roman" w:hint="eastAsia"/>
          <w:sz w:val="20"/>
          <w:szCs w:val="20"/>
        </w:rPr>
        <w:t>CCCACTTCTTCTCTGGGTTG-3</w:t>
      </w:r>
      <w:r w:rsidRPr="00E73B0F">
        <w:rPr>
          <w:rFonts w:cs="Times New Roman" w:hint="eastAsia"/>
          <w:sz w:val="20"/>
          <w:szCs w:val="20"/>
        </w:rPr>
        <w:t>′</w:t>
      </w:r>
      <w:r w:rsidRPr="00E73B0F">
        <w:rPr>
          <w:rFonts w:cs="Times New Roman" w:hint="eastAsia"/>
          <w:sz w:val="20"/>
          <w:szCs w:val="20"/>
        </w:rPr>
        <w:t xml:space="preserve">), </w:t>
      </w:r>
      <w:r w:rsidRPr="00E73B0F">
        <w:rPr>
          <w:rFonts w:cs="Times New Roman"/>
          <w:sz w:val="20"/>
          <w:szCs w:val="20"/>
        </w:rPr>
        <w:t>gapdh</w:t>
      </w:r>
      <w:r w:rsidRPr="00E73B0F">
        <w:rPr>
          <w:rFonts w:cs="Times New Roman" w:hint="eastAsia"/>
          <w:sz w:val="20"/>
          <w:szCs w:val="20"/>
        </w:rPr>
        <w:t xml:space="preserve"> (forward, 5</w:t>
      </w:r>
      <w:r w:rsidRPr="00E73B0F">
        <w:rPr>
          <w:rFonts w:cs="Times New Roman" w:hint="eastAsia"/>
          <w:sz w:val="20"/>
          <w:szCs w:val="20"/>
        </w:rPr>
        <w:t>′</w:t>
      </w:r>
      <w:r w:rsidRPr="00E73B0F">
        <w:rPr>
          <w:rFonts w:cs="Times New Roman" w:hint="eastAsia"/>
          <w:sz w:val="20"/>
          <w:szCs w:val="20"/>
        </w:rPr>
        <w:t>-</w:t>
      </w:r>
      <w:r w:rsidRPr="00E73B0F">
        <w:rPr>
          <w:rFonts w:cs="Times New Roman"/>
          <w:sz w:val="20"/>
          <w:szCs w:val="20"/>
        </w:rPr>
        <w:t xml:space="preserve"> </w:t>
      </w:r>
      <w:r w:rsidRPr="00E73B0F">
        <w:rPr>
          <w:rFonts w:cs="Times New Roman" w:hint="eastAsia"/>
          <w:sz w:val="20"/>
          <w:szCs w:val="20"/>
        </w:rPr>
        <w:t>GGCATTGCTCTCAATGACAA-3</w:t>
      </w:r>
      <w:r w:rsidRPr="00E73B0F">
        <w:rPr>
          <w:rFonts w:cs="Times New Roman" w:hint="eastAsia"/>
          <w:sz w:val="20"/>
          <w:szCs w:val="20"/>
        </w:rPr>
        <w:t>′</w:t>
      </w:r>
      <w:r w:rsidRPr="00E73B0F">
        <w:rPr>
          <w:rFonts w:cs="Times New Roman" w:hint="eastAsia"/>
          <w:sz w:val="20"/>
          <w:szCs w:val="20"/>
        </w:rPr>
        <w:t>;</w:t>
      </w:r>
      <w:r w:rsidRPr="00E73B0F">
        <w:rPr>
          <w:rFonts w:cs="Times New Roman"/>
          <w:sz w:val="20"/>
          <w:szCs w:val="20"/>
        </w:rPr>
        <w:t xml:space="preserve"> reverse, </w:t>
      </w:r>
      <w:r w:rsidRPr="00E73B0F">
        <w:rPr>
          <w:rFonts w:cs="Times New Roman" w:hint="eastAsia"/>
          <w:sz w:val="20"/>
          <w:szCs w:val="20"/>
        </w:rPr>
        <w:t>5</w:t>
      </w:r>
      <w:r w:rsidRPr="00E73B0F">
        <w:rPr>
          <w:rFonts w:cs="Times New Roman" w:hint="eastAsia"/>
          <w:sz w:val="20"/>
          <w:szCs w:val="20"/>
        </w:rPr>
        <w:t>′</w:t>
      </w:r>
      <w:r w:rsidRPr="00E73B0F">
        <w:rPr>
          <w:rFonts w:cs="Times New Roman" w:hint="eastAsia"/>
          <w:sz w:val="20"/>
          <w:szCs w:val="20"/>
        </w:rPr>
        <w:t>-</w:t>
      </w:r>
      <w:r w:rsidRPr="00E73B0F">
        <w:rPr>
          <w:rFonts w:cs="Times New Roman"/>
          <w:sz w:val="20"/>
          <w:szCs w:val="20"/>
        </w:rPr>
        <w:t xml:space="preserve"> </w:t>
      </w:r>
      <w:r w:rsidRPr="00E73B0F">
        <w:rPr>
          <w:rFonts w:cs="Times New Roman" w:hint="eastAsia"/>
          <w:sz w:val="20"/>
          <w:szCs w:val="20"/>
        </w:rPr>
        <w:t>TGTGAGGGAGATGCTCAGTG-3</w:t>
      </w:r>
      <w:r w:rsidRPr="00E73B0F">
        <w:rPr>
          <w:rFonts w:cs="Times New Roman" w:hint="eastAsia"/>
          <w:sz w:val="20"/>
          <w:szCs w:val="20"/>
        </w:rPr>
        <w:t>′</w:t>
      </w:r>
      <w:r w:rsidRPr="00E73B0F">
        <w:rPr>
          <w:rFonts w:cs="Times New Roman" w:hint="eastAsia"/>
          <w:sz w:val="20"/>
          <w:szCs w:val="20"/>
        </w:rPr>
        <w:t xml:space="preserve">). The </w:t>
      </w:r>
      <w:r w:rsidRPr="00E73B0F">
        <w:rPr>
          <w:rFonts w:cs="Times New Roman"/>
          <w:sz w:val="20"/>
          <w:szCs w:val="20"/>
        </w:rPr>
        <w:t>gapdh gene was amplified separately as an internal control for normalization. Th</w:t>
      </w:r>
      <w:r w:rsidRPr="00E73B0F">
        <w:rPr>
          <w:rFonts w:eastAsiaTheme="minorEastAsia" w:cs="Times New Roman"/>
          <w:sz w:val="20"/>
          <w:szCs w:val="20"/>
        </w:rPr>
        <w:t xml:space="preserve">e results were analyzed using </w:t>
      </w:r>
      <w:r w:rsidRPr="00E73B0F">
        <w:rPr>
          <w:rFonts w:cs="Times New Roman"/>
          <w:sz w:val="20"/>
          <w:szCs w:val="20"/>
        </w:rPr>
        <w:t>Bio-Rad CFX96 software.</w:t>
      </w:r>
    </w:p>
    <w:p w:rsidR="008D7968" w:rsidRPr="00E73B0F" w:rsidRDefault="008D7968">
      <w:pPr>
        <w:spacing w:line="480" w:lineRule="auto"/>
        <w:rPr>
          <w:rFonts w:eastAsia="Cambria" w:cs="Times New Roman"/>
          <w:b/>
          <w:lang w:eastAsia="en-US"/>
        </w:rPr>
      </w:pPr>
    </w:p>
    <w:p w:rsidR="008D7968" w:rsidRPr="00E73B0F" w:rsidRDefault="008D7968">
      <w:pPr>
        <w:spacing w:line="480" w:lineRule="auto"/>
        <w:rPr>
          <w:rFonts w:eastAsia="Cambria" w:cs="Times New Roman"/>
          <w:b/>
          <w:lang w:eastAsia="en-US"/>
        </w:rPr>
      </w:pPr>
    </w:p>
    <w:p w:rsidR="008D7968" w:rsidRPr="00E73B0F" w:rsidRDefault="005267C5">
      <w:pPr>
        <w:spacing w:line="480" w:lineRule="auto"/>
        <w:jc w:val="center"/>
        <w:rPr>
          <w:b/>
          <w:sz w:val="20"/>
          <w:szCs w:val="20"/>
        </w:rPr>
      </w:pPr>
      <w:r w:rsidRPr="00E73B0F">
        <w:rPr>
          <w:noProof/>
          <w:lang w:val="en-IN" w:eastAsia="en-IN"/>
        </w:rPr>
        <w:drawing>
          <wp:inline distT="0" distB="0" distL="0" distR="0">
            <wp:extent cx="3235325" cy="2731770"/>
            <wp:effectExtent l="0" t="0" r="0" b="0"/>
            <wp:docPr id="1025" name="shape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이미지"/>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a:xfrm>
                      <a:off x="0" y="0"/>
                      <a:ext cx="3235325" cy="2731770"/>
                    </a:xfrm>
                    <a:prstGeom prst="rect">
                      <a:avLst/>
                    </a:prstGeom>
                    <a:noFill/>
                    <a:ln>
                      <a:noFill/>
                    </a:ln>
                  </pic:spPr>
                </pic:pic>
              </a:graphicData>
            </a:graphic>
          </wp:inline>
        </w:drawing>
      </w:r>
    </w:p>
    <w:p w:rsidR="008D7968" w:rsidRPr="00E73B0F" w:rsidRDefault="005267C5">
      <w:pPr>
        <w:spacing w:line="480" w:lineRule="auto"/>
        <w:ind w:firstLine="0"/>
        <w:rPr>
          <w:rFonts w:cs="Times New Roman"/>
          <w:sz w:val="20"/>
          <w:szCs w:val="20"/>
        </w:rPr>
      </w:pPr>
      <w:r w:rsidRPr="00E73B0F">
        <w:rPr>
          <w:rFonts w:cs="Times New Roman"/>
          <w:b/>
          <w:sz w:val="20"/>
          <w:szCs w:val="20"/>
        </w:rPr>
        <w:t xml:space="preserve">Supplementary Figure 1. BBB score after SCI with various impact forces. </w:t>
      </w:r>
      <w:r w:rsidRPr="00E73B0F">
        <w:rPr>
          <w:rFonts w:cs="Times New Roman"/>
          <w:sz w:val="20"/>
          <w:szCs w:val="20"/>
        </w:rPr>
        <w:t>The 140 Kdyn group showed the greatest improvement in BBB scores over time. Seven days after SCI, the 140 Kdyn group (n = 7) showed a BBB score of 8–14 (intermediate recovery stage). When 150 (n = 8) and 200 Kdyn (n = 8) were applied, the BBB scores were 0–7. The difference between the 140 Kdyn group and 150 and 200 Kdyn groups was significant. Data are presented as means ± SEM. Two-way ANOVA and Tukey’s tests for multiple comparisons were performed. **P &lt; 0.01, ****P &lt; 0.0001 compared with 140 Kdyn, ##P &lt; 0.01, ####P &lt; 0.0001 compared with 150 Kdyn, and §§P &lt; 0.01, compared with 200 Kdyn.</w:t>
      </w:r>
    </w:p>
    <w:p w:rsidR="008D7968" w:rsidRPr="00E73B0F" w:rsidRDefault="005267C5">
      <w:pPr>
        <w:ind w:firstLine="0"/>
        <w:rPr>
          <w:rFonts w:cs="Times New Roman"/>
          <w:noProof/>
          <w:szCs w:val="20"/>
          <w:lang w:eastAsia="ko-KR"/>
        </w:rPr>
      </w:pPr>
      <w:r w:rsidRPr="00E73B0F">
        <w:rPr>
          <w:rFonts w:cs="Times New Roman"/>
          <w:noProof/>
          <w:szCs w:val="20"/>
          <w:lang w:eastAsia="ko-KR"/>
        </w:rPr>
        <w:br w:type="page"/>
      </w:r>
    </w:p>
    <w:p w:rsidR="008D7968" w:rsidRPr="00E73B0F" w:rsidRDefault="005267C5">
      <w:pPr>
        <w:spacing w:after="240" w:line="480" w:lineRule="auto"/>
        <w:ind w:firstLine="426"/>
        <w:jc w:val="center"/>
        <w:rPr>
          <w:rFonts w:cs="Times New Roman"/>
          <w:sz w:val="20"/>
          <w:szCs w:val="20"/>
        </w:rPr>
      </w:pPr>
      <w:r w:rsidRPr="00E73B0F">
        <w:rPr>
          <w:noProof/>
          <w:lang w:val="en-IN" w:eastAsia="en-IN"/>
        </w:rPr>
        <w:drawing>
          <wp:inline distT="0" distB="0" distL="0" distR="0">
            <wp:extent cx="5464175" cy="8863330"/>
            <wp:effectExtent l="0" t="0" r="0" b="0"/>
            <wp:docPr id="1026" name="shape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이미지"/>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a:xfrm>
                      <a:off x="0" y="0"/>
                      <a:ext cx="5464175" cy="8863330"/>
                    </a:xfrm>
                    <a:prstGeom prst="rect">
                      <a:avLst/>
                    </a:prstGeom>
                    <a:noFill/>
                    <a:ln>
                      <a:noFill/>
                    </a:ln>
                  </pic:spPr>
                </pic:pic>
              </a:graphicData>
            </a:graphic>
          </wp:inline>
        </w:drawing>
      </w:r>
    </w:p>
    <w:p w:rsidR="008D7968" w:rsidRPr="00E73B0F" w:rsidRDefault="005267C5" w:rsidP="00A5344C">
      <w:pPr>
        <w:spacing w:line="480" w:lineRule="auto"/>
        <w:ind w:firstLine="0"/>
        <w:rPr>
          <w:rFonts w:cs="Times New Roman"/>
          <w:sz w:val="20"/>
          <w:szCs w:val="20"/>
        </w:rPr>
      </w:pPr>
      <w:r w:rsidRPr="00E73B0F">
        <w:rPr>
          <w:rFonts w:cs="Times New Roman"/>
          <w:b/>
          <w:sz w:val="20"/>
          <w:szCs w:val="20"/>
        </w:rPr>
        <w:t xml:space="preserve">Supplementary Figure 2. Peak acoustic pressure distribution. </w:t>
      </w:r>
      <w:r w:rsidRPr="00E73B0F">
        <w:rPr>
          <w:rFonts w:cs="Times New Roman"/>
          <w:sz w:val="20"/>
          <w:szCs w:val="20"/>
        </w:rPr>
        <w:t>Measurement of acoustic output distribution in a focal zone using the 1 MHz transducer in the lateral and axial planes. (a) SCIU5; duty cycle 5% and acoustic intensity of 0.8 W/cm</w:t>
      </w:r>
      <w:r w:rsidRPr="00E73B0F">
        <w:rPr>
          <w:rFonts w:cs="Times New Roman"/>
          <w:sz w:val="20"/>
          <w:szCs w:val="20"/>
          <w:vertAlign w:val="superscript"/>
        </w:rPr>
        <w:t>2</w:t>
      </w:r>
      <w:r w:rsidRPr="00E73B0F">
        <w:rPr>
          <w:rFonts w:cs="Times New Roman"/>
          <w:sz w:val="20"/>
          <w:szCs w:val="20"/>
        </w:rPr>
        <w:t xml:space="preserve"> (b) SCIU40; duty cycle 40% and acoustic intensity of 0.8 W/cm</w:t>
      </w:r>
      <w:r w:rsidRPr="00E73B0F">
        <w:rPr>
          <w:rFonts w:cs="Times New Roman"/>
          <w:sz w:val="20"/>
          <w:szCs w:val="20"/>
          <w:vertAlign w:val="superscript"/>
        </w:rPr>
        <w:t>2</w:t>
      </w:r>
      <w:r w:rsidRPr="00E73B0F">
        <w:rPr>
          <w:rFonts w:cs="Times New Roman"/>
          <w:sz w:val="20"/>
          <w:szCs w:val="20"/>
        </w:rPr>
        <w:t>.</w:t>
      </w:r>
      <w:r w:rsidRPr="00E73B0F">
        <w:rPr>
          <w:rFonts w:cs="Times New Roman"/>
          <w:sz w:val="20"/>
          <w:szCs w:val="20"/>
          <w:vertAlign w:val="superscript"/>
        </w:rPr>
        <w:t xml:space="preserve"> </w:t>
      </w:r>
      <w:r w:rsidRPr="00E73B0F">
        <w:rPr>
          <w:rFonts w:cs="Times New Roman"/>
          <w:sz w:val="20"/>
          <w:szCs w:val="20"/>
        </w:rPr>
        <w:t>The maximum pressure at focus target was 0.65MPa (a) and 0.22MPa (b). The heat map scale represents the peak pressure (MPa).</w:t>
      </w:r>
      <w:r w:rsidR="00675695" w:rsidRPr="00E73B0F">
        <w:rPr>
          <w:rFonts w:cs="Times New Roman"/>
          <w:sz w:val="20"/>
          <w:szCs w:val="20"/>
        </w:rPr>
        <w:t xml:space="preserve"> The </w:t>
      </w:r>
      <w:r w:rsidR="00C807C0" w:rsidRPr="00E73B0F">
        <w:rPr>
          <w:rFonts w:cs="Times New Roman"/>
          <w:sz w:val="20"/>
          <w:szCs w:val="20"/>
        </w:rPr>
        <w:t xml:space="preserve">data visualization was performed with </w:t>
      </w:r>
      <w:r w:rsidR="00675695" w:rsidRPr="00E73B0F">
        <w:rPr>
          <w:rFonts w:cs="Times New Roman"/>
          <w:sz w:val="20"/>
          <w:szCs w:val="20"/>
        </w:rPr>
        <w:t>MATLAB.</w:t>
      </w:r>
    </w:p>
    <w:p w:rsidR="008D7968" w:rsidRPr="00E73B0F" w:rsidRDefault="005267C5">
      <w:pPr>
        <w:ind w:firstLine="0"/>
        <w:jc w:val="center"/>
        <w:rPr>
          <w:rFonts w:cs="Times New Roman"/>
          <w:b/>
          <w:sz w:val="20"/>
          <w:szCs w:val="20"/>
        </w:rPr>
      </w:pPr>
      <w:r w:rsidRPr="00E73B0F">
        <w:rPr>
          <w:rFonts w:cs="Times New Roman"/>
          <w:sz w:val="20"/>
          <w:szCs w:val="20"/>
        </w:rPr>
        <w:br w:type="page"/>
      </w:r>
      <w:r w:rsidR="00FC5DDE">
        <w:rPr>
          <w:rFonts w:cs="Times New Roman"/>
          <w:noProof/>
          <w:sz w:val="20"/>
          <w:szCs w:val="20"/>
          <w:lang w:val="en-IN" w:eastAsia="en-IN"/>
        </w:rPr>
        <w:drawing>
          <wp:inline distT="0" distB="0" distL="0" distR="0" wp14:anchorId="53722569">
            <wp:extent cx="4729403" cy="8648065"/>
            <wp:effectExtent l="0" t="0" r="0" b="635"/>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35001" cy="8658301"/>
                    </a:xfrm>
                    <a:prstGeom prst="rect">
                      <a:avLst/>
                    </a:prstGeom>
                    <a:noFill/>
                  </pic:spPr>
                </pic:pic>
              </a:graphicData>
            </a:graphic>
          </wp:inline>
        </w:drawing>
      </w:r>
    </w:p>
    <w:p w:rsidR="008D7968" w:rsidRPr="00E73B0F" w:rsidRDefault="005267C5">
      <w:pPr>
        <w:spacing w:after="240" w:line="480" w:lineRule="auto"/>
        <w:ind w:firstLine="0"/>
        <w:jc w:val="both"/>
        <w:rPr>
          <w:rFonts w:cs="Times New Roman"/>
          <w:sz w:val="20"/>
          <w:szCs w:val="20"/>
        </w:rPr>
      </w:pPr>
      <w:r w:rsidRPr="00E73B0F">
        <w:rPr>
          <w:rFonts w:cs="Times New Roman"/>
          <w:b/>
          <w:sz w:val="20"/>
          <w:szCs w:val="20"/>
        </w:rPr>
        <w:t xml:space="preserve">Supplementary Figure 3. MR images (3.0 T) of the spinal cord lesions. </w:t>
      </w:r>
      <w:r w:rsidRPr="00E73B0F">
        <w:rPr>
          <w:rFonts w:cs="Times New Roman"/>
          <w:sz w:val="20"/>
          <w:szCs w:val="20"/>
        </w:rPr>
        <w:t xml:space="preserve">Sagittal T2-weighted MR imaging scans of the contused rat spinal cord were obtained in the sham (left), SCIU5 (middle), and SCIU40 (right) groups at 1 and 14 days after SCI. At 14 days, the SCI lesion epicenter (arrows) displayed lower signal intensity in the SCIU5 group than in the sham and SCIU40 groups. Scale bar = 3 mm. The T2 intensity was quantified using Image J software as the lesion intensity. Two-way ANOVA with Turkey's test for multiple comparisons was used for analyses. </w:t>
      </w:r>
      <w:r w:rsidRPr="00E73B0F">
        <w:rPr>
          <w:rFonts w:cs="Times New Roman"/>
          <w:i/>
          <w:sz w:val="20"/>
          <w:szCs w:val="20"/>
        </w:rPr>
        <w:t xml:space="preserve">*P </w:t>
      </w:r>
      <w:r w:rsidRPr="00E73B0F">
        <w:rPr>
          <w:rFonts w:cs="Times New Roman"/>
          <w:sz w:val="20"/>
          <w:szCs w:val="20"/>
        </w:rPr>
        <w:t xml:space="preserve">&lt; 0.05, compared with the sham control, </w:t>
      </w:r>
      <w:r w:rsidRPr="00E73B0F">
        <w:rPr>
          <w:rFonts w:cs="Times New Roman"/>
          <w:i/>
          <w:sz w:val="20"/>
          <w:szCs w:val="20"/>
          <w:vertAlign w:val="superscript"/>
        </w:rPr>
        <w:t>#</w:t>
      </w:r>
      <w:r w:rsidRPr="00E73B0F">
        <w:rPr>
          <w:rFonts w:cs="Times New Roman"/>
          <w:i/>
          <w:sz w:val="20"/>
          <w:szCs w:val="20"/>
        </w:rPr>
        <w:t>P</w:t>
      </w:r>
      <w:r w:rsidRPr="00E73B0F">
        <w:rPr>
          <w:rFonts w:cs="Times New Roman"/>
          <w:sz w:val="20"/>
          <w:szCs w:val="20"/>
        </w:rPr>
        <w:t xml:space="preserve"> &lt; 0.05, compared with the SCIU5-treated group (n = 3/per group).</w:t>
      </w:r>
    </w:p>
    <w:p w:rsidR="008D7968" w:rsidRPr="00E73B0F" w:rsidRDefault="00FC5DDE">
      <w:pPr>
        <w:spacing w:after="240" w:line="480" w:lineRule="auto"/>
        <w:ind w:firstLine="0"/>
        <w:rPr>
          <w:rFonts w:cs="Times New Roman"/>
          <w:sz w:val="20"/>
          <w:szCs w:val="20"/>
        </w:rPr>
      </w:pPr>
      <w:r>
        <w:rPr>
          <w:rFonts w:cs="Times New Roman"/>
          <w:noProof/>
          <w:sz w:val="20"/>
          <w:szCs w:val="20"/>
          <w:lang w:val="en-IN" w:eastAsia="en-IN"/>
        </w:rPr>
        <w:drawing>
          <wp:inline distT="0" distB="0" distL="0" distR="0" wp14:anchorId="719296AA">
            <wp:extent cx="5143597" cy="8580755"/>
            <wp:effectExtent l="0" t="0" r="0" b="0"/>
            <wp:docPr id="21" name="그림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50850" cy="8592855"/>
                    </a:xfrm>
                    <a:prstGeom prst="rect">
                      <a:avLst/>
                    </a:prstGeom>
                    <a:noFill/>
                  </pic:spPr>
                </pic:pic>
              </a:graphicData>
            </a:graphic>
          </wp:inline>
        </w:drawing>
      </w:r>
    </w:p>
    <w:p w:rsidR="008D7968" w:rsidRPr="00E73B0F" w:rsidRDefault="008D7968">
      <w:pPr>
        <w:spacing w:after="240" w:line="480" w:lineRule="auto"/>
        <w:ind w:firstLine="0"/>
        <w:jc w:val="center"/>
        <w:rPr>
          <w:rFonts w:cs="Times New Roman"/>
          <w:sz w:val="20"/>
          <w:szCs w:val="20"/>
        </w:rPr>
      </w:pPr>
    </w:p>
    <w:p w:rsidR="008D7968" w:rsidRPr="00E73B0F" w:rsidRDefault="005267C5">
      <w:pPr>
        <w:spacing w:line="480" w:lineRule="auto"/>
        <w:ind w:leftChars="50" w:left="120" w:firstLine="0"/>
        <w:jc w:val="both"/>
        <w:rPr>
          <w:rFonts w:cs="Times New Roman"/>
          <w:sz w:val="20"/>
          <w:szCs w:val="20"/>
        </w:rPr>
      </w:pPr>
      <w:r w:rsidRPr="00E73B0F">
        <w:rPr>
          <w:rFonts w:cs="Times New Roman"/>
          <w:b/>
          <w:sz w:val="20"/>
          <w:szCs w:val="20"/>
        </w:rPr>
        <w:t xml:space="preserve">Supplementary Figure 4. </w:t>
      </w:r>
      <w:r w:rsidRPr="00E73B0F">
        <w:rPr>
          <w:rFonts w:cs="Times New Roman"/>
          <w:b/>
          <w:bCs/>
          <w:sz w:val="20"/>
          <w:szCs w:val="20"/>
        </w:rPr>
        <w:t xml:space="preserve">Axonal demyelination was protected by the suppression parameter ultrasound in acute phase injury-post 7 days, but not chronic phase injury-post 8 weeks. </w:t>
      </w:r>
      <w:r w:rsidRPr="00E73B0F">
        <w:rPr>
          <w:rFonts w:cs="Times New Roman"/>
          <w:sz w:val="20"/>
          <w:szCs w:val="20"/>
        </w:rPr>
        <w:t xml:space="preserve">(a) Representative LFB staining of the normal spinal cord tissue, SCI-sham, SCIU5, and SCIU40 at 7 days post-injury (upper panel) or 8 weeks post-injury (bottom panel). (b) Quantification data of the relative myelin density (% of the normal spinal cord) at 7 days post-injury (left bar graph) and 8 weeks post-injury (right bar graph). The quantitative values are shown as mean ± SD (n = 3). Statistical significance was analyzed by one-way ANOVA, followed by Tukey’s multiple comparisons. Scale bar: 500 μm. </w:t>
      </w:r>
    </w:p>
    <w:p w:rsidR="008D7968" w:rsidRPr="00E73B0F" w:rsidRDefault="005267C5">
      <w:pPr>
        <w:ind w:firstLine="0"/>
        <w:rPr>
          <w:rFonts w:cs="Times New Roman"/>
          <w:sz w:val="20"/>
          <w:szCs w:val="20"/>
        </w:rPr>
      </w:pPr>
      <w:r w:rsidRPr="00E73B0F">
        <w:rPr>
          <w:rFonts w:cs="Times New Roman"/>
          <w:sz w:val="20"/>
          <w:szCs w:val="20"/>
        </w:rPr>
        <w:br w:type="page"/>
      </w:r>
    </w:p>
    <w:p w:rsidR="008D7968" w:rsidRPr="00E73B0F" w:rsidRDefault="00FC5DDE">
      <w:pPr>
        <w:spacing w:line="480" w:lineRule="auto"/>
        <w:ind w:leftChars="50" w:left="120" w:firstLine="0"/>
        <w:jc w:val="both"/>
        <w:rPr>
          <w:rFonts w:cs="Times New Roman"/>
          <w:b/>
          <w:bCs/>
          <w:i/>
          <w:color w:val="FF0000"/>
          <w:sz w:val="20"/>
          <w:szCs w:val="20"/>
        </w:rPr>
      </w:pPr>
      <w:r>
        <w:rPr>
          <w:rFonts w:cs="Times New Roman"/>
          <w:b/>
          <w:bCs/>
          <w:i/>
          <w:noProof/>
          <w:color w:val="FF0000"/>
          <w:sz w:val="20"/>
          <w:szCs w:val="20"/>
          <w:lang w:val="en-IN" w:eastAsia="en-IN"/>
        </w:rPr>
        <w:drawing>
          <wp:inline distT="0" distB="0" distL="0" distR="0" wp14:anchorId="3489E54E">
            <wp:extent cx="4672464" cy="6720840"/>
            <wp:effectExtent l="0" t="0" r="0" b="3810"/>
            <wp:docPr id="28" name="그림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80420" cy="6732284"/>
                    </a:xfrm>
                    <a:prstGeom prst="rect">
                      <a:avLst/>
                    </a:prstGeom>
                    <a:noFill/>
                  </pic:spPr>
                </pic:pic>
              </a:graphicData>
            </a:graphic>
          </wp:inline>
        </w:drawing>
      </w:r>
    </w:p>
    <w:p w:rsidR="008D7968" w:rsidRPr="00E73B0F" w:rsidRDefault="008D7968">
      <w:pPr>
        <w:spacing w:after="240" w:line="480" w:lineRule="auto"/>
        <w:ind w:firstLine="0"/>
        <w:jc w:val="center"/>
        <w:rPr>
          <w:rFonts w:cs="Times New Roman"/>
          <w:sz w:val="20"/>
          <w:szCs w:val="20"/>
        </w:rPr>
      </w:pPr>
    </w:p>
    <w:p w:rsidR="008D7968" w:rsidRPr="00E73B0F" w:rsidRDefault="005267C5">
      <w:pPr>
        <w:spacing w:line="480" w:lineRule="auto"/>
        <w:ind w:firstLine="0"/>
        <w:jc w:val="both"/>
        <w:rPr>
          <w:rFonts w:cs="Times New Roman"/>
          <w:sz w:val="20"/>
          <w:szCs w:val="20"/>
        </w:rPr>
      </w:pPr>
      <w:r w:rsidRPr="00E73B0F">
        <w:rPr>
          <w:rFonts w:cs="Times New Roman"/>
          <w:b/>
          <w:sz w:val="20"/>
          <w:szCs w:val="20"/>
        </w:rPr>
        <w:t xml:space="preserve">Supplementary Figure 5. Representative whole tissue sections of SCI and normal control (uninjured tissue) stained for iNOS (red), ED-1 (green), and TNF-α (red). </w:t>
      </w:r>
      <w:r w:rsidRPr="00E73B0F">
        <w:rPr>
          <w:rFonts w:cs="Times New Roman"/>
          <w:sz w:val="20"/>
          <w:szCs w:val="20"/>
        </w:rPr>
        <w:t>The spinal cord sections were labeled with iNOS (red), ED-1 (green), and TNF-</w:t>
      </w:r>
      <w:r w:rsidRPr="00E73B0F">
        <w:rPr>
          <w:rFonts w:eastAsia="Malgun Gothic" w:cs="Times New Roman"/>
          <w:sz w:val="20"/>
          <w:szCs w:val="20"/>
        </w:rPr>
        <w:t>α</w:t>
      </w:r>
      <w:r w:rsidRPr="00E73B0F">
        <w:rPr>
          <w:rFonts w:cs="Times New Roman"/>
          <w:sz w:val="20"/>
          <w:szCs w:val="20"/>
        </w:rPr>
        <w:t xml:space="preserve"> (red) on day 7 after the treatment of rat models of SCI</w:t>
      </w:r>
      <w:r w:rsidRPr="00E73B0F">
        <w:rPr>
          <w:rFonts w:eastAsia="Malgun Gothic" w:cs="Times New Roman"/>
          <w:sz w:val="20"/>
          <w:szCs w:val="20"/>
        </w:rPr>
        <w:t xml:space="preserve"> with US. Red dashed boxes indicate areas where immunofluorescent sect</w:t>
      </w:r>
      <w:r w:rsidRPr="00E73B0F">
        <w:rPr>
          <w:rFonts w:cs="Times New Roman"/>
          <w:sz w:val="20"/>
          <w:szCs w:val="20"/>
        </w:rPr>
        <w:t>ions shown in Figure 2 were obtained. Scale bar represents 500 μm.</w:t>
      </w:r>
    </w:p>
    <w:p w:rsidR="008D7968" w:rsidRPr="00E73B0F" w:rsidRDefault="005267C5">
      <w:pPr>
        <w:ind w:firstLine="0"/>
        <w:rPr>
          <w:rFonts w:cs="Times New Roman"/>
          <w:sz w:val="20"/>
          <w:szCs w:val="20"/>
        </w:rPr>
      </w:pPr>
      <w:r w:rsidRPr="00E73B0F">
        <w:rPr>
          <w:rFonts w:cs="Times New Roman"/>
          <w:sz w:val="20"/>
          <w:szCs w:val="20"/>
        </w:rPr>
        <w:br w:type="page"/>
      </w:r>
    </w:p>
    <w:p w:rsidR="008D7968" w:rsidRPr="00E73B0F" w:rsidRDefault="00FC5DDE">
      <w:pPr>
        <w:spacing w:line="480" w:lineRule="auto"/>
        <w:ind w:firstLine="0"/>
        <w:jc w:val="center"/>
        <w:rPr>
          <w:rFonts w:cs="Times New Roman"/>
          <w:sz w:val="20"/>
          <w:szCs w:val="20"/>
        </w:rPr>
      </w:pPr>
      <w:r>
        <w:rPr>
          <w:rFonts w:cs="Times New Roman"/>
          <w:noProof/>
          <w:sz w:val="20"/>
          <w:szCs w:val="20"/>
          <w:lang w:val="en-IN" w:eastAsia="en-IN"/>
        </w:rPr>
        <w:drawing>
          <wp:inline distT="0" distB="0" distL="0" distR="0" wp14:anchorId="15F5761E">
            <wp:extent cx="5669280" cy="2760688"/>
            <wp:effectExtent l="0" t="0" r="0" b="0"/>
            <wp:docPr id="31" name="그림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92030" cy="2771766"/>
                    </a:xfrm>
                    <a:prstGeom prst="rect">
                      <a:avLst/>
                    </a:prstGeom>
                    <a:noFill/>
                  </pic:spPr>
                </pic:pic>
              </a:graphicData>
            </a:graphic>
          </wp:inline>
        </w:drawing>
      </w:r>
      <w:r w:rsidR="005267C5" w:rsidRPr="00E73B0F">
        <w:rPr>
          <w:rFonts w:cs="Times New Roman"/>
          <w:sz w:val="20"/>
          <w:szCs w:val="20"/>
        </w:rPr>
        <w:fldChar w:fldCharType="begin"/>
      </w:r>
      <w:r w:rsidR="005267C5" w:rsidRPr="00E73B0F">
        <w:rPr>
          <w:rFonts w:cs="Times New Roman"/>
          <w:sz w:val="20"/>
          <w:szCs w:val="20"/>
        </w:rPr>
        <w:instrText xml:space="preserve"> ADDIN </w:instrText>
      </w:r>
      <w:r w:rsidR="005267C5" w:rsidRPr="00E73B0F">
        <w:rPr>
          <w:rFonts w:cs="Times New Roman"/>
          <w:sz w:val="20"/>
          <w:szCs w:val="20"/>
        </w:rPr>
        <w:fldChar w:fldCharType="end"/>
      </w:r>
    </w:p>
    <w:p w:rsidR="008D7968" w:rsidRPr="00E73B0F" w:rsidRDefault="005267C5">
      <w:pPr>
        <w:spacing w:line="480" w:lineRule="auto"/>
        <w:ind w:leftChars="50" w:left="120" w:firstLine="0"/>
        <w:jc w:val="both"/>
        <w:rPr>
          <w:rFonts w:cs="Times New Roman"/>
          <w:sz w:val="20"/>
          <w:szCs w:val="20"/>
        </w:rPr>
      </w:pPr>
      <w:r w:rsidRPr="00E73B0F">
        <w:rPr>
          <w:rFonts w:cs="Times New Roman"/>
          <w:b/>
          <w:sz w:val="20"/>
          <w:szCs w:val="20"/>
        </w:rPr>
        <w:t xml:space="preserve">Supplementary Figure 6. </w:t>
      </w:r>
      <w:r w:rsidRPr="00E73B0F">
        <w:rPr>
          <w:rFonts w:cs="Times New Roman" w:hint="eastAsia"/>
          <w:b/>
          <w:sz w:val="20"/>
          <w:szCs w:val="20"/>
        </w:rPr>
        <w:t>Re</w:t>
      </w:r>
      <w:r w:rsidRPr="00E73B0F">
        <w:rPr>
          <w:rFonts w:cs="Times New Roman"/>
          <w:b/>
          <w:sz w:val="20"/>
          <w:szCs w:val="20"/>
        </w:rPr>
        <w:t>al-time PCR analysis of gene expression of CCL2 and CCL5 at acute phase after injury</w:t>
      </w:r>
      <w:r w:rsidRPr="00E73B0F">
        <w:rPr>
          <w:rFonts w:cs="Times New Roman"/>
          <w:sz w:val="20"/>
          <w:szCs w:val="20"/>
        </w:rPr>
        <w:t xml:space="preserve">. </w:t>
      </w:r>
    </w:p>
    <w:p w:rsidR="008D7968" w:rsidRPr="00E73B0F" w:rsidRDefault="005267C5">
      <w:pPr>
        <w:spacing w:line="480" w:lineRule="auto"/>
        <w:ind w:leftChars="50" w:left="120" w:firstLine="0"/>
        <w:jc w:val="both"/>
        <w:rPr>
          <w:rFonts w:cs="Times New Roman"/>
          <w:sz w:val="20"/>
          <w:szCs w:val="20"/>
        </w:rPr>
      </w:pPr>
      <w:r w:rsidRPr="00E73B0F">
        <w:rPr>
          <w:rFonts w:cs="Times New Roman"/>
          <w:sz w:val="20"/>
          <w:szCs w:val="20"/>
        </w:rPr>
        <w:t>The injured spinal cord was isolated 7 days post-injury, and expression levels of CCL2 (a) and CCL5 (b) were assessed using quantitative real-time RT-PCR. The data are expressed as fold increase above Sham control normalized to gapdh. Data are shown as mean ± SD for </w:t>
      </w:r>
      <w:r w:rsidRPr="00E73B0F">
        <w:rPr>
          <w:rFonts w:cs="Times New Roman"/>
          <w:iCs/>
          <w:sz w:val="20"/>
          <w:szCs w:val="20"/>
        </w:rPr>
        <w:t>n</w:t>
      </w:r>
      <w:r w:rsidRPr="00E73B0F">
        <w:rPr>
          <w:rFonts w:cs="Times New Roman"/>
          <w:sz w:val="20"/>
          <w:szCs w:val="20"/>
        </w:rPr>
        <w:t> = 3 animals per group. Statistical significance was analyzed by one-way ANOVA, followed by Tukey’s multiple comparisons</w:t>
      </w:r>
      <w:r w:rsidRPr="00E73B0F">
        <w:rPr>
          <w:rFonts w:cs="Times New Roman"/>
          <w:color w:val="4472C4"/>
          <w:sz w:val="20"/>
          <w:szCs w:val="20"/>
        </w:rPr>
        <w:t xml:space="preserve">. </w:t>
      </w:r>
      <w:r w:rsidRPr="00E73B0F">
        <w:rPr>
          <w:rFonts w:cs="Times New Roman"/>
          <w:sz w:val="20"/>
          <w:szCs w:val="20"/>
        </w:rPr>
        <w:t xml:space="preserve">Two-way ANOVA with Turkey's test for multiple comparisons was used for analyses. </w:t>
      </w:r>
      <w:r w:rsidRPr="00E73B0F">
        <w:rPr>
          <w:rFonts w:cs="Times New Roman"/>
          <w:i/>
          <w:sz w:val="20"/>
          <w:szCs w:val="20"/>
        </w:rPr>
        <w:t xml:space="preserve">*P </w:t>
      </w:r>
      <w:r w:rsidRPr="00E73B0F">
        <w:rPr>
          <w:rFonts w:cs="Times New Roman"/>
          <w:sz w:val="20"/>
          <w:szCs w:val="20"/>
        </w:rPr>
        <w:t>&lt; 0.05 and</w:t>
      </w:r>
      <w:r w:rsidRPr="00E73B0F">
        <w:rPr>
          <w:rFonts w:cs="Times New Roman"/>
          <w:i/>
          <w:sz w:val="20"/>
          <w:szCs w:val="20"/>
        </w:rPr>
        <w:t xml:space="preserve"> **P </w:t>
      </w:r>
      <w:r w:rsidRPr="00E73B0F">
        <w:rPr>
          <w:rFonts w:cs="Times New Roman"/>
          <w:sz w:val="20"/>
          <w:szCs w:val="20"/>
        </w:rPr>
        <w:t xml:space="preserve">&lt; 0.01 compared with the sham control, </w:t>
      </w:r>
      <w:r w:rsidRPr="00E73B0F">
        <w:rPr>
          <w:rFonts w:cs="Times New Roman"/>
          <w:i/>
          <w:sz w:val="20"/>
          <w:szCs w:val="20"/>
          <w:vertAlign w:val="superscript"/>
        </w:rPr>
        <w:t>#</w:t>
      </w:r>
      <w:r w:rsidRPr="00E73B0F">
        <w:rPr>
          <w:rFonts w:cs="Times New Roman"/>
          <w:i/>
          <w:sz w:val="20"/>
          <w:szCs w:val="20"/>
        </w:rPr>
        <w:t>P</w:t>
      </w:r>
      <w:r w:rsidRPr="00E73B0F">
        <w:rPr>
          <w:rFonts w:cs="Times New Roman"/>
          <w:sz w:val="20"/>
          <w:szCs w:val="20"/>
        </w:rPr>
        <w:t xml:space="preserve"> &lt; 0.05 and </w:t>
      </w:r>
      <w:r w:rsidRPr="00E73B0F">
        <w:rPr>
          <w:rFonts w:cs="Times New Roman"/>
          <w:i/>
          <w:sz w:val="20"/>
          <w:szCs w:val="20"/>
          <w:vertAlign w:val="superscript"/>
        </w:rPr>
        <w:t>##</w:t>
      </w:r>
      <w:r w:rsidRPr="00E73B0F">
        <w:rPr>
          <w:rFonts w:cs="Times New Roman"/>
          <w:i/>
          <w:sz w:val="20"/>
          <w:szCs w:val="20"/>
        </w:rPr>
        <w:t>P</w:t>
      </w:r>
      <w:r w:rsidRPr="00E73B0F">
        <w:rPr>
          <w:rFonts w:cs="Times New Roman"/>
          <w:sz w:val="20"/>
          <w:szCs w:val="20"/>
        </w:rPr>
        <w:t xml:space="preserve"> &lt; 0.01 compared with the SCIU5-treated group (n = 3/per group).</w:t>
      </w:r>
    </w:p>
    <w:p w:rsidR="008D7968" w:rsidRPr="00E73B0F" w:rsidRDefault="005267C5">
      <w:pPr>
        <w:ind w:firstLine="0"/>
        <w:rPr>
          <w:rFonts w:cs="Times New Roman"/>
          <w:sz w:val="20"/>
          <w:szCs w:val="20"/>
        </w:rPr>
      </w:pPr>
      <w:r w:rsidRPr="00E73B0F">
        <w:rPr>
          <w:rFonts w:cs="Times New Roman"/>
          <w:sz w:val="20"/>
          <w:szCs w:val="20"/>
        </w:rPr>
        <w:br w:type="page"/>
      </w:r>
    </w:p>
    <w:p w:rsidR="008D7968" w:rsidRPr="00E73B0F" w:rsidRDefault="005267C5">
      <w:pPr>
        <w:spacing w:line="480" w:lineRule="auto"/>
        <w:jc w:val="center"/>
        <w:rPr>
          <w:rFonts w:eastAsiaTheme="minorEastAsia" w:cs="Times New Roman"/>
          <w:sz w:val="20"/>
          <w:szCs w:val="20"/>
          <w:lang w:eastAsia="ko-KR"/>
        </w:rPr>
      </w:pPr>
      <w:r w:rsidRPr="00E73B0F">
        <w:rPr>
          <w:noProof/>
          <w:lang w:val="en-IN" w:eastAsia="en-IN"/>
        </w:rPr>
        <w:drawing>
          <wp:inline distT="0" distB="0" distL="0" distR="0">
            <wp:extent cx="3235325" cy="8053705"/>
            <wp:effectExtent l="0" t="0" r="0" b="0"/>
            <wp:docPr id="1031" name="shape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이미지"/>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a:xfrm>
                      <a:off x="0" y="0"/>
                      <a:ext cx="3235325" cy="8053705"/>
                    </a:xfrm>
                    <a:prstGeom prst="rect">
                      <a:avLst/>
                    </a:prstGeom>
                    <a:noFill/>
                    <a:ln>
                      <a:noFill/>
                    </a:ln>
                  </pic:spPr>
                </pic:pic>
              </a:graphicData>
            </a:graphic>
          </wp:inline>
        </w:drawing>
      </w:r>
    </w:p>
    <w:p w:rsidR="008D7968" w:rsidRPr="00E73B0F" w:rsidRDefault="005267C5">
      <w:pPr>
        <w:spacing w:line="480" w:lineRule="auto"/>
        <w:ind w:leftChars="50" w:left="120" w:firstLine="0"/>
        <w:jc w:val="both"/>
        <w:rPr>
          <w:rFonts w:cs="Times New Roman"/>
          <w:sz w:val="20"/>
          <w:szCs w:val="20"/>
        </w:rPr>
      </w:pPr>
      <w:r w:rsidRPr="00E73B0F">
        <w:rPr>
          <w:rFonts w:cs="Times New Roman"/>
          <w:b/>
          <w:sz w:val="20"/>
          <w:szCs w:val="20"/>
        </w:rPr>
        <w:t>Supplementary Figure 7. The fluorescence image of the SCI section and normal control stained with the secondary antibody.</w:t>
      </w:r>
      <w:r w:rsidRPr="00E73B0F">
        <w:rPr>
          <w:rFonts w:cs="Times New Roman" w:hint="eastAsia"/>
          <w:sz w:val="20"/>
          <w:szCs w:val="20"/>
        </w:rPr>
        <w:t xml:space="preserve"> </w:t>
      </w:r>
      <w:r w:rsidRPr="00E73B0F">
        <w:rPr>
          <w:rFonts w:cs="Times New Roman"/>
          <w:sz w:val="20"/>
          <w:szCs w:val="20"/>
        </w:rPr>
        <w:t>The spinal cord sections were labeled with Alexa 488 (green) and Alexa 688 (red) on day 7 after treating the rat models of SCI with US.</w:t>
      </w:r>
      <w:r w:rsidRPr="00E73B0F">
        <w:rPr>
          <w:rFonts w:cs="Times New Roman" w:hint="eastAsia"/>
          <w:sz w:val="20"/>
          <w:szCs w:val="20"/>
        </w:rPr>
        <w:t xml:space="preserve"> </w:t>
      </w:r>
      <w:r w:rsidRPr="00E73B0F">
        <w:rPr>
          <w:rFonts w:cs="Times New Roman"/>
          <w:sz w:val="20"/>
          <w:szCs w:val="20"/>
        </w:rPr>
        <w:t>Scale bar represents 500 μm.</w:t>
      </w:r>
      <w:r w:rsidRPr="00E73B0F">
        <w:rPr>
          <w:rFonts w:cs="Times New Roman"/>
          <w:sz w:val="20"/>
          <w:szCs w:val="20"/>
        </w:rPr>
        <w:br w:type="page"/>
      </w:r>
    </w:p>
    <w:p w:rsidR="008D7968" w:rsidRPr="00E73B0F" w:rsidRDefault="00F001F1">
      <w:pPr>
        <w:spacing w:line="480" w:lineRule="auto"/>
        <w:ind w:leftChars="50" w:left="120" w:firstLine="0"/>
        <w:jc w:val="center"/>
        <w:rPr>
          <w:rFonts w:cs="Times New Roman"/>
          <w:sz w:val="20"/>
          <w:szCs w:val="20"/>
        </w:rPr>
      </w:pPr>
      <w:r>
        <w:rPr>
          <w:rFonts w:cs="Times New Roman"/>
          <w:noProof/>
          <w:sz w:val="20"/>
          <w:szCs w:val="20"/>
          <w:lang w:val="en-IN" w:eastAsia="en-IN"/>
        </w:rPr>
        <w:drawing>
          <wp:inline distT="0" distB="0" distL="0" distR="0" wp14:anchorId="04742800">
            <wp:extent cx="3642360" cy="7872001"/>
            <wp:effectExtent l="0" t="0" r="0" b="0"/>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50296" cy="7889152"/>
                    </a:xfrm>
                    <a:prstGeom prst="rect">
                      <a:avLst/>
                    </a:prstGeom>
                    <a:noFill/>
                  </pic:spPr>
                </pic:pic>
              </a:graphicData>
            </a:graphic>
          </wp:inline>
        </w:drawing>
      </w:r>
    </w:p>
    <w:p w:rsidR="008D7968" w:rsidRDefault="005267C5">
      <w:pPr>
        <w:spacing w:line="480" w:lineRule="auto"/>
        <w:ind w:firstLine="0"/>
        <w:rPr>
          <w:rFonts w:cs="Times New Roman"/>
          <w:b/>
          <w:sz w:val="20"/>
          <w:szCs w:val="20"/>
        </w:rPr>
      </w:pPr>
      <w:r w:rsidRPr="00E73B0F">
        <w:rPr>
          <w:rFonts w:cs="Times New Roman"/>
          <w:b/>
          <w:sz w:val="20"/>
          <w:szCs w:val="20"/>
        </w:rPr>
        <w:t xml:space="preserve">Supplementary Figure 8. Full-length gel images of cropped gels. </w:t>
      </w:r>
      <w:r w:rsidRPr="00E73B0F">
        <w:rPr>
          <w:rFonts w:cs="Times New Roman"/>
          <w:iCs/>
          <w:sz w:val="20"/>
          <w:szCs w:val="20"/>
        </w:rPr>
        <w:t>Full-length gels for Figure 3</w:t>
      </w:r>
      <w:r w:rsidRPr="00E73B0F">
        <w:rPr>
          <w:rFonts w:cs="Times New Roman"/>
          <w:b/>
          <w:iCs/>
          <w:sz w:val="20"/>
          <w:szCs w:val="20"/>
        </w:rPr>
        <w:t>j</w:t>
      </w:r>
      <w:r w:rsidRPr="00E73B0F">
        <w:rPr>
          <w:rFonts w:cs="Times New Roman"/>
          <w:iCs/>
          <w:sz w:val="20"/>
          <w:szCs w:val="20"/>
        </w:rPr>
        <w:t xml:space="preserve">; </w:t>
      </w:r>
      <w:r w:rsidR="0031061F" w:rsidRPr="00E73B0F">
        <w:rPr>
          <w:rFonts w:cs="Times New Roman"/>
          <w:iCs/>
          <w:sz w:val="20"/>
          <w:szCs w:val="20"/>
        </w:rPr>
        <w:t>(</w:t>
      </w:r>
      <w:r w:rsidR="0031061F" w:rsidRPr="00E73B0F">
        <w:rPr>
          <w:rFonts w:ascii="BatangChe" w:eastAsia="BatangChe" w:hAnsi="BatangChe" w:cs="BatangChe" w:hint="eastAsia"/>
          <w:iCs/>
          <w:sz w:val="20"/>
          <w:szCs w:val="20"/>
          <w:lang w:eastAsia="ko-KR"/>
        </w:rPr>
        <w:t xml:space="preserve">a) </w:t>
      </w:r>
      <w:r w:rsidRPr="00E73B0F">
        <w:rPr>
          <w:rFonts w:cs="Times New Roman"/>
          <w:iCs/>
          <w:sz w:val="20"/>
          <w:szCs w:val="20"/>
        </w:rPr>
        <w:t xml:space="preserve">ED-1, </w:t>
      </w:r>
      <w:r w:rsidR="0031061F" w:rsidRPr="00E73B0F">
        <w:rPr>
          <w:rFonts w:cs="Times New Roman"/>
          <w:iCs/>
          <w:sz w:val="20"/>
          <w:szCs w:val="20"/>
        </w:rPr>
        <w:t xml:space="preserve">(b) </w:t>
      </w:r>
      <w:r w:rsidRPr="00E73B0F">
        <w:rPr>
          <w:rFonts w:cs="Times New Roman"/>
          <w:iCs/>
          <w:sz w:val="20"/>
          <w:szCs w:val="20"/>
        </w:rPr>
        <w:t xml:space="preserve">iNOS, </w:t>
      </w:r>
      <w:r w:rsidR="0031061F" w:rsidRPr="00E73B0F">
        <w:rPr>
          <w:rFonts w:cs="Times New Roman"/>
          <w:iCs/>
          <w:sz w:val="20"/>
          <w:szCs w:val="20"/>
        </w:rPr>
        <w:t xml:space="preserve">(c) </w:t>
      </w:r>
      <w:r w:rsidRPr="00E73B0F">
        <w:rPr>
          <w:rFonts w:cs="Times New Roman"/>
          <w:iCs/>
          <w:sz w:val="20"/>
          <w:szCs w:val="20"/>
        </w:rPr>
        <w:t xml:space="preserve">TNF-α and </w:t>
      </w:r>
      <w:r w:rsidR="0031061F" w:rsidRPr="00E73B0F">
        <w:rPr>
          <w:rFonts w:cs="Times New Roman"/>
          <w:iCs/>
          <w:sz w:val="20"/>
          <w:szCs w:val="20"/>
        </w:rPr>
        <w:t xml:space="preserve">(d) </w:t>
      </w:r>
      <w:r w:rsidRPr="00E73B0F">
        <w:rPr>
          <w:rFonts w:cs="Times New Roman"/>
          <w:iCs/>
          <w:sz w:val="20"/>
          <w:szCs w:val="20"/>
        </w:rPr>
        <w:t xml:space="preserve">GAPDH. </w:t>
      </w:r>
    </w:p>
    <w:bookmarkEnd w:id="0"/>
    <w:sectPr w:rsidR="008D7968" w:rsidSect="00977B7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486B" w:rsidRDefault="0049486B" w:rsidP="00675695">
      <w:r>
        <w:separator/>
      </w:r>
    </w:p>
  </w:endnote>
  <w:endnote w:type="continuationSeparator" w:id="0">
    <w:p w:rsidR="0049486B" w:rsidRDefault="0049486B" w:rsidP="006756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BatangChe">
    <w:altName w:val="Arial Unicode MS"/>
    <w:charset w:val="81"/>
    <w:family w:val="roman"/>
    <w:pitch w:val="fixed"/>
    <w:sig w:usb0="00000000"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486B" w:rsidRDefault="0049486B" w:rsidP="00675695">
      <w:r>
        <w:separator/>
      </w:r>
    </w:p>
  </w:footnote>
  <w:footnote w:type="continuationSeparator" w:id="0">
    <w:p w:rsidR="0049486B" w:rsidRDefault="0049486B" w:rsidP="006756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displayBackgroundShape/>
  <w:bordersDoNotSurroundHeader/>
  <w:bordersDoNotSurroundFooter/>
  <w:hideGrammaticalErrors/>
  <w:activeWritingStyle w:appName="MSWord" w:lang="en-US" w:vendorID="64" w:dllVersion="131078" w:nlCheck="1" w:checkStyle="0"/>
  <w:activeWritingStyle w:appName="MSWord" w:lang="ko-KR" w:vendorID="64" w:dllVersion="131077" w:nlCheck="1" w:checkStyle="1"/>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968"/>
    <w:rsid w:val="00007661"/>
    <w:rsid w:val="00041564"/>
    <w:rsid w:val="00183EC1"/>
    <w:rsid w:val="0031061F"/>
    <w:rsid w:val="0049486B"/>
    <w:rsid w:val="005267C5"/>
    <w:rsid w:val="00675695"/>
    <w:rsid w:val="00725DB6"/>
    <w:rsid w:val="007C7F68"/>
    <w:rsid w:val="008D7968"/>
    <w:rsid w:val="00977B78"/>
    <w:rsid w:val="00A5344C"/>
    <w:rsid w:val="00B34F36"/>
    <w:rsid w:val="00C807C0"/>
    <w:rsid w:val="00D72BA8"/>
    <w:rsid w:val="00E02A76"/>
    <w:rsid w:val="00E73B0F"/>
    <w:rsid w:val="00F001F1"/>
    <w:rsid w:val="00FC5DDE"/>
  </w:rsids>
  <m:mathPr>
    <m:mathFont m:val="Cambria Math"/>
    <m:brkBin m:val="before"/>
    <m:brkBinSub m:val="--"/>
    <m:smallFrac m:val="0"/>
    <m:dispDef/>
    <m:lMargin m:val="0"/>
    <m:rMargin m:val="0"/>
    <m:defJc m:val="centerGroup"/>
    <m:wrapIndent m:val="0"/>
    <m:intLim m:val="subSup"/>
    <m:naryLim m:val="undOvr"/>
  </m:mathPr>
  <w:themeFontLang w:val="en-GB"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57" w:unhideWhenUsed="1"/>
    <w:lsdException w:name="toc 2" w:semiHidden="1" w:uiPriority="57" w:unhideWhenUsed="1"/>
    <w:lsdException w:name="toc 3" w:semiHidden="1" w:uiPriority="57" w:unhideWhenUsed="1"/>
    <w:lsdException w:name="toc 4" w:semiHidden="1" w:uiPriority="57" w:unhideWhenUsed="1"/>
    <w:lsdException w:name="toc 5" w:semiHidden="1" w:uiPriority="57" w:unhideWhenUsed="1"/>
    <w:lsdException w:name="toc 6" w:semiHidden="1" w:uiPriority="57" w:unhideWhenUsed="1"/>
    <w:lsdException w:name="toc 7" w:semiHidden="1" w:uiPriority="57" w:unhideWhenUsed="1"/>
    <w:lsdException w:name="toc 8" w:semiHidden="1" w:uiPriority="57" w:unhideWhenUsed="1"/>
    <w:lsdException w:name="toc 9" w:semiHidden="1" w:uiPriority="57"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5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7"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4" w:qFormat="1"/>
    <w:lsdException w:name="Emphasis" w:uiPriority="3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7"/>
    <w:lsdException w:name="Table Theme" w:semiHidden="1" w:unhideWhenUsed="1"/>
    <w:lsdException w:name="Placeholder Text" w:semiHidden="1"/>
    <w:lsdException w:name="No Spacing" w:uiPriority="1" w:qFormat="1"/>
    <w:lsdException w:name="Light Shading" w:uiPriority="96"/>
    <w:lsdException w:name="Light List" w:uiPriority="97"/>
    <w:lsdException w:name="Light Grid" w:uiPriority="98"/>
    <w:lsdException w:name="Medium Shading 1"/>
    <w:lsdException w:name="Medium Shading 2" w:uiPriority="0"/>
    <w:lsdException w:name="Medium List 1" w:uiPriority="0"/>
    <w:lsdException w:name="Medium List 2" w:uiPriority="0"/>
    <w:lsdException w:name="Medium Grid 1" w:uiPriority="0"/>
    <w:lsdException w:name="Medium Grid 2" w:uiPriority="0"/>
    <w:lsdException w:name="Medium Grid 3" w:uiPriority="0"/>
    <w:lsdException w:name="Dark List" w:uiPriority="0"/>
    <w:lsdException w:name="Colorful Shading" w:uiPriority="0"/>
    <w:lsdException w:name="Colorful List" w:uiPriority="0"/>
    <w:lsdException w:name="Colorful Grid" w:uiPriority="0"/>
    <w:lsdException w:name="Light Shading Accent 1" w:uiPriority="96"/>
    <w:lsdException w:name="Light List Accent 1" w:uiPriority="97"/>
    <w:lsdException w:name="Light Grid Accent 1" w:uiPriority="98"/>
    <w:lsdException w:name="Medium Shading 1 Accent 1"/>
    <w:lsdException w:name="Medium Shading 2 Accent 1" w:uiPriority="0"/>
    <w:lsdException w:name="Medium List 1 Accent 1" w:uiPriority="0"/>
    <w:lsdException w:name="Revision" w:semiHidden="1"/>
    <w:lsdException w:name="List Paragraph" w:uiPriority="52" w:qFormat="1"/>
    <w:lsdException w:name="Quote" w:uiPriority="41" w:qFormat="1"/>
    <w:lsdException w:name="Intense Quote" w:uiPriority="48" w:qFormat="1"/>
    <w:lsdException w:name="Medium List 2 Accent 1" w:uiPriority="0"/>
    <w:lsdException w:name="Medium Grid 1 Accent 1" w:uiPriority="0"/>
    <w:lsdException w:name="Medium Grid 2 Accent 1" w:uiPriority="0"/>
    <w:lsdException w:name="Medium Grid 3 Accent 1" w:uiPriority="0"/>
    <w:lsdException w:name="Dark List Accent 1" w:uiPriority="0"/>
    <w:lsdException w:name="Colorful Shading Accent 1" w:uiPriority="0"/>
    <w:lsdException w:name="Colorful List Accent 1" w:uiPriority="0"/>
    <w:lsdException w:name="Colorful Grid Accent 1" w:uiPriority="0"/>
    <w:lsdException w:name="Light Shading Accent 2" w:uiPriority="96"/>
    <w:lsdException w:name="Light List Accent 2" w:uiPriority="97"/>
    <w:lsdException w:name="Light Grid Accent 2" w:uiPriority="98"/>
    <w:lsdException w:name="Medium Shading 1 Accent 2"/>
    <w:lsdException w:name="Medium Shading 2 Accent 2" w:uiPriority="0"/>
    <w:lsdException w:name="Medium List 1 Accent 2" w:uiPriority="0"/>
    <w:lsdException w:name="Medium List 2 Accent 2" w:uiPriority="0"/>
    <w:lsdException w:name="Medium Grid 1 Accent 2" w:uiPriority="0"/>
    <w:lsdException w:name="Medium Grid 2 Accent 2" w:uiPriority="0"/>
    <w:lsdException w:name="Medium Grid 3 Accent 2" w:uiPriority="0"/>
    <w:lsdException w:name="Dark List Accent 2" w:uiPriority="0"/>
    <w:lsdException w:name="Colorful Shading Accent 2" w:uiPriority="0"/>
    <w:lsdException w:name="Colorful List Accent 2" w:uiPriority="0"/>
    <w:lsdException w:name="Colorful Grid Accent 2" w:uiPriority="0"/>
    <w:lsdException w:name="Light Shading Accent 3" w:uiPriority="96"/>
    <w:lsdException w:name="Light List Accent 3" w:uiPriority="97"/>
    <w:lsdException w:name="Light Grid Accent 3" w:uiPriority="98"/>
    <w:lsdException w:name="Medium Shading 1 Accent 3"/>
    <w:lsdException w:name="Medium Shading 2 Accent 3" w:uiPriority="0"/>
    <w:lsdException w:name="Medium List 1 Accent 3" w:uiPriority="0"/>
    <w:lsdException w:name="Medium List 2 Accent 3" w:uiPriority="0"/>
    <w:lsdException w:name="Medium Grid 1 Accent 3" w:uiPriority="0"/>
    <w:lsdException w:name="Medium Grid 2 Accent 3" w:uiPriority="0"/>
    <w:lsdException w:name="Medium Grid 3 Accent 3" w:uiPriority="0"/>
    <w:lsdException w:name="Dark List Accent 3" w:uiPriority="0"/>
    <w:lsdException w:name="Colorful Shading Accent 3" w:uiPriority="0"/>
    <w:lsdException w:name="Colorful List Accent 3" w:uiPriority="0"/>
    <w:lsdException w:name="Colorful Grid Accent 3" w:uiPriority="0"/>
    <w:lsdException w:name="Light Shading Accent 4" w:uiPriority="96"/>
    <w:lsdException w:name="Light List Accent 4" w:uiPriority="97"/>
    <w:lsdException w:name="Light Grid Accent 4" w:uiPriority="98"/>
    <w:lsdException w:name="Medium Shading 1 Accent 4"/>
    <w:lsdException w:name="Medium Shading 2 Accent 4" w:uiPriority="0"/>
    <w:lsdException w:name="Medium List 1 Accent 4" w:uiPriority="0"/>
    <w:lsdException w:name="Medium List 2 Accent 4" w:uiPriority="0"/>
    <w:lsdException w:name="Medium Grid 1 Accent 4" w:uiPriority="0"/>
    <w:lsdException w:name="Medium Grid 2 Accent 4" w:uiPriority="0"/>
    <w:lsdException w:name="Medium Grid 3 Accent 4" w:uiPriority="0"/>
    <w:lsdException w:name="Dark List Accent 4" w:uiPriority="0"/>
    <w:lsdException w:name="Colorful Shading Accent 4" w:uiPriority="0"/>
    <w:lsdException w:name="Colorful List Accent 4" w:uiPriority="0"/>
    <w:lsdException w:name="Colorful Grid Accent 4" w:uiPriority="0"/>
    <w:lsdException w:name="Light Shading Accent 5" w:uiPriority="96"/>
    <w:lsdException w:name="Light List Accent 5" w:uiPriority="97"/>
    <w:lsdException w:name="Light Grid Accent 5" w:uiPriority="98"/>
    <w:lsdException w:name="Medium Shading 1 Accent 5"/>
    <w:lsdException w:name="Medium Shading 2 Accent 5" w:uiPriority="0"/>
    <w:lsdException w:name="Medium List 1 Accent 5" w:uiPriority="0"/>
    <w:lsdException w:name="Medium List 2 Accent 5" w:uiPriority="0"/>
    <w:lsdException w:name="Medium Grid 1 Accent 5" w:uiPriority="0"/>
    <w:lsdException w:name="Medium Grid 2 Accent 5" w:uiPriority="0"/>
    <w:lsdException w:name="Medium Grid 3 Accent 5" w:uiPriority="0"/>
    <w:lsdException w:name="Dark List Accent 5" w:uiPriority="0"/>
    <w:lsdException w:name="Colorful Shading Accent 5" w:uiPriority="0"/>
    <w:lsdException w:name="Colorful List Accent 5" w:uiPriority="0"/>
    <w:lsdException w:name="Colorful Grid Accent 5" w:uiPriority="0"/>
    <w:lsdException w:name="Light Shading Accent 6" w:uiPriority="96"/>
    <w:lsdException w:name="Light List Accent 6" w:uiPriority="97"/>
    <w:lsdException w:name="Light Grid Accent 6" w:uiPriority="98"/>
    <w:lsdException w:name="Medium Shading 1 Accent 6"/>
    <w:lsdException w:name="Medium Shading 2 Accent 6" w:uiPriority="0"/>
    <w:lsdException w:name="Medium List 1 Accent 6" w:uiPriority="0"/>
    <w:lsdException w:name="Medium List 2 Accent 6" w:uiPriority="0"/>
    <w:lsdException w:name="Medium Grid 1 Accent 6" w:uiPriority="0"/>
    <w:lsdException w:name="Medium Grid 2 Accent 6" w:uiPriority="0"/>
    <w:lsdException w:name="Medium Grid 3 Accent 6" w:uiPriority="0"/>
    <w:lsdException w:name="Dark List Accent 6" w:uiPriority="0"/>
    <w:lsdException w:name="Colorful Shading Accent 6" w:uiPriority="0"/>
    <w:lsdException w:name="Colorful List Accent 6" w:uiPriority="0"/>
    <w:lsdException w:name="Colorful Grid Accent 6" w:uiPriority="0"/>
    <w:lsdException w:name="Subtle Emphasis" w:uiPriority="25" w:qFormat="1"/>
    <w:lsdException w:name="Intense Emphasis" w:uiPriority="33" w:qFormat="1"/>
    <w:lsdException w:name="Subtle Reference" w:uiPriority="49" w:qFormat="1"/>
    <w:lsdException w:name="Intense Reference" w:uiPriority="50" w:qFormat="1"/>
    <w:lsdException w:name="Book Title" w:uiPriority="51" w:qFormat="1"/>
    <w:lsdException w:name="Bibliography" w:semiHidden="1" w:uiPriority="55" w:unhideWhenUsed="1"/>
    <w:lsdException w:name="TOC Heading" w:semiHidden="1" w:uiPriority="57" w:unhideWhenUsed="1" w:qFormat="1"/>
    <w:lsdException w:name="Plain Table 1" w:uiPriority="65"/>
    <w:lsdException w:name="Plain Table 2" w:uiPriority="66"/>
    <w:lsdException w:name="Plain Table 3" w:uiPriority="67"/>
    <w:lsdException w:name="Plain Table 4" w:uiPriority="68"/>
    <w:lsdException w:name="Plain Table 5" w:uiPriority="69"/>
    <w:lsdException w:name="Grid Table Light" w:uiPriority="64"/>
    <w:lsdException w:name="Grid Table 1 Light" w:uiPriority="70"/>
    <w:lsdException w:name="Grid Table 2" w:uiPriority="71"/>
    <w:lsdException w:name="Grid Table 3" w:uiPriority="72"/>
    <w:lsdException w:name="Grid Table 4" w:uiPriority="73"/>
    <w:lsdException w:name="Grid Table 5 Dark" w:uiPriority="80"/>
    <w:lsdException w:name="Grid Table 6 Colorful" w:uiPriority="81"/>
    <w:lsdException w:name="Grid Table 7 Colorful" w:uiPriority="82"/>
    <w:lsdException w:name="Grid Table 1 Light Accent 1" w:uiPriority="70"/>
    <w:lsdException w:name="Grid Table 2 Accent 1" w:uiPriority="71"/>
    <w:lsdException w:name="Grid Table 3 Accent 1" w:uiPriority="72"/>
    <w:lsdException w:name="Grid Table 4 Accent 1" w:uiPriority="73"/>
    <w:lsdException w:name="Grid Table 5 Dark Accent 1" w:uiPriority="80"/>
    <w:lsdException w:name="Grid Table 6 Colorful Accent 1" w:uiPriority="81"/>
    <w:lsdException w:name="Grid Table 7 Colorful Accent 1" w:uiPriority="82"/>
    <w:lsdException w:name="Grid Table 1 Light Accent 2" w:uiPriority="70"/>
    <w:lsdException w:name="Grid Table 2 Accent 2" w:uiPriority="71"/>
    <w:lsdException w:name="Grid Table 3 Accent 2" w:uiPriority="72"/>
    <w:lsdException w:name="Grid Table 4 Accent 2" w:uiPriority="73"/>
    <w:lsdException w:name="Grid Table 5 Dark Accent 2" w:uiPriority="80"/>
    <w:lsdException w:name="Grid Table 6 Colorful Accent 2" w:uiPriority="81"/>
    <w:lsdException w:name="Grid Table 7 Colorful Accent 2" w:uiPriority="82"/>
    <w:lsdException w:name="Grid Table 1 Light Accent 3" w:uiPriority="70"/>
    <w:lsdException w:name="Grid Table 2 Accent 3" w:uiPriority="71"/>
    <w:lsdException w:name="Grid Table 3 Accent 3" w:uiPriority="72"/>
    <w:lsdException w:name="Grid Table 4 Accent 3" w:uiPriority="73"/>
    <w:lsdException w:name="Grid Table 5 Dark Accent 3" w:uiPriority="80"/>
    <w:lsdException w:name="Grid Table 6 Colorful Accent 3" w:uiPriority="81"/>
    <w:lsdException w:name="Grid Table 7 Colorful Accent 3" w:uiPriority="82"/>
    <w:lsdException w:name="Grid Table 1 Light Accent 4" w:uiPriority="70"/>
    <w:lsdException w:name="Grid Table 2 Accent 4" w:uiPriority="71"/>
    <w:lsdException w:name="Grid Table 3 Accent 4" w:uiPriority="72"/>
    <w:lsdException w:name="Grid Table 4 Accent 4" w:uiPriority="73"/>
    <w:lsdException w:name="Grid Table 5 Dark Accent 4" w:uiPriority="80"/>
    <w:lsdException w:name="Grid Table 6 Colorful Accent 4" w:uiPriority="81"/>
    <w:lsdException w:name="Grid Table 7 Colorful Accent 4" w:uiPriority="82"/>
    <w:lsdException w:name="Grid Table 1 Light Accent 5" w:uiPriority="70"/>
    <w:lsdException w:name="Grid Table 2 Accent 5" w:uiPriority="71"/>
    <w:lsdException w:name="Grid Table 3 Accent 5" w:uiPriority="72"/>
    <w:lsdException w:name="Grid Table 4 Accent 5" w:uiPriority="73"/>
    <w:lsdException w:name="Grid Table 5 Dark Accent 5" w:uiPriority="80"/>
    <w:lsdException w:name="Grid Table 6 Colorful Accent 5" w:uiPriority="81"/>
    <w:lsdException w:name="Grid Table 7 Colorful Accent 5" w:uiPriority="82"/>
    <w:lsdException w:name="Grid Table 1 Light Accent 6" w:uiPriority="70"/>
    <w:lsdException w:name="Grid Table 2 Accent 6" w:uiPriority="71"/>
    <w:lsdException w:name="Grid Table 3 Accent 6" w:uiPriority="72"/>
    <w:lsdException w:name="Grid Table 4 Accent 6" w:uiPriority="73"/>
    <w:lsdException w:name="Grid Table 5 Dark Accent 6" w:uiPriority="80"/>
    <w:lsdException w:name="Grid Table 6 Colorful Accent 6" w:uiPriority="81"/>
    <w:lsdException w:name="Grid Table 7 Colorful Accent 6" w:uiPriority="82"/>
    <w:lsdException w:name="List Table 1 Light" w:uiPriority="70"/>
    <w:lsdException w:name="List Table 2" w:uiPriority="71"/>
    <w:lsdException w:name="List Table 3" w:uiPriority="72"/>
    <w:lsdException w:name="List Table 4" w:uiPriority="73"/>
    <w:lsdException w:name="List Table 5 Dark" w:uiPriority="80"/>
    <w:lsdException w:name="List Table 6 Colorful" w:uiPriority="81"/>
    <w:lsdException w:name="List Table 7 Colorful" w:uiPriority="82"/>
    <w:lsdException w:name="List Table 1 Light Accent 1" w:uiPriority="70"/>
    <w:lsdException w:name="List Table 2 Accent 1" w:uiPriority="71"/>
    <w:lsdException w:name="List Table 3 Accent 1" w:uiPriority="72"/>
    <w:lsdException w:name="List Table 4 Accent 1" w:uiPriority="73"/>
    <w:lsdException w:name="List Table 5 Dark Accent 1" w:uiPriority="80"/>
    <w:lsdException w:name="List Table 6 Colorful Accent 1" w:uiPriority="81"/>
    <w:lsdException w:name="List Table 7 Colorful Accent 1" w:uiPriority="82"/>
    <w:lsdException w:name="List Table 1 Light Accent 2" w:uiPriority="70"/>
    <w:lsdException w:name="List Table 2 Accent 2" w:uiPriority="71"/>
    <w:lsdException w:name="List Table 3 Accent 2" w:uiPriority="72"/>
    <w:lsdException w:name="List Table 4 Accent 2" w:uiPriority="73"/>
    <w:lsdException w:name="List Table 5 Dark Accent 2" w:uiPriority="80"/>
    <w:lsdException w:name="List Table 6 Colorful Accent 2" w:uiPriority="81"/>
    <w:lsdException w:name="List Table 7 Colorful Accent 2" w:uiPriority="82"/>
    <w:lsdException w:name="List Table 1 Light Accent 3" w:uiPriority="70"/>
    <w:lsdException w:name="List Table 2 Accent 3" w:uiPriority="71"/>
    <w:lsdException w:name="List Table 3 Accent 3" w:uiPriority="72"/>
    <w:lsdException w:name="List Table 4 Accent 3" w:uiPriority="73"/>
    <w:lsdException w:name="List Table 5 Dark Accent 3" w:uiPriority="80"/>
    <w:lsdException w:name="List Table 6 Colorful Accent 3" w:uiPriority="81"/>
    <w:lsdException w:name="List Table 7 Colorful Accent 3" w:uiPriority="82"/>
    <w:lsdException w:name="List Table 1 Light Accent 4" w:uiPriority="70"/>
    <w:lsdException w:name="List Table 2 Accent 4" w:uiPriority="71"/>
    <w:lsdException w:name="List Table 3 Accent 4" w:uiPriority="72"/>
    <w:lsdException w:name="List Table 4 Accent 4" w:uiPriority="73"/>
    <w:lsdException w:name="List Table 5 Dark Accent 4" w:uiPriority="80"/>
    <w:lsdException w:name="List Table 6 Colorful Accent 4" w:uiPriority="81"/>
    <w:lsdException w:name="List Table 7 Colorful Accent 4" w:uiPriority="82"/>
    <w:lsdException w:name="List Table 1 Light Accent 5" w:uiPriority="70"/>
    <w:lsdException w:name="List Table 2 Accent 5" w:uiPriority="71"/>
    <w:lsdException w:name="List Table 3 Accent 5" w:uiPriority="72"/>
    <w:lsdException w:name="List Table 4 Accent 5" w:uiPriority="73"/>
    <w:lsdException w:name="List Table 5 Dark Accent 5" w:uiPriority="80"/>
    <w:lsdException w:name="List Table 6 Colorful Accent 5" w:uiPriority="81"/>
    <w:lsdException w:name="List Table 7 Colorful Accent 5" w:uiPriority="82"/>
    <w:lsdException w:name="List Table 1 Light Accent 6" w:uiPriority="70"/>
    <w:lsdException w:name="List Table 2 Accent 6" w:uiPriority="71"/>
    <w:lsdException w:name="List Table 3 Accent 6" w:uiPriority="72"/>
    <w:lsdException w:name="List Table 4 Accent 6" w:uiPriority="73"/>
    <w:lsdException w:name="List Table 5 Dark Accent 6" w:uiPriority="80"/>
    <w:lsdException w:name="List Table 6 Colorful Accent 6" w:uiPriority="81"/>
    <w:lsdException w:name="List Table 7 Colorful Accent 6" w:uiPriority="82"/>
  </w:latentStyles>
  <w:style w:type="paragraph" w:default="1" w:styleId="Normal">
    <w:name w:val="Normal"/>
    <w:qFormat/>
    <w:pPr>
      <w:ind w:firstLine="454"/>
    </w:pPr>
    <w:rPr>
      <w:rFonts w:ascii="Times New Roman" w:eastAsia="MS PGothic" w:hAnsi="Times New Roman" w:cs="MS PGothic"/>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cs="Times New Roman"/>
      <w:sz w:val="18"/>
      <w:szCs w:val="18"/>
    </w:rPr>
  </w:style>
  <w:style w:type="character" w:customStyle="1" w:styleId="BalloonTextChar">
    <w:name w:val="Balloon Text Char"/>
    <w:basedOn w:val="DefaultParagraphFont"/>
    <w:link w:val="BalloonText"/>
    <w:uiPriority w:val="99"/>
    <w:semiHidden/>
    <w:rPr>
      <w:rFonts w:ascii="Times New Roman" w:hAnsi="Times New Roman" w:cs="Times New Roman"/>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MS PGothic" w:hAnsi="Times New Roman" w:cs="MS PGothic"/>
      <w:sz w:val="20"/>
      <w:szCs w:val="20"/>
      <w:lang w:val="en-US" w:eastAsia="ja-JP"/>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MS PGothic" w:hAnsi="Times New Roman" w:cs="MS PGothic"/>
      <w:b/>
      <w:bCs/>
      <w:sz w:val="20"/>
      <w:szCs w:val="20"/>
      <w:lang w:val="en-US" w:eastAsia="ja-JP"/>
    </w:rPr>
  </w:style>
  <w:style w:type="paragraph" w:styleId="Header">
    <w:name w:val="header"/>
    <w:basedOn w:val="Normal"/>
    <w:link w:val="HeaderChar"/>
    <w:uiPriority w:val="99"/>
    <w:unhideWhenUsed/>
    <w:pPr>
      <w:tabs>
        <w:tab w:val="center" w:pos="4513"/>
        <w:tab w:val="right" w:pos="9026"/>
      </w:tabs>
      <w:snapToGrid w:val="0"/>
    </w:pPr>
  </w:style>
  <w:style w:type="character" w:customStyle="1" w:styleId="HeaderChar">
    <w:name w:val="Header Char"/>
    <w:basedOn w:val="DefaultParagraphFont"/>
    <w:link w:val="Header"/>
    <w:uiPriority w:val="99"/>
    <w:rPr>
      <w:rFonts w:ascii="Times New Roman" w:eastAsia="MS PGothic" w:hAnsi="Times New Roman" w:cs="MS PGothic"/>
      <w:lang w:val="en-US" w:eastAsia="ja-JP"/>
    </w:rPr>
  </w:style>
  <w:style w:type="paragraph" w:styleId="Footer">
    <w:name w:val="footer"/>
    <w:basedOn w:val="Normal"/>
    <w:link w:val="FooterChar"/>
    <w:uiPriority w:val="99"/>
    <w:unhideWhenUsed/>
    <w:pPr>
      <w:tabs>
        <w:tab w:val="center" w:pos="4513"/>
        <w:tab w:val="right" w:pos="9026"/>
      </w:tabs>
      <w:snapToGrid w:val="0"/>
    </w:pPr>
  </w:style>
  <w:style w:type="character" w:customStyle="1" w:styleId="FooterChar">
    <w:name w:val="Footer Char"/>
    <w:basedOn w:val="DefaultParagraphFont"/>
    <w:link w:val="Footer"/>
    <w:uiPriority w:val="99"/>
    <w:rPr>
      <w:rFonts w:ascii="Times New Roman" w:eastAsia="MS PGothic" w:hAnsi="Times New Roman" w:cs="MS PGothic"/>
      <w:lang w:val="en-US" w:eastAsia="ja-JP"/>
    </w:rPr>
  </w:style>
  <w:style w:type="character" w:styleId="Hyperlink">
    <w:name w:val="Hyperlink"/>
    <w:basedOn w:val="DefaultParagraphFont"/>
    <w:uiPriority w:val="99"/>
    <w:unhideWhenUsed/>
    <w:rPr>
      <w:color w:val="0000FF"/>
      <w:u w:val="single"/>
    </w:rPr>
  </w:style>
  <w:style w:type="character" w:styleId="LineNumber">
    <w:name w:val="line number"/>
    <w:basedOn w:val="DefaultParagraphFon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webSettings" Target="webSettings.xml"/><Relationship Id="rId7" Type="http://schemas.openxmlformats.org/officeDocument/2006/relationships/hyperlink" Target="mailto:opedoors@gmail.com" TargetMode="Externa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nskimkt7@gmail.com" TargetMode="External"/><Relationship Id="rId11" Type="http://schemas.openxmlformats.org/officeDocument/2006/relationships/image" Target="media/image4.png"/><Relationship Id="rId5" Type="http://schemas.openxmlformats.org/officeDocument/2006/relationships/endnotes" Target="endnot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footnotes" Target="footnote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1144</Words>
  <Characters>6523</Characters>
  <Application>Microsoft Office Word</Application>
  <DocSecurity>0</DocSecurity>
  <Lines>54</Lines>
  <Paragraphs>15</Paragraphs>
  <ScaleCrop>false</ScaleCrop>
  <HeadingPairs>
    <vt:vector size="2" baseType="variant">
      <vt:variant>
        <vt:lpstr>제목</vt:lpstr>
      </vt:variant>
      <vt:variant>
        <vt:i4>1</vt:i4>
      </vt:variant>
    </vt:vector>
  </HeadingPairs>
  <TitlesOfParts>
    <vt:vector size="1" baseType="lpstr">
      <vt:lpstr/>
    </vt:vector>
  </TitlesOfParts>
  <LinksUpToDate>false</LinksUpToDate>
  <CharactersWithSpaces>7652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2022-01-25T08:47:00Z</dcterms:created>
  <dcterms:modified xsi:type="dcterms:W3CDTF">2022-02-15T01:51:00Z</dcterms:modified>
  <cp:version>1100.0100.01</cp:version>
</cp:coreProperties>
</file>