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2E8" w:rsidRPr="001E1EED" w:rsidRDefault="001E1EED">
      <w:pPr>
        <w:rPr>
          <w:rFonts w:ascii="Times New Roman" w:hAnsi="Times New Roman" w:cs="Times New Roman"/>
          <w:b/>
          <w:sz w:val="28"/>
          <w:szCs w:val="28"/>
        </w:rPr>
      </w:pPr>
      <w:r w:rsidRPr="001E1EED">
        <w:rPr>
          <w:rFonts w:ascii="Times New Roman" w:hAnsi="Times New Roman" w:cs="Times New Roman"/>
          <w:b/>
          <w:sz w:val="28"/>
          <w:szCs w:val="28"/>
        </w:rPr>
        <w:t>Supplementary Information</w:t>
      </w:r>
    </w:p>
    <w:p w:rsidR="001E1EED" w:rsidRPr="001E1EED" w:rsidRDefault="001E1EED">
      <w:pPr>
        <w:rPr>
          <w:rFonts w:ascii="Times New Roman" w:hAnsi="Times New Roman" w:cs="Times New Roman"/>
        </w:rPr>
      </w:pPr>
    </w:p>
    <w:p w:rsidR="001E1EED" w:rsidRPr="001E1EED" w:rsidRDefault="001E1EED" w:rsidP="001E1EED">
      <w:r w:rsidRPr="001E1EED">
        <w:rPr>
          <w:rFonts w:ascii="Times New Roman" w:hAnsi="Times New Roman" w:cs="Times New Roman"/>
        </w:rPr>
        <w:t>Supplementary Table S1. S</w:t>
      </w:r>
      <w:r w:rsidRPr="001E1EED">
        <w:rPr>
          <w:rFonts w:ascii="Times New Roman" w:hAnsi="Times New Roman" w:cs="Times New Roman"/>
          <w:bCs/>
        </w:rPr>
        <w:t>econdary diagnoses at the time of readmission linked to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  <w:bCs/>
        </w:rPr>
        <w:t>otentially preventable readmission (PPR)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84"/>
        <w:gridCol w:w="5352"/>
      </w:tblGrid>
      <w:tr w:rsidR="001E1EED" w:rsidTr="001E1EED">
        <w:trPr>
          <w:trHeight w:val="557"/>
        </w:trPr>
        <w:tc>
          <w:tcPr>
            <w:tcW w:w="30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1EED" w:rsidRDefault="001E1EED" w:rsidP="001E1EED">
            <w:pPr>
              <w:spacing w:line="2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Diagnosis</w:t>
            </w:r>
          </w:p>
        </w:tc>
        <w:tc>
          <w:tcPr>
            <w:tcW w:w="535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1EED" w:rsidRDefault="001E1EED" w:rsidP="001E1EED">
            <w:pPr>
              <w:spacing w:line="200" w:lineRule="atLeast"/>
            </w:pPr>
            <w:r>
              <w:rPr>
                <w:rFonts w:ascii="Times New Roman" w:hAnsi="Times New Roman" w:cs="Times New Roman"/>
              </w:rPr>
              <w:t>ICD-9</w:t>
            </w:r>
          </w:p>
        </w:tc>
      </w:tr>
      <w:tr w:rsidR="001E1EED" w:rsidTr="001E1EED">
        <w:tc>
          <w:tcPr>
            <w:tcW w:w="3084" w:type="dxa"/>
            <w:tcBorders>
              <w:top w:val="single" w:sz="4" w:space="0" w:color="000000"/>
            </w:tcBorders>
            <w:shd w:val="clear" w:color="auto" w:fill="auto"/>
          </w:tcPr>
          <w:p w:rsidR="001E1EED" w:rsidRDefault="001E1EED" w:rsidP="001E1EED">
            <w:pPr>
              <w:spacing w:line="200" w:lineRule="atLeast"/>
              <w:rPr>
                <w:rFonts w:ascii="Times New Roman" w:eastAsia="DFKai-SB" w:hAnsi="Times New Roman" w:cs="Times New Roman"/>
              </w:rPr>
            </w:pPr>
            <w:r>
              <w:rPr>
                <w:rFonts w:ascii="Times New Roman" w:eastAsia="DFKai-SB" w:hAnsi="Times New Roman" w:cs="Times New Roman"/>
              </w:rPr>
              <w:t>COPD</w:t>
            </w:r>
          </w:p>
        </w:tc>
        <w:tc>
          <w:tcPr>
            <w:tcW w:w="5352" w:type="dxa"/>
            <w:tcBorders>
              <w:top w:val="single" w:sz="4" w:space="0" w:color="000000"/>
            </w:tcBorders>
            <w:shd w:val="clear" w:color="auto" w:fill="auto"/>
          </w:tcPr>
          <w:p w:rsidR="001E1EED" w:rsidRDefault="001E1EED" w:rsidP="001E1EED">
            <w:pPr>
              <w:spacing w:line="200" w:lineRule="atLeast"/>
              <w:rPr>
                <w:rFonts w:ascii="Times New Roman" w:eastAsia="DFKai-SB" w:hAnsi="Times New Roman" w:cs="Times New Roman"/>
              </w:rPr>
            </w:pPr>
            <w:r>
              <w:rPr>
                <w:rFonts w:ascii="Times New Roman" w:eastAsia="DFKai-SB" w:hAnsi="Times New Roman" w:cs="Times New Roman"/>
              </w:rPr>
              <w:t>490, 466.0, 491.0, 491.1, 491.20, 491.21, 491.8, 491.9, 492.0, 492.8, 494, 494.0, 494.1, 496</w:t>
            </w:r>
          </w:p>
          <w:p w:rsidR="001E1EED" w:rsidRDefault="001E1EED" w:rsidP="001E1EED">
            <w:pPr>
              <w:spacing w:line="200" w:lineRule="atLeast"/>
              <w:rPr>
                <w:rFonts w:ascii="Times New Roman" w:eastAsia="DFKai-SB" w:hAnsi="Times New Roman" w:cs="Times New Roman"/>
              </w:rPr>
            </w:pPr>
          </w:p>
        </w:tc>
      </w:tr>
      <w:tr w:rsidR="001E1EED" w:rsidTr="001E1EED">
        <w:tc>
          <w:tcPr>
            <w:tcW w:w="3084" w:type="dxa"/>
            <w:shd w:val="clear" w:color="auto" w:fill="auto"/>
          </w:tcPr>
          <w:p w:rsidR="001E1EED" w:rsidRDefault="001E1EED" w:rsidP="001E1EED">
            <w:pPr>
              <w:spacing w:line="200" w:lineRule="atLeast"/>
              <w:rPr>
                <w:rFonts w:ascii="Times New Roman" w:eastAsia="DFKai-SB" w:hAnsi="Times New Roman" w:cs="Times New Roman"/>
              </w:rPr>
            </w:pPr>
            <w:r>
              <w:rPr>
                <w:rFonts w:ascii="Times New Roman" w:eastAsia="DFKai-SB" w:hAnsi="Times New Roman" w:cs="Times New Roman"/>
              </w:rPr>
              <w:t>Asthma</w:t>
            </w:r>
          </w:p>
        </w:tc>
        <w:tc>
          <w:tcPr>
            <w:tcW w:w="5352" w:type="dxa"/>
            <w:shd w:val="clear" w:color="auto" w:fill="auto"/>
          </w:tcPr>
          <w:p w:rsidR="001E1EED" w:rsidRDefault="001E1EED" w:rsidP="001E1EED">
            <w:pPr>
              <w:spacing w:line="200" w:lineRule="atLeast"/>
              <w:rPr>
                <w:rFonts w:ascii="Times New Roman" w:eastAsia="DFKai-SB" w:hAnsi="Times New Roman" w:cs="Times New Roman"/>
              </w:rPr>
            </w:pPr>
            <w:r>
              <w:rPr>
                <w:rFonts w:ascii="Times New Roman" w:eastAsia="DFKai-SB" w:hAnsi="Times New Roman" w:cs="Times New Roman"/>
              </w:rPr>
              <w:t>493.0, 493.1, 493.2, 493.8, 493.9</w:t>
            </w:r>
          </w:p>
          <w:p w:rsidR="001E1EED" w:rsidRDefault="001E1EED" w:rsidP="001E1EED">
            <w:pPr>
              <w:spacing w:line="200" w:lineRule="atLeast"/>
              <w:rPr>
                <w:rFonts w:ascii="Times New Roman" w:eastAsia="DFKai-SB" w:hAnsi="Times New Roman" w:cs="Times New Roman"/>
              </w:rPr>
            </w:pPr>
          </w:p>
        </w:tc>
      </w:tr>
      <w:tr w:rsidR="001E1EED" w:rsidTr="001E1EED">
        <w:tc>
          <w:tcPr>
            <w:tcW w:w="3084" w:type="dxa"/>
            <w:shd w:val="clear" w:color="auto" w:fill="auto"/>
          </w:tcPr>
          <w:p w:rsidR="001E1EED" w:rsidRDefault="001E1EED" w:rsidP="001E1EED">
            <w:pPr>
              <w:spacing w:line="200" w:lineRule="atLeast"/>
              <w:rPr>
                <w:rFonts w:ascii="Times New Roman" w:eastAsia="DFKai-SB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Diabetes</w:t>
            </w:r>
          </w:p>
        </w:tc>
        <w:tc>
          <w:tcPr>
            <w:tcW w:w="5352" w:type="dxa"/>
            <w:shd w:val="clear" w:color="auto" w:fill="auto"/>
          </w:tcPr>
          <w:p w:rsidR="001E1EED" w:rsidRDefault="001E1EED" w:rsidP="001E1EED">
            <w:pPr>
              <w:spacing w:line="200" w:lineRule="atLeast"/>
              <w:rPr>
                <w:rFonts w:ascii="Times New Roman" w:eastAsia="DFKai-SB" w:hAnsi="Times New Roman" w:cs="Times New Roman"/>
              </w:rPr>
            </w:pPr>
            <w:r>
              <w:rPr>
                <w:rFonts w:ascii="Times New Roman" w:eastAsia="DFKai-SB" w:hAnsi="Times New Roman" w:cs="Times New Roman"/>
              </w:rPr>
              <w:t>250.1, 250.2, 250.3, 250.4, 250.5, 250.6, 250.7, 250.8, 250.9, 250.02, 250.03</w:t>
            </w:r>
          </w:p>
          <w:p w:rsidR="001E1EED" w:rsidRDefault="001E1EED" w:rsidP="001E1EED">
            <w:pPr>
              <w:spacing w:line="200" w:lineRule="atLeast"/>
              <w:rPr>
                <w:rFonts w:ascii="Times New Roman" w:eastAsia="DFKai-SB" w:hAnsi="Times New Roman" w:cs="Times New Roman"/>
              </w:rPr>
            </w:pPr>
          </w:p>
        </w:tc>
      </w:tr>
      <w:tr w:rsidR="001E1EED" w:rsidTr="001E1EED">
        <w:tc>
          <w:tcPr>
            <w:tcW w:w="3084" w:type="dxa"/>
            <w:shd w:val="clear" w:color="auto" w:fill="auto"/>
          </w:tcPr>
          <w:p w:rsidR="001E1EED" w:rsidRDefault="001E1EED" w:rsidP="001E1EED">
            <w:pPr>
              <w:spacing w:line="200" w:lineRule="atLeast"/>
              <w:rPr>
                <w:rFonts w:ascii="Times New Roman" w:eastAsia="DFKai-SB" w:hAnsi="Times New Roman" w:cs="Times New Roman"/>
              </w:rPr>
            </w:pPr>
            <w:r>
              <w:rPr>
                <w:rFonts w:ascii="Times New Roman" w:eastAsia="DFKai-SB" w:hAnsi="Times New Roman" w:cs="Times New Roman"/>
              </w:rPr>
              <w:t>Primary hypertension</w:t>
            </w:r>
          </w:p>
        </w:tc>
        <w:tc>
          <w:tcPr>
            <w:tcW w:w="5352" w:type="dxa"/>
            <w:shd w:val="clear" w:color="auto" w:fill="auto"/>
          </w:tcPr>
          <w:p w:rsidR="001E1EED" w:rsidRDefault="001E1EED" w:rsidP="001E1EED">
            <w:pPr>
              <w:spacing w:line="200" w:lineRule="atLeast"/>
              <w:rPr>
                <w:rFonts w:ascii="Times New Roman" w:eastAsia="DFKai-SB" w:hAnsi="Times New Roman" w:cs="Times New Roman"/>
              </w:rPr>
            </w:pPr>
            <w:r>
              <w:rPr>
                <w:rFonts w:ascii="Times New Roman" w:eastAsia="DFKai-SB" w:hAnsi="Times New Roman" w:cs="Times New Roman"/>
              </w:rPr>
              <w:t>401.0, 401.9, 402.00, 402.10, 402.90, 403.00, 403.10, 403.90, 404.00, 404.10, 404.90</w:t>
            </w:r>
          </w:p>
          <w:p w:rsidR="001E1EED" w:rsidRDefault="001E1EED" w:rsidP="001E1EED">
            <w:pPr>
              <w:spacing w:line="200" w:lineRule="atLeast"/>
              <w:rPr>
                <w:rFonts w:ascii="Times New Roman" w:eastAsia="DFKai-SB" w:hAnsi="Times New Roman" w:cs="Times New Roman"/>
              </w:rPr>
            </w:pPr>
          </w:p>
        </w:tc>
      </w:tr>
      <w:tr w:rsidR="001E1EED" w:rsidTr="001E1EED">
        <w:tc>
          <w:tcPr>
            <w:tcW w:w="3084" w:type="dxa"/>
            <w:shd w:val="clear" w:color="auto" w:fill="auto"/>
          </w:tcPr>
          <w:p w:rsidR="001E1EED" w:rsidRDefault="001E1EED" w:rsidP="001E1EED">
            <w:pPr>
              <w:spacing w:line="200" w:lineRule="atLeast"/>
              <w:rPr>
                <w:rFonts w:ascii="Times New Roman" w:eastAsia="DFKai-SB" w:hAnsi="Times New Roman" w:cs="Times New Roman"/>
              </w:rPr>
            </w:pPr>
            <w:r>
              <w:rPr>
                <w:rFonts w:ascii="Times New Roman" w:eastAsia="DFKai-SB" w:hAnsi="Times New Roman" w:cs="Times New Roman"/>
              </w:rPr>
              <w:t>Heart failure</w:t>
            </w:r>
          </w:p>
        </w:tc>
        <w:tc>
          <w:tcPr>
            <w:tcW w:w="5352" w:type="dxa"/>
            <w:shd w:val="clear" w:color="auto" w:fill="auto"/>
          </w:tcPr>
          <w:p w:rsidR="001E1EED" w:rsidRDefault="001E1EED" w:rsidP="001E1EED">
            <w:pPr>
              <w:spacing w:line="200" w:lineRule="atLeast"/>
              <w:rPr>
                <w:rFonts w:ascii="Times New Roman" w:eastAsia="DFKai-SB" w:hAnsi="Times New Roman" w:cs="Times New Roman"/>
              </w:rPr>
            </w:pPr>
            <w:r>
              <w:rPr>
                <w:rFonts w:ascii="Times New Roman" w:eastAsia="DFKai-SB" w:hAnsi="Times New Roman" w:cs="Times New Roman"/>
              </w:rPr>
              <w:t>398.91, 402.01, 402.11, 402.91, 404.01, 404.03, 404.11, 404.13, 404.91, 404.93, 428.0, 428.1, 428.2, 428.3, 428.4, 428.9</w:t>
            </w:r>
          </w:p>
          <w:p w:rsidR="001E1EED" w:rsidRDefault="001E1EED" w:rsidP="001E1EED">
            <w:pPr>
              <w:spacing w:line="200" w:lineRule="atLeast"/>
              <w:rPr>
                <w:rFonts w:ascii="Times New Roman" w:eastAsia="DFKai-SB" w:hAnsi="Times New Roman" w:cs="Times New Roman"/>
              </w:rPr>
            </w:pPr>
          </w:p>
        </w:tc>
      </w:tr>
      <w:tr w:rsidR="001E1EED" w:rsidTr="001E1EED">
        <w:tc>
          <w:tcPr>
            <w:tcW w:w="3084" w:type="dxa"/>
            <w:shd w:val="clear" w:color="auto" w:fill="auto"/>
          </w:tcPr>
          <w:p w:rsidR="001E1EED" w:rsidRDefault="001E1EED" w:rsidP="001E1EED">
            <w:pPr>
              <w:spacing w:line="200" w:lineRule="atLeast"/>
              <w:rPr>
                <w:rFonts w:ascii="Times New Roman" w:eastAsia="DFKai-SB" w:hAnsi="Times New Roman" w:cs="Times New Roman"/>
              </w:rPr>
            </w:pPr>
            <w:r>
              <w:rPr>
                <w:rFonts w:ascii="Times New Roman" w:eastAsia="DFKai-SB" w:hAnsi="Times New Roman" w:cs="Times New Roman"/>
              </w:rPr>
              <w:t>Angina</w:t>
            </w:r>
          </w:p>
        </w:tc>
        <w:tc>
          <w:tcPr>
            <w:tcW w:w="5352" w:type="dxa"/>
            <w:shd w:val="clear" w:color="auto" w:fill="auto"/>
          </w:tcPr>
          <w:p w:rsidR="001E1EED" w:rsidRDefault="001E1EED" w:rsidP="001E1EED">
            <w:pPr>
              <w:spacing w:line="200" w:lineRule="atLeast"/>
              <w:rPr>
                <w:rFonts w:ascii="Times New Roman" w:eastAsia="DFKai-SB" w:hAnsi="Times New Roman" w:cs="Times New Roman"/>
              </w:rPr>
            </w:pPr>
            <w:r>
              <w:rPr>
                <w:rFonts w:ascii="Times New Roman" w:eastAsia="DFKai-SB" w:hAnsi="Times New Roman" w:cs="Times New Roman"/>
              </w:rPr>
              <w:t>411.1, 411.81, 411.89, 413.0, 413.1, 413.9</w:t>
            </w:r>
          </w:p>
          <w:p w:rsidR="001E1EED" w:rsidRDefault="001E1EED" w:rsidP="001E1EED">
            <w:pPr>
              <w:spacing w:line="200" w:lineRule="atLeast"/>
              <w:rPr>
                <w:rFonts w:ascii="Times New Roman" w:eastAsia="DFKai-SB" w:hAnsi="Times New Roman" w:cs="Times New Roman"/>
              </w:rPr>
            </w:pPr>
          </w:p>
        </w:tc>
      </w:tr>
      <w:tr w:rsidR="001E1EED" w:rsidTr="001E1EED">
        <w:tc>
          <w:tcPr>
            <w:tcW w:w="3084" w:type="dxa"/>
            <w:shd w:val="clear" w:color="auto" w:fill="auto"/>
          </w:tcPr>
          <w:p w:rsidR="001E1EED" w:rsidRDefault="001E1EED" w:rsidP="001E1EED">
            <w:pPr>
              <w:spacing w:line="200" w:lineRule="atLeast"/>
              <w:rPr>
                <w:rFonts w:ascii="Times New Roman" w:eastAsia="DFKai-SB" w:hAnsi="Times New Roman" w:cs="Times New Roman"/>
              </w:rPr>
            </w:pPr>
            <w:r>
              <w:rPr>
                <w:rFonts w:ascii="Times New Roman" w:eastAsia="DFKai-SB" w:hAnsi="Times New Roman" w:cs="Times New Roman"/>
              </w:rPr>
              <w:t>Volume depletion disorder</w:t>
            </w:r>
          </w:p>
        </w:tc>
        <w:tc>
          <w:tcPr>
            <w:tcW w:w="5352" w:type="dxa"/>
            <w:shd w:val="clear" w:color="auto" w:fill="auto"/>
          </w:tcPr>
          <w:p w:rsidR="001E1EED" w:rsidRDefault="001E1EED" w:rsidP="001E1EED">
            <w:pPr>
              <w:spacing w:line="200" w:lineRule="atLeast"/>
              <w:rPr>
                <w:rFonts w:ascii="Times New Roman" w:eastAsia="DFKai-SB" w:hAnsi="Times New Roman" w:cs="Times New Roman"/>
              </w:rPr>
            </w:pPr>
            <w:r>
              <w:rPr>
                <w:rFonts w:ascii="Times New Roman" w:eastAsia="DFKai-SB" w:hAnsi="Times New Roman" w:cs="Times New Roman"/>
              </w:rPr>
              <w:t>481, 482.2, 482.30, 482.31, 482.32, 482.39, 482.41, 482.42, 483.0, 483.1, 483.8, 485, 486</w:t>
            </w:r>
          </w:p>
          <w:p w:rsidR="001E1EED" w:rsidRDefault="001E1EED" w:rsidP="001E1EED">
            <w:pPr>
              <w:spacing w:line="200" w:lineRule="atLeast"/>
              <w:rPr>
                <w:rFonts w:ascii="Times New Roman" w:eastAsia="DFKai-SB" w:hAnsi="Times New Roman" w:cs="Times New Roman"/>
              </w:rPr>
            </w:pPr>
          </w:p>
        </w:tc>
      </w:tr>
      <w:tr w:rsidR="001E1EED" w:rsidTr="001E1EED">
        <w:tc>
          <w:tcPr>
            <w:tcW w:w="3084" w:type="dxa"/>
            <w:shd w:val="clear" w:color="auto" w:fill="auto"/>
          </w:tcPr>
          <w:p w:rsidR="001E1EED" w:rsidRDefault="001E1EED" w:rsidP="001E1EED">
            <w:pPr>
              <w:spacing w:line="200" w:lineRule="atLeast"/>
              <w:rPr>
                <w:rFonts w:ascii="Times New Roman" w:eastAsia="DFKai-SB" w:hAnsi="Times New Roman" w:cs="Times New Roman"/>
              </w:rPr>
            </w:pPr>
            <w:r>
              <w:rPr>
                <w:rFonts w:ascii="Times New Roman" w:eastAsia="DFKai-SB" w:hAnsi="Times New Roman" w:cs="Times New Roman"/>
              </w:rPr>
              <w:t>Pneumococcal pneumonia</w:t>
            </w:r>
          </w:p>
        </w:tc>
        <w:tc>
          <w:tcPr>
            <w:tcW w:w="5352" w:type="dxa"/>
            <w:shd w:val="clear" w:color="auto" w:fill="auto"/>
          </w:tcPr>
          <w:p w:rsidR="001E1EED" w:rsidRDefault="001E1EED" w:rsidP="001E1EED">
            <w:pPr>
              <w:spacing w:line="200" w:lineRule="atLeast"/>
              <w:rPr>
                <w:rFonts w:ascii="Times New Roman" w:eastAsia="DFKai-SB" w:hAnsi="Times New Roman" w:cs="Times New Roman"/>
              </w:rPr>
            </w:pPr>
            <w:r>
              <w:rPr>
                <w:rFonts w:ascii="Times New Roman" w:eastAsia="DFKai-SB" w:hAnsi="Times New Roman" w:cs="Times New Roman"/>
              </w:rPr>
              <w:t>276.5</w:t>
            </w:r>
          </w:p>
          <w:p w:rsidR="001E1EED" w:rsidRDefault="001E1EED" w:rsidP="001E1EED">
            <w:pPr>
              <w:spacing w:line="200" w:lineRule="atLeast"/>
              <w:rPr>
                <w:rFonts w:ascii="Times New Roman" w:eastAsia="DFKai-SB" w:hAnsi="Times New Roman" w:cs="Times New Roman"/>
              </w:rPr>
            </w:pPr>
          </w:p>
        </w:tc>
      </w:tr>
      <w:tr w:rsidR="001E1EED" w:rsidTr="001E1EED">
        <w:tc>
          <w:tcPr>
            <w:tcW w:w="3084" w:type="dxa"/>
            <w:tcBorders>
              <w:bottom w:val="single" w:sz="4" w:space="0" w:color="000000"/>
            </w:tcBorders>
            <w:shd w:val="clear" w:color="auto" w:fill="auto"/>
          </w:tcPr>
          <w:p w:rsidR="001E1EED" w:rsidRDefault="001E1EED" w:rsidP="001E1EED">
            <w:pPr>
              <w:spacing w:line="200" w:lineRule="atLeast"/>
              <w:rPr>
                <w:rFonts w:ascii="Times New Roman" w:eastAsia="DFKai-SB" w:hAnsi="Times New Roman" w:cs="Times New Roman"/>
              </w:rPr>
            </w:pPr>
            <w:r>
              <w:rPr>
                <w:rFonts w:ascii="Times New Roman" w:eastAsia="DFKai-SB" w:hAnsi="Times New Roman" w:cs="Times New Roman"/>
              </w:rPr>
              <w:t>Urinary tract infection</w:t>
            </w:r>
          </w:p>
        </w:tc>
        <w:tc>
          <w:tcPr>
            <w:tcW w:w="5352" w:type="dxa"/>
            <w:tcBorders>
              <w:bottom w:val="single" w:sz="4" w:space="0" w:color="000000"/>
            </w:tcBorders>
            <w:shd w:val="clear" w:color="auto" w:fill="auto"/>
          </w:tcPr>
          <w:p w:rsidR="001E1EED" w:rsidRDefault="001E1EED" w:rsidP="001E1EED">
            <w:pPr>
              <w:spacing w:line="200" w:lineRule="atLeast"/>
            </w:pPr>
            <w:r>
              <w:rPr>
                <w:rFonts w:ascii="Times New Roman" w:eastAsia="DFKai-SB" w:hAnsi="Times New Roman" w:cs="Times New Roman"/>
              </w:rPr>
              <w:t>590.0, 590.1, 590.2, 590.3, 590.8, 590.9, 595.0, 595.9, 599.0</w:t>
            </w:r>
          </w:p>
        </w:tc>
      </w:tr>
    </w:tbl>
    <w:p w:rsidR="001E1EED" w:rsidRDefault="001E1EED" w:rsidP="001E1EED">
      <w:pPr>
        <w:spacing w:line="480" w:lineRule="auto"/>
        <w:jc w:val="both"/>
        <w:rPr>
          <w:rFonts w:ascii="Times New Roman" w:hAnsi="Times New Roman" w:cs="Times New Roman"/>
        </w:rPr>
        <w:sectPr w:rsidR="001E1EED" w:rsidSect="001E1EED">
          <w:footerReference w:type="default" r:id="rId6"/>
          <w:pgSz w:w="11906" w:h="16838"/>
          <w:pgMar w:top="1440" w:right="1800" w:bottom="1440" w:left="1800" w:header="720" w:footer="720" w:gutter="0"/>
          <w:cols w:space="720"/>
          <w:docGrid w:linePitch="600" w:charSpace="32768"/>
        </w:sectPr>
      </w:pPr>
    </w:p>
    <w:p w:rsidR="001E1EED" w:rsidRPr="00E77982" w:rsidRDefault="001E1EED" w:rsidP="001E1EE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Supplementary Table S</w:t>
      </w:r>
      <w:r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/>
        </w:rPr>
        <w:t>.</w:t>
      </w:r>
      <w:r w:rsidRPr="00E77982">
        <w:rPr>
          <w:rFonts w:ascii="Times New Roman" w:hAnsi="Times New Roman" w:cs="Times New Roman"/>
        </w:rPr>
        <w:t xml:space="preserve"> Comorbidities associated with PPR, non-PPR, and non-readmission</w:t>
      </w:r>
    </w:p>
    <w:tbl>
      <w:tblPr>
        <w:tblpPr w:leftFromText="180" w:rightFromText="180" w:vertAnchor="text" w:horzAnchor="margin" w:tblpY="125"/>
        <w:tblOverlap w:val="never"/>
        <w:tblW w:w="5027" w:type="pct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3"/>
        <w:gridCol w:w="337"/>
        <w:gridCol w:w="423"/>
        <w:gridCol w:w="337"/>
        <w:gridCol w:w="421"/>
        <w:gridCol w:w="591"/>
        <w:gridCol w:w="423"/>
        <w:gridCol w:w="506"/>
        <w:gridCol w:w="508"/>
        <w:gridCol w:w="421"/>
        <w:gridCol w:w="423"/>
        <w:gridCol w:w="421"/>
        <w:gridCol w:w="591"/>
        <w:gridCol w:w="423"/>
        <w:gridCol w:w="503"/>
      </w:tblGrid>
      <w:tr w:rsidR="001E1EED" w:rsidRPr="00F50A73" w:rsidTr="001E1EED">
        <w:trPr>
          <w:trHeight w:hRule="exact" w:val="283"/>
        </w:trPr>
        <w:tc>
          <w:tcPr>
            <w:tcW w:w="1212" w:type="pct"/>
            <w:vMerge w:val="restar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snapToGrid w:val="0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  <w:tc>
          <w:tcPr>
            <w:tcW w:w="1819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center"/>
              <w:rPr>
                <w:sz w:val="20"/>
                <w:szCs w:val="20"/>
              </w:rPr>
            </w:pPr>
            <w:r w:rsidRPr="00F50A73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30</w:t>
            </w:r>
            <w:r w:rsidRPr="00F50A73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days</w:t>
            </w:r>
          </w:p>
        </w:tc>
        <w:tc>
          <w:tcPr>
            <w:tcW w:w="1969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snapToGrid w:val="0"/>
              <w:jc w:val="center"/>
              <w:rPr>
                <w:sz w:val="20"/>
                <w:szCs w:val="20"/>
              </w:rPr>
            </w:pPr>
            <w:r w:rsidRPr="00F50A73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 year</w:t>
            </w:r>
          </w:p>
        </w:tc>
      </w:tr>
      <w:tr w:rsidR="001E1EED" w:rsidRPr="00F50A73" w:rsidTr="001E1EED">
        <w:trPr>
          <w:trHeight w:hRule="exact" w:val="227"/>
        </w:trPr>
        <w:tc>
          <w:tcPr>
            <w:tcW w:w="1212" w:type="pct"/>
            <w:vMerge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snapToGrid w:val="0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gridSpan w:val="2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eastAsia="DFKai-SB" w:hAnsi="Times New Roman" w:cs="Times New Roman"/>
                <w:sz w:val="20"/>
                <w:szCs w:val="20"/>
              </w:rPr>
              <w:t>PPR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non-PPR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adjustRightInd w:val="0"/>
              <w:jc w:val="center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Without readmission</w:t>
            </w:r>
          </w:p>
        </w:tc>
        <w:tc>
          <w:tcPr>
            <w:tcW w:w="303" w:type="pct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adjustRightInd w:val="0"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eastAsia="DFKai-SB" w:hAnsi="Times New Roman" w:cs="Times New Roman"/>
                <w:sz w:val="20"/>
                <w:szCs w:val="20"/>
              </w:rPr>
              <w:t>PPR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non-PPR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adjustRightInd w:val="0"/>
              <w:jc w:val="center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Without readmission</w:t>
            </w:r>
          </w:p>
        </w:tc>
        <w:tc>
          <w:tcPr>
            <w:tcW w:w="301" w:type="pct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snapToGrid w:val="0"/>
              <w:rPr>
                <w:sz w:val="20"/>
                <w:szCs w:val="20"/>
              </w:rPr>
            </w:pP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snapToGrid w:val="0"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eastAsia="PMingLiU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53" w:type="pct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eastAsia="PMingLiU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02" w:type="pct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eastAsia="PMingLiU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52" w:type="pct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eastAsia="PMingLiU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354" w:type="pct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eastAsia="PMingLiU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53" w:type="pct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i/>
                <w:iCs/>
                <w:sz w:val="20"/>
                <w:szCs w:val="20"/>
              </w:rPr>
            </w:pPr>
            <w:r w:rsidRPr="00F50A73">
              <w:rPr>
                <w:rFonts w:ascii="Times New Roman" w:eastAsia="PMingLiU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303" w:type="pct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eastAsia="PMingLiU" w:hAnsi="Times New Roman" w:cs="Times New Roman"/>
                <w:i/>
                <w:iCs/>
                <w:sz w:val="20"/>
                <w:szCs w:val="20"/>
              </w:rPr>
              <w:t>p</w:t>
            </w:r>
            <w:r w:rsidRPr="00F50A73">
              <w:rPr>
                <w:rFonts w:ascii="Times New Roman" w:eastAsia="PMingLiU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304" w:type="pct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eastAsia="PMingLiU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52" w:type="pct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eastAsia="PMingLiU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53" w:type="pct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eastAsia="PMingLiU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52" w:type="pct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eastAsia="PMingLiU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354" w:type="pct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eastAsia="PMingLiU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53" w:type="pct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i/>
                <w:iCs/>
                <w:sz w:val="20"/>
                <w:szCs w:val="20"/>
              </w:rPr>
            </w:pPr>
            <w:r w:rsidRPr="00F50A73">
              <w:rPr>
                <w:rFonts w:ascii="Times New Roman" w:eastAsia="PMingLiU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301" w:type="pct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sz w:val="20"/>
                <w:szCs w:val="20"/>
              </w:rPr>
            </w:pPr>
            <w:r w:rsidRPr="00F50A73">
              <w:rPr>
                <w:rFonts w:ascii="Times New Roman" w:eastAsia="PMingLiU" w:hAnsi="Times New Roman" w:cs="Times New Roman"/>
                <w:i/>
                <w:iCs/>
                <w:sz w:val="20"/>
                <w:szCs w:val="20"/>
              </w:rPr>
              <w:t>p</w:t>
            </w:r>
            <w:r w:rsidRPr="00F50A73">
              <w:rPr>
                <w:rFonts w:ascii="Times New Roman" w:eastAsia="PMingLiU" w:hAnsi="Times New Roman" w:cs="Times New Roman"/>
                <w:sz w:val="20"/>
                <w:szCs w:val="20"/>
              </w:rPr>
              <w:t>-value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02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4123</w:t>
            </w:r>
          </w:p>
        </w:tc>
        <w:tc>
          <w:tcPr>
            <w:tcW w:w="25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snapToGrid w:val="0"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2367</w:t>
            </w:r>
          </w:p>
        </w:tc>
        <w:tc>
          <w:tcPr>
            <w:tcW w:w="252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snapToGrid w:val="0"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35431</w:t>
            </w:r>
          </w:p>
        </w:tc>
        <w:tc>
          <w:tcPr>
            <w:tcW w:w="25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snapToGrid w:val="0"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12849</w:t>
            </w:r>
          </w:p>
        </w:tc>
        <w:tc>
          <w:tcPr>
            <w:tcW w:w="252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snapToGrid w:val="0"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  <w:tc>
          <w:tcPr>
            <w:tcW w:w="25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6959</w:t>
            </w:r>
          </w:p>
        </w:tc>
        <w:tc>
          <w:tcPr>
            <w:tcW w:w="252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snapToGrid w:val="0"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22113</w:t>
            </w:r>
          </w:p>
        </w:tc>
        <w:tc>
          <w:tcPr>
            <w:tcW w:w="25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snapToGrid w:val="0"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sz w:val="20"/>
                <w:szCs w:val="20"/>
              </w:rPr>
            </w:pP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Hypertension Uncomplicated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2340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56.75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956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40.39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18162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51.26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7577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58.97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2999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43.10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10882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49.21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Diabetes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1459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35.39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612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25.86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10836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30.58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4775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37.16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1933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27.78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6199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28.03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Congestive Heart Failure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1116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27.07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440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18.59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7865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22.20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3702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28.81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1415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20.33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4304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19.46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Hypertension Complicated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950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23.04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419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17.70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7093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20.02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3189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24.82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1311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18.84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3962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17.92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Rheumatoid Arthritis/Collagen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19.40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463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19.56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6713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18.95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0.617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2542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19.78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1443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20.74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3991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18.05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304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adjustRightInd w:val="0"/>
              <w:snapToGrid w:val="0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Peptic Ulcer Disease excluding bleeding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663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16.08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17.03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5167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14.58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2175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16.93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1231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17.69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2829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12.79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Chronic Pulmonary Disease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706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17.12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347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14.66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5076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14.33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2467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19.20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1061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15.25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2601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11.76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Depression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469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11.38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296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12.51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4275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12.07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0.330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1582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12.31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963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13.84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2495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11.28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Cardiac Arrhythmia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511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12.39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10.14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3612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10.19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1648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12.83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764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10.98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1951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8.82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Liver Disease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8.49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12.17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3245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9.16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1215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9.46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12.82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1776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8.03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Fluid and Electrolyte Disorders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319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7.74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6.25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1813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5.12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1011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7.87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479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6.88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790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3.57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Renal Failure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460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11.16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12.29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3356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9.47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1564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12.17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990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14.23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1553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7.02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Other Neurological Disorders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8.90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9.93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2883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8.14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1262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9.82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11.64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1413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6.39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proofErr w:type="spellStart"/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Valvular</w:t>
            </w:r>
            <w:proofErr w:type="spellEnd"/>
            <w:r w:rsidRPr="00F50A73">
              <w:rPr>
                <w:rFonts w:ascii="Times New Roman" w:hAnsi="Times New Roman" w:cs="Times New Roman"/>
                <w:sz w:val="20"/>
                <w:szCs w:val="20"/>
              </w:rPr>
              <w:t xml:space="preserve"> Disease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236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5.72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4.31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1601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4.52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721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5.61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5.30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849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3.84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Solid Tumor without Metastasis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6.40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282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11.91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2314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6.53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923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7.18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12.07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1097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4.96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Peripheral Vascular Disorders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4.34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4.86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1419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4.00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0.087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585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4.55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326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4.68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3.63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Hypothyroidism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1.75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2.03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590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1.67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0.401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239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1.86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1.95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335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1.51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0.010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Deficiency Anemia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2.33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2.92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723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2.04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352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2.74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3.18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1.42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Paralysis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1.61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329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1.52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Coagulopathy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1.61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Psychoses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2.72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3.00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637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1.80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314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2.44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2.80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Metastatic Cancer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3.89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342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3.22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Drug Abuse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1.90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446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1.84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Pulmonary Circulation Disorders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0.094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Obesity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0.586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0.242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Alcohol Abuse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0.071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Lymphoma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Weight Loss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0.300</w:t>
            </w: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1E1EED" w:rsidRPr="00F50A73" w:rsidTr="001E1EED">
        <w:tblPrEx>
          <w:tblCellMar>
            <w:left w:w="28" w:type="dxa"/>
            <w:right w:w="28" w:type="dxa"/>
          </w:tblCellMar>
        </w:tblPrEx>
        <w:trPr>
          <w:trHeight w:hRule="exact" w:val="227"/>
        </w:trPr>
        <w:tc>
          <w:tcPr>
            <w:tcW w:w="121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AIDS/HIV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 xml:space="preserve">　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 xml:space="preserve">　</w:t>
            </w:r>
          </w:p>
        </w:tc>
        <w:tc>
          <w:tcPr>
            <w:tcW w:w="20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 xml:space="preserve">　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 xml:space="preserve">　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 xml:space="preserve">　</w:t>
            </w:r>
          </w:p>
        </w:tc>
        <w:tc>
          <w:tcPr>
            <w:tcW w:w="30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354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301" w:type="pct"/>
            <w:shd w:val="clear" w:color="auto" w:fill="FFFFFF"/>
            <w:vAlign w:val="center"/>
          </w:tcPr>
          <w:p w:rsidR="001E1EED" w:rsidRPr="00F50A73" w:rsidRDefault="001E1EED" w:rsidP="001E1EED">
            <w:pPr>
              <w:widowControl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50A73">
              <w:rPr>
                <w:rFonts w:ascii="Times New Roman" w:hAnsi="Times New Roman" w:cs="Times New Roman"/>
                <w:sz w:val="20"/>
                <w:szCs w:val="20"/>
              </w:rPr>
              <w:t>0.117</w:t>
            </w:r>
          </w:p>
        </w:tc>
      </w:tr>
    </w:tbl>
    <w:p w:rsidR="001E1EED" w:rsidRDefault="001E1EED">
      <w:bookmarkStart w:id="0" w:name="_GoBack"/>
      <w:bookmarkEnd w:id="0"/>
    </w:p>
    <w:sectPr w:rsidR="001E1EE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6569D">
      <w:r>
        <w:separator/>
      </w:r>
    </w:p>
  </w:endnote>
  <w:endnote w:type="continuationSeparator" w:id="0">
    <w:p w:rsidR="00000000" w:rsidRDefault="00B65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FKai-SB">
    <w:altName w:val="Microsoft JhengHei Light"/>
    <w:charset w:val="88"/>
    <w:family w:val="script"/>
    <w:pitch w:val="fixed"/>
    <w:sig w:usb0="00000000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4870037"/>
      <w:docPartObj>
        <w:docPartGallery w:val="Page Numbers (Bottom of Page)"/>
        <w:docPartUnique/>
      </w:docPartObj>
    </w:sdtPr>
    <w:sdtEndPr/>
    <w:sdtContent>
      <w:p w:rsidR="001E1EED" w:rsidRDefault="001E1EED" w:rsidP="001E1EE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569D" w:rsidRPr="00B6569D">
          <w:rPr>
            <w:noProof/>
            <w:lang w:val="zh-TW" w:eastAsia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6569D">
      <w:r>
        <w:separator/>
      </w:r>
    </w:p>
  </w:footnote>
  <w:footnote w:type="continuationSeparator" w:id="0">
    <w:p w:rsidR="00000000" w:rsidRDefault="00B656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EED"/>
    <w:rsid w:val="000512E8"/>
    <w:rsid w:val="001E1EED"/>
    <w:rsid w:val="00B6569D"/>
    <w:rsid w:val="00C9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6EA868-86BE-48C1-B7FA-954F23F72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1E1EED"/>
    <w:pPr>
      <w:suppressLineNumbers/>
      <w:tabs>
        <w:tab w:val="center" w:pos="4153"/>
        <w:tab w:val="right" w:pos="8306"/>
      </w:tabs>
      <w:suppressAutoHyphens/>
    </w:pPr>
    <w:rPr>
      <w:rFonts w:ascii="Arial" w:eastAsia="SimSun" w:hAnsi="Arial" w:cs="Arial"/>
      <w:color w:val="000000"/>
      <w:kern w:val="1"/>
      <w:sz w:val="20"/>
      <w:szCs w:val="20"/>
      <w:lang w:eastAsia="ar-SA"/>
    </w:rPr>
  </w:style>
  <w:style w:type="character" w:customStyle="1" w:styleId="a">
    <w:name w:val="頁尾 字元"/>
    <w:basedOn w:val="DefaultParagraphFont"/>
    <w:uiPriority w:val="99"/>
    <w:semiHidden/>
    <w:rsid w:val="001E1EED"/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1E1EED"/>
    <w:rPr>
      <w:rFonts w:ascii="Arial" w:eastAsia="SimSun" w:hAnsi="Arial" w:cs="Arial"/>
      <w:color w:val="000000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564</Words>
  <Characters>3217</Characters>
  <Application>Microsoft Office Word</Application>
  <DocSecurity>0</DocSecurity>
  <Lines>26</Lines>
  <Paragraphs>7</Paragraphs>
  <ScaleCrop>false</ScaleCrop>
  <Company/>
  <LinksUpToDate>false</LinksUpToDate>
  <CharactersWithSpaces>3774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Amaravathi Sellamani</cp:lastModifiedBy>
  <cp:revision>2</cp:revision>
  <dcterms:created xsi:type="dcterms:W3CDTF">2021-12-06T14:37:00Z</dcterms:created>
  <dcterms:modified xsi:type="dcterms:W3CDTF">2022-02-25T09:57:00Z</dcterms:modified>
</cp:coreProperties>
</file>