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AB973" w14:textId="08F5285F" w:rsidR="00056083" w:rsidRPr="004555DA" w:rsidRDefault="00056083" w:rsidP="004555DA">
      <w:pPr>
        <w:tabs>
          <w:tab w:val="left" w:pos="0"/>
        </w:tabs>
        <w:kinsoku w:val="0"/>
        <w:wordWrap/>
        <w:overflowPunct w:val="0"/>
        <w:spacing w:line="480" w:lineRule="auto"/>
        <w:jc w:val="center"/>
        <w:rPr>
          <w:rFonts w:ascii="Times New Roman" w:hAnsi="Times New Roman" w:cs="Times New Roman"/>
          <w:b/>
          <w:bCs/>
          <w:sz w:val="28"/>
          <w:szCs w:val="40"/>
        </w:rPr>
      </w:pPr>
      <w:r w:rsidRPr="004555DA">
        <w:rPr>
          <w:rFonts w:ascii="Times New Roman" w:hAnsi="Times New Roman" w:cs="Times New Roman"/>
          <w:b/>
          <w:bCs/>
          <w:sz w:val="28"/>
          <w:szCs w:val="40"/>
        </w:rPr>
        <w:t xml:space="preserve">Supplementary </w:t>
      </w:r>
      <w:r w:rsidR="00D02162" w:rsidRPr="004555DA">
        <w:rPr>
          <w:rFonts w:ascii="Times New Roman" w:hAnsi="Times New Roman" w:cs="Times New Roman"/>
          <w:b/>
          <w:bCs/>
          <w:sz w:val="28"/>
          <w:szCs w:val="40"/>
        </w:rPr>
        <w:t>data</w:t>
      </w:r>
    </w:p>
    <w:p w14:paraId="42E2E414" w14:textId="77777777" w:rsidR="00D56255" w:rsidRPr="004555DA" w:rsidRDefault="00D56255" w:rsidP="004555DA">
      <w:pPr>
        <w:tabs>
          <w:tab w:val="left" w:pos="0"/>
        </w:tabs>
        <w:kinsoku w:val="0"/>
        <w:wordWrap/>
        <w:overflowPunct w:val="0"/>
        <w:spacing w:line="480" w:lineRule="auto"/>
        <w:rPr>
          <w:rFonts w:ascii="Times New Roman" w:hAnsi="Times New Roman" w:cs="Times New Roman"/>
          <w:b/>
          <w:bCs/>
          <w:sz w:val="28"/>
          <w:szCs w:val="40"/>
        </w:rPr>
      </w:pPr>
    </w:p>
    <w:p w14:paraId="7A23B66F" w14:textId="77777777" w:rsidR="00D56255" w:rsidRPr="004555DA" w:rsidRDefault="00D56255" w:rsidP="004555DA">
      <w:pPr>
        <w:kinsoku w:val="0"/>
        <w:wordWrap/>
        <w:overflowPunct w:val="0"/>
        <w:spacing w:line="480" w:lineRule="auto"/>
        <w:rPr>
          <w:rFonts w:ascii="Times New Roman" w:eastAsia="맑은 고딕" w:hAnsi="Times New Roman" w:cs="Times New Roman"/>
          <w:b/>
          <w:sz w:val="32"/>
        </w:rPr>
      </w:pPr>
      <w:r w:rsidRPr="004555DA">
        <w:rPr>
          <w:rFonts w:ascii="Times New Roman" w:hAnsi="Times New Roman" w:cs="Times New Roman"/>
          <w:b/>
          <w:sz w:val="32"/>
        </w:rPr>
        <w:t xml:space="preserve">Gut microbiota and the </w:t>
      </w:r>
      <w:r w:rsidRPr="004555DA">
        <w:rPr>
          <w:rFonts w:ascii="Times New Roman" w:eastAsia="맑은 고딕" w:hAnsi="Times New Roman" w:cs="Times New Roman"/>
          <w:b/>
          <w:sz w:val="32"/>
        </w:rPr>
        <w:t>prevalence and incidence of renal stones</w:t>
      </w:r>
    </w:p>
    <w:p w14:paraId="471ABD85" w14:textId="77777777" w:rsidR="00D56255" w:rsidRPr="004555DA" w:rsidRDefault="00D56255" w:rsidP="004555DA">
      <w:pPr>
        <w:kinsoku w:val="0"/>
        <w:wordWrap/>
        <w:overflowPunct w:val="0"/>
        <w:spacing w:line="480" w:lineRule="auto"/>
        <w:rPr>
          <w:rFonts w:ascii="Times New Roman" w:eastAsia="맑은 고딕" w:hAnsi="Times New Roman" w:cs="Times New Roman"/>
          <w:b/>
          <w:sz w:val="32"/>
        </w:rPr>
      </w:pPr>
    </w:p>
    <w:p w14:paraId="26F27B77" w14:textId="1CEDA113" w:rsidR="00D4030C" w:rsidRPr="004555DA" w:rsidRDefault="005F4D3D" w:rsidP="004555DA">
      <w:pPr>
        <w:tabs>
          <w:tab w:val="left" w:pos="0"/>
        </w:tabs>
        <w:kinsoku w:val="0"/>
        <w:wordWrap/>
        <w:overflowPunct w:val="0"/>
        <w:spacing w:line="480" w:lineRule="auto"/>
        <w:rPr>
          <w:rFonts w:ascii="Times New Roman" w:hAnsi="Times New Roman" w:cs="Times New Roman"/>
          <w:b/>
          <w:bCs/>
          <w:sz w:val="28"/>
          <w:szCs w:val="40"/>
        </w:rPr>
      </w:pPr>
      <w:r w:rsidRPr="004555DA">
        <w:rPr>
          <w:rFonts w:ascii="Times New Roman" w:eastAsia="굴림" w:hAnsi="Times New Roman" w:cs="Times New Roman"/>
          <w:kern w:val="0"/>
          <w:sz w:val="24"/>
        </w:rPr>
        <w:t xml:space="preserve">Han-Na Kim, </w:t>
      </w:r>
      <w:r w:rsidRPr="004555DA">
        <w:rPr>
          <w:rFonts w:ascii="Times New Roman" w:eastAsia="맑은 고딕" w:hAnsi="Times New Roman" w:cs="Times New Roman"/>
          <w:kern w:val="0"/>
          <w:sz w:val="24"/>
        </w:rPr>
        <w:t>Jae Heon Kim, Yoosoo Chang,</w:t>
      </w:r>
      <w:r w:rsidRPr="004555DA">
        <w:rPr>
          <w:rFonts w:ascii="Times New Roman" w:eastAsia="굴림" w:hAnsi="Times New Roman" w:cs="Times New Roman"/>
          <w:kern w:val="0"/>
          <w:sz w:val="24"/>
        </w:rPr>
        <w:t xml:space="preserve"> Dongmin Yang, Kwan Joong Joo,</w:t>
      </w:r>
      <w:r w:rsidRPr="004555DA">
        <w:rPr>
          <w:rFonts w:ascii="Times New Roman" w:hAnsi="Times New Roman" w:cs="Times New Roman"/>
          <w:color w:val="000000" w:themeColor="text1"/>
          <w:kern w:val="0"/>
          <w:sz w:val="24"/>
          <w:vertAlign w:val="superscript"/>
        </w:rPr>
        <w:t xml:space="preserve"> </w:t>
      </w:r>
      <w:r w:rsidRPr="004555DA">
        <w:rPr>
          <w:rFonts w:ascii="Times New Roman" w:hAnsi="Times New Roman" w:cs="Times New Roman"/>
          <w:color w:val="000000" w:themeColor="text1"/>
          <w:kern w:val="0"/>
          <w:sz w:val="24"/>
        </w:rPr>
        <w:t xml:space="preserve">Young-Sam Cho, </w:t>
      </w:r>
      <w:r w:rsidRPr="004555DA">
        <w:rPr>
          <w:rFonts w:ascii="Times New Roman" w:hAnsi="Times New Roman" w:cs="Times New Roman"/>
          <w:kern w:val="0"/>
          <w:sz w:val="24"/>
        </w:rPr>
        <w:t>Heung Jae Park,</w:t>
      </w:r>
      <w:r w:rsidRPr="004555DA">
        <w:rPr>
          <w:rFonts w:ascii="Times New Roman" w:hAnsi="Times New Roman" w:cs="Times New Roman"/>
          <w:color w:val="000000" w:themeColor="text1"/>
          <w:kern w:val="0"/>
          <w:sz w:val="24"/>
          <w:vertAlign w:val="superscript"/>
        </w:rPr>
        <w:t xml:space="preserve"> </w:t>
      </w:r>
      <w:r w:rsidRPr="004555DA">
        <w:rPr>
          <w:rFonts w:ascii="Times New Roman" w:eastAsia="굴림" w:hAnsi="Times New Roman" w:cs="Times New Roman"/>
          <w:kern w:val="0"/>
          <w:sz w:val="24"/>
        </w:rPr>
        <w:t xml:space="preserve">Hyung-Lae Kim, and </w:t>
      </w:r>
      <w:r w:rsidRPr="004555DA">
        <w:rPr>
          <w:rFonts w:ascii="Times New Roman" w:eastAsia="맑은 고딕" w:hAnsi="Times New Roman" w:cs="Times New Roman"/>
          <w:kern w:val="0"/>
          <w:sz w:val="24"/>
        </w:rPr>
        <w:t>Seungho Ryu</w:t>
      </w:r>
    </w:p>
    <w:p w14:paraId="5FD67FF4" w14:textId="77777777" w:rsidR="00D4030C" w:rsidRPr="004555DA" w:rsidRDefault="00D4030C" w:rsidP="004555DA">
      <w:pPr>
        <w:tabs>
          <w:tab w:val="left" w:pos="0"/>
        </w:tabs>
        <w:kinsoku w:val="0"/>
        <w:wordWrap/>
        <w:overflowPunct w:val="0"/>
        <w:spacing w:line="480" w:lineRule="auto"/>
        <w:rPr>
          <w:rFonts w:ascii="Times New Roman" w:hAnsi="Times New Roman" w:cs="Times New Roman"/>
          <w:b/>
          <w:bCs/>
          <w:sz w:val="28"/>
          <w:szCs w:val="40"/>
        </w:rPr>
      </w:pPr>
    </w:p>
    <w:p w14:paraId="2A7C2C6D" w14:textId="77777777" w:rsidR="000D2858" w:rsidRPr="004555DA" w:rsidRDefault="00056083" w:rsidP="000D2858">
      <w:pPr>
        <w:tabs>
          <w:tab w:val="left" w:pos="0"/>
        </w:tabs>
        <w:kinsoku w:val="0"/>
        <w:wordWrap/>
        <w:overflowPunct w:val="0"/>
        <w:spacing w:line="480" w:lineRule="auto"/>
        <w:rPr>
          <w:rFonts w:ascii="Times New Roman" w:hAnsi="Times New Roman" w:cs="Times New Roman"/>
          <w:b/>
          <w:sz w:val="28"/>
          <w:szCs w:val="28"/>
        </w:rPr>
      </w:pPr>
      <w:r w:rsidRPr="004555DA">
        <w:rPr>
          <w:rFonts w:ascii="Times New Roman" w:hAnsi="Times New Roman" w:cs="Times New Roman"/>
          <w:b/>
          <w:bCs/>
          <w:sz w:val="28"/>
          <w:szCs w:val="40"/>
        </w:rPr>
        <w:br w:type="column"/>
      </w:r>
      <w:r w:rsidR="000D2858" w:rsidRPr="004555DA">
        <w:rPr>
          <w:rFonts w:ascii="Times New Roman" w:hAnsi="Times New Roman" w:cs="Times New Roman"/>
          <w:b/>
          <w:bCs/>
          <w:sz w:val="28"/>
          <w:szCs w:val="40"/>
        </w:rPr>
        <w:lastRenderedPageBreak/>
        <w:t xml:space="preserve">Supplementary </w:t>
      </w:r>
      <w:r w:rsidR="000D2858" w:rsidRPr="004555DA">
        <w:rPr>
          <w:rFonts w:ascii="Times New Roman" w:hAnsi="Times New Roman" w:cs="Times New Roman"/>
          <w:b/>
          <w:sz w:val="28"/>
          <w:szCs w:val="28"/>
        </w:rPr>
        <w:t>Methods</w:t>
      </w:r>
    </w:p>
    <w:p w14:paraId="78C12CB5" w14:textId="091D5C5E" w:rsidR="000D2858" w:rsidRPr="004555DA" w:rsidRDefault="000D2858" w:rsidP="000D2858">
      <w:pPr>
        <w:tabs>
          <w:tab w:val="left" w:pos="1104"/>
        </w:tabs>
        <w:kinsoku w:val="0"/>
        <w:wordWrap/>
        <w:overflowPunct w:val="0"/>
        <w:spacing w:line="480" w:lineRule="auto"/>
        <w:rPr>
          <w:rFonts w:ascii="Times New Roman" w:hAnsi="Times New Roman" w:cs="Times New Roman"/>
          <w:i/>
          <w:sz w:val="24"/>
        </w:rPr>
      </w:pPr>
      <w:r>
        <w:rPr>
          <w:rFonts w:ascii="Times New Roman" w:hAnsi="Times New Roman" w:cs="Times New Roman"/>
          <w:i/>
          <w:sz w:val="24"/>
        </w:rPr>
        <w:t xml:space="preserve">Characteristics of study subjects and the selection process </w:t>
      </w:r>
    </w:p>
    <w:p w14:paraId="1D52E640" w14:textId="2FFF5B12" w:rsidR="000D2858" w:rsidRPr="00AB2DE8" w:rsidRDefault="00FF1525" w:rsidP="004555DA">
      <w:pPr>
        <w:tabs>
          <w:tab w:val="left" w:pos="0"/>
        </w:tabs>
        <w:kinsoku w:val="0"/>
        <w:wordWrap/>
        <w:overflowPunct w:val="0"/>
        <w:spacing w:line="480" w:lineRule="auto"/>
        <w:rPr>
          <w:rFonts w:ascii="Times New Roman" w:hAnsi="Times New Roman" w:cs="Times New Roman"/>
          <w:b/>
          <w:bCs/>
          <w:color w:val="000000" w:themeColor="text1"/>
          <w:sz w:val="28"/>
          <w:szCs w:val="40"/>
        </w:rPr>
      </w:pPr>
      <w:r w:rsidRPr="00FF1525">
        <w:rPr>
          <w:rFonts w:ascii="Times New Roman" w:eastAsia="Apple SD Gothic Neo" w:hAnsi="Times New Roman" w:cs="Times New Roman"/>
          <w:color w:val="000000" w:themeColor="text1"/>
          <w:kern w:val="0"/>
          <w:sz w:val="22"/>
          <w:szCs w:val="22"/>
          <w:shd w:val="clear" w:color="auto" w:fill="FFFFFF"/>
        </w:rPr>
        <w:t>This study was performed as a part of the Kangbuk Samsung Health Study, a cohort study of Korean</w:t>
      </w:r>
      <w:r w:rsidR="00BA159B">
        <w:rPr>
          <w:rFonts w:ascii="Times New Roman" w:eastAsia="Apple SD Gothic Neo" w:hAnsi="Times New Roman" w:cs="Times New Roman"/>
          <w:color w:val="000000" w:themeColor="text1"/>
          <w:kern w:val="0"/>
          <w:sz w:val="22"/>
          <w:szCs w:val="22"/>
          <w:shd w:val="clear" w:color="auto" w:fill="FFFFFF"/>
        </w:rPr>
        <w:t>s</w:t>
      </w:r>
      <w:r w:rsidRPr="00FF1525">
        <w:rPr>
          <w:rFonts w:ascii="Times New Roman" w:eastAsia="Apple SD Gothic Neo" w:hAnsi="Times New Roman" w:cs="Times New Roman"/>
          <w:color w:val="000000" w:themeColor="text1"/>
          <w:kern w:val="0"/>
          <w:sz w:val="22"/>
          <w:szCs w:val="22"/>
          <w:shd w:val="clear" w:color="auto" w:fill="FFFFFF"/>
        </w:rPr>
        <w:t xml:space="preserve"> who underwent comprehensive annual or biennial examinations at the Kangbuk Samsung Hospital Healthcare Screening Center in South Korea</w:t>
      </w:r>
      <w:r>
        <w:rPr>
          <w:rFonts w:ascii="Times New Roman" w:eastAsia="Apple SD Gothic Neo" w:hAnsi="Times New Roman" w:cs="Times New Roman"/>
          <w:color w:val="000000" w:themeColor="text1"/>
          <w:kern w:val="0"/>
          <w:sz w:val="22"/>
          <w:szCs w:val="22"/>
          <w:shd w:val="clear" w:color="auto" w:fill="FFFFFF"/>
        </w:rPr>
        <w:t xml:space="preserve"> </w: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begin"/>
      </w:r>
      <w:r w:rsidR="000D2858" w:rsidRPr="00AB2DE8">
        <w:rPr>
          <w:rFonts w:ascii="Times New Roman" w:eastAsia="Apple SD Gothic Neo" w:hAnsi="Times New Roman" w:cs="Times New Roman"/>
          <w:color w:val="000000" w:themeColor="text1"/>
          <w:kern w:val="0"/>
          <w:sz w:val="22"/>
          <w:szCs w:val="22"/>
          <w:shd w:val="clear" w:color="auto" w:fill="FFFFFF"/>
        </w:rPr>
        <w:instrText xml:space="preserve"> ADDIN EN.CITE &lt;EndNote&gt;&lt;Cite&gt;&lt;Author&gt;Chang&lt;/Author&gt;&lt;Year&gt;2016&lt;/Year&gt;&lt;RecNum&gt;42&lt;/RecNum&gt;&lt;DisplayText&gt;&lt;style face="superscript"&gt;1&lt;/style&gt;&lt;/DisplayText&gt;&lt;record&gt;&lt;rec-number&gt;42&lt;/rec-number&gt;&lt;foreign-keys&gt;&lt;key app="EN" db-id="v5xp2psagafdx5ex52rprzt5ff220vrzxaet" timestamp="1623924154"&gt;42&lt;/key&gt;&lt;/foreign-keys&gt;&lt;ref-type name="Journal Article"&gt;17&lt;/ref-type&gt;&lt;contributors&gt;&lt;authors&gt;&lt;author&gt;Chang, Y.&lt;/author&gt;&lt;author&gt;Ryu, S.&lt;/author&gt;&lt;author&gt;Choi, Y.&lt;/author&gt;&lt;author&gt;Zhang, Y.&lt;/author&gt;&lt;author&gt;Cho, J.&lt;/author&gt;&lt;author&gt;Kwon, M. J.&lt;/author&gt;&lt;author&gt;Hyun, Y. Y.&lt;/author&gt;&lt;author&gt;Lee, K. B.&lt;/author&gt;&lt;author&gt;Kim, H.&lt;/author&gt;&lt;author&gt;Jung, H. S.&lt;/author&gt;&lt;author&gt;Yun, K. E.&lt;/author&gt;&lt;author&gt;Ahn, J.&lt;/author&gt;&lt;author&gt;Rampal, S.&lt;/author&gt;&lt;author&gt;Zhao, D.&lt;/author&gt;&lt;author&gt;Suh, B. S.&lt;/author&gt;&lt;author&gt;Chung, E. C.&lt;/author&gt;&lt;author&gt;Shin, H.&lt;/author&gt;&lt;author&gt;Pastor-Barriuso, R.&lt;/author&gt;&lt;author&gt;Guallar, E.&lt;/author&gt;&lt;/authors&gt;&lt;/contributors&gt;&lt;titles&gt;&lt;title&gt;Metabolically Healthy Obesity and Development of Chronic Kidney Disease: A Cohort Study&lt;/title&gt;&lt;secondary-title&gt;Ann Intern Med&lt;/secondary-title&gt;&lt;/titles&gt;&lt;periodical&gt;&lt;full-title&gt;Ann Intern Med&lt;/full-title&gt;&lt;/periodical&gt;&lt;pages&gt;305-12&lt;/pages&gt;&lt;volume&gt;164&lt;/volume&gt;&lt;number&gt;5&lt;/number&gt;&lt;edition&gt;2016/02/10&lt;/edition&gt;&lt;keywords&gt;&lt;keyword&gt;Adult&lt;/keyword&gt;&lt;keyword&gt;Body Mass Index&lt;/keyword&gt;&lt;keyword&gt;Female&lt;/keyword&gt;&lt;keyword&gt;Humans&lt;/keyword&gt;&lt;keyword&gt;Incidence&lt;/keyword&gt;&lt;keyword&gt;Male&lt;/keyword&gt;&lt;keyword&gt;Obesity, Metabolically Benign/*complications&lt;/keyword&gt;&lt;keyword&gt;Prospective Studies&lt;/keyword&gt;&lt;keyword&gt;Renal Insufficiency, Chronic/*epidemiology&lt;/keyword&gt;&lt;keyword&gt;Republic of Korea/epidemiology&lt;/keyword&gt;&lt;keyword&gt;Risk Factors&lt;/keyword&gt;&lt;/keywords&gt;&lt;dates&gt;&lt;year&gt;2016&lt;/year&gt;&lt;pub-dates&gt;&lt;date&gt;Mar 1&lt;/date&gt;&lt;/pub-dates&gt;&lt;/dates&gt;&lt;isbn&gt;0003-4819&lt;/isbn&gt;&lt;accession-num&gt;26857595&lt;/accession-num&gt;&lt;urls&gt;&lt;/urls&gt;&lt;electronic-resource-num&gt;10.7326/m15-1323&lt;/electronic-resource-num&gt;&lt;remote-database-provider&gt;NLM&lt;/remote-database-provider&gt;&lt;language&gt;eng&lt;/language&gt;&lt;/record&gt;&lt;/Cite&gt;&lt;/EndNote&gt;</w:instrTex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separate"/>
      </w:r>
      <w:r w:rsidR="000D2858" w:rsidRPr="00AB2DE8">
        <w:rPr>
          <w:rFonts w:ascii="Times New Roman" w:eastAsia="Apple SD Gothic Neo" w:hAnsi="Times New Roman" w:cs="Times New Roman"/>
          <w:color w:val="000000" w:themeColor="text1"/>
          <w:kern w:val="0"/>
          <w:sz w:val="22"/>
          <w:szCs w:val="22"/>
          <w:shd w:val="clear" w:color="auto" w:fill="FFFFFF"/>
          <w:vertAlign w:val="superscript"/>
        </w:rPr>
        <w:t>1</w: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end"/>
      </w:r>
      <w:r w:rsidR="000D2858" w:rsidRPr="00AB2DE8">
        <w:rPr>
          <w:rFonts w:ascii="Times New Roman" w:eastAsia="Apple SD Gothic Neo" w:hAnsi="Times New Roman" w:cs="Times New Roman"/>
          <w:color w:val="000000" w:themeColor="text1"/>
          <w:kern w:val="0"/>
          <w:sz w:val="22"/>
          <w:szCs w:val="22"/>
          <w:shd w:val="clear" w:color="auto" w:fill="FFFFFF"/>
        </w:rPr>
        <w:t xml:space="preserve">. </w:t>
      </w:r>
      <w:r w:rsidRPr="00FF1525">
        <w:rPr>
          <w:rFonts w:ascii="Times New Roman" w:eastAsia="Apple SD Gothic Neo" w:hAnsi="Times New Roman" w:cs="Times New Roman"/>
          <w:color w:val="000000" w:themeColor="text1"/>
          <w:kern w:val="0"/>
          <w:sz w:val="22"/>
          <w:szCs w:val="22"/>
          <w:shd w:val="clear" w:color="auto" w:fill="FFFFFF"/>
        </w:rPr>
        <w:t>In Korea, the Industrial Safety and Health Law requires employees to participate in annual or biennial health examinations, which are offered free of charge. More than 80% of the study participants or their spouses were employees of various companies and local government organizations. The remaining participants were individuals who voluntarily underwent screening examinations. The present study included 1463 Korean adults aged 23 to 78 years who agreed to participate in this study and provided stool samples at Kangbuk Samsung Hospital Healthcare Screening Center</w:t>
      </w:r>
      <w:r w:rsidR="000D2858" w:rsidRPr="00AB2DE8">
        <w:rPr>
          <w:rFonts w:ascii="Times New Roman" w:eastAsia="Apple SD Gothic Neo" w:hAnsi="Times New Roman" w:cs="Times New Roman"/>
          <w:color w:val="000000" w:themeColor="text1"/>
          <w:kern w:val="0"/>
          <w:sz w:val="22"/>
          <w:szCs w:val="22"/>
          <w:shd w:val="clear" w:color="auto" w:fill="FFFFFF"/>
        </w:rPr>
        <w:t xml:space="preserve"> </w: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begin">
          <w:fldData xml:space="preserve">PEVuZE5vdGU+PENpdGU+PEF1dGhvcj5LaW08L0F1dGhvcj48WWVhcj4yMDE4PC9ZZWFyPjxSZWNO
dW0+NDM8L1JlY051bT48RGlzcGxheVRleHQ+PHN0eWxlIGZhY2U9InN1cGVyc2NyaXB0Ij4yPC9z
dHlsZT48L0Rpc3BsYXlUZXh0PjxyZWNvcmQ+PHJlYy1udW1iZXI+NDM8L3JlYy1udW1iZXI+PGZv
cmVpZ24ta2V5cz48a2V5IGFwcD0iRU4iIGRiLWlkPSJ2NXhwMnBzYWdhZmR4NWV4NTJycHJ6dDVm
ZjIyMHZyenhhZXQiIHRpbWVzdGFtcD0iMTYyMzkyNDMwMiI+NDM8L2tleT48L2ZvcmVpZ24ta2V5
cz48cmVmLXR5cGUgbmFtZT0iSm91cm5hbCBBcnRpY2xlIj4xNzwvcmVmLXR5cGU+PGNvbnRyaWJ1
dG9ycz48YXV0aG9ycz48YXV0aG9yPktpbSwgSC4gTi48L2F1dGhvcj48YXV0aG9yPll1biwgWS48
L2F1dGhvcj48YXV0aG9yPlJ5dSwgUy48L2F1dGhvcj48YXV0aG9yPkNoYW5nLCBZLjwvYXV0aG9y
PjxhdXRob3I+S3dvbiwgTS4gSi48L2F1dGhvcj48YXV0aG9yPkNobywgSi48L2F1dGhvcj48YXV0
aG9yPlNoaW4sIEguPC9hdXRob3I+PGF1dGhvcj5LaW0sIEguIEwuPC9hdXRob3I+PC9hdXRob3Jz
PjwvY29udHJpYnV0b3JzPjxhdXRoLWFkZHJlc3M+RGVwYXJ0bWVudCBvZiBCaW9jaGVtaXN0cnks
IFNjaG9vbCBvZiBNZWRpY2luZSwgRXdoYSBXb21hbnMgVW5pdmVyc2l0eSwgU2VvdWwsIFJlcHVi
bGljIG9mIEtvcmVhLiYjeEQ7Q2VudGVyIGZvciBDb2hvcnQgU3R1ZGllcywgVG90YWwgSGVhbHRo
Y2FyZSBDZW50ZXIsIEthbmdidWsgU2Ftc3VuZyBIb3NwaXRhbCwgU3VuZ2t5dW5rd2FuIFVuaXZl
cnNpdHkgU2Nob29sIG9mIE1lZGljaW5lLCBTZW91bCwgUmVwdWJsaWMgb2YgS29yZWE7IERlcGFy
dG1lbnQgb2YgT2NjdXBhdGlvbmFsIGFuZCBFbnZpcm9ubWVudGFsIE1lZGljaW5lLCBLYW5nYnVr
IFNhbXN1bmcgSG9zcGl0YWwsIFN1bmdreXVua3dhbiBVbml2ZXJzaXR5IFNjaG9vbCBvZiBNZWRp
Y2luZSwgU2VvdWwsIFJlcHVibGljIG9mIEtvcmVhLiYjeEQ7Q2VudGVyIGZvciBDb2hvcnQgU3R1
ZGllcywgVG90YWwgSGVhbHRoY2FyZSBDZW50ZXIsIEthbmdidWsgU2Ftc3VuZyBIb3NwaXRhbCwg
U3VuZ2t5dW5rd2FuIFVuaXZlcnNpdHkgU2Nob29sIG9mIE1lZGljaW5lLCBTZW91bCwgUmVwdWJs
aWMgb2YgS29yZWE7IERlcGFydG1lbnQgb2YgTGFib3JhdG9yeSBNZWRpY2luZSwgS2FuZ2J1ayBT
YW1zdW5nIEhvc3BpdGFsLCBTdW5na3l1bmt3YW4gVW5pdmVyc2l0eSBTY2hvb2wgb2YgTWVkaWNp
bmUsIFNlb3VsLCBSZXB1YmxpYyBvZiBLb3JlYS4mI3hEO0NlbnRlciBmb3IgQ29ob3J0IFN0dWRp
ZXMsIFRvdGFsIEhlYWx0aGNhcmUgQ2VudGVyLCBLYW5nYnVrIFNhbXN1bmcgSG9zcGl0YWwsIFN1
bmdreXVua3dhbiBVbml2ZXJzaXR5IFNjaG9vbCBvZiBNZWRpY2luZSwgU2VvdWwsIFJlcHVibGlj
IG9mIEtvcmVhOyBEZXBhcnRtZW50IG9mIENsaW5pY2FsIFJlc2VhcmNoIERlc2lnbiBhbmQgRXZh
bHVhdGlvbiwgU0FISVNULCBTdW5na3l1bmt3YW4gVW5pdmVyc2l0eSwgMDYzNTEgU2VvdWwsIFJl
cHVibGljIG9mIEtvcmVhOyBEZXBhcnRtZW50IG9mIEhlYWx0aCwgQmVoYXZpb3IgYW5kIFNvY2ll
dHkgYW5kIEVwaWRlbWlvbG9neSwgSm9obnMgSG9wa2lucyBCbG9vbWJlcmcgU2Nob29sIG9mIFB1
YmxpYyBIZWFsdGgsIEJhbHRpbW9yZSwgTUQsIFVuaXRlZCBTdGF0ZXMuJiN4RDtDZW50ZXIgZm9y
IENvaG9ydCBTdHVkaWVzLCBUb3RhbCBIZWFsdGhjYXJlIENlbnRlciwgS2FuZ2J1ayBTYW1zdW5n
IEhvc3BpdGFsLCBTdW5na3l1bmt3YW4gVW5pdmVyc2l0eSBTY2hvb2wgb2YgTWVkaWNpbmUsIFNl
b3VsLCBSZXB1YmxpYyBvZiBLb3JlYTsgRGVwYXJ0bWVudCBvZiBGYW1pbHkgTWVkaWNpbmUgYW5k
IEhlYWx0aCBTY3JlZW5pbmcgQ2VudGVyLCBLYW5nYnVrIFNhbXN1bmcgSG9zcGl0YWwgU2Nob29s
IG9mIE1lZGljaW5lLCBTdW5na3l1bmt3YW4gVW5pdmVyc2l0eSwgU2VvdWwsIFJlcHVibGljIG9m
IEtvcmVhLiYjeEQ7RGVwYXJ0bWVudCBvZiBCaW9jaGVtaXN0cnksIFNjaG9vbCBvZiBNZWRpY2lu
ZSwgRXdoYSBXb21hbnMgVW5pdmVyc2l0eSwgU2VvdWwsIFJlcHVibGljIG9mIEtvcmVhLiBFbGVj
dHJvbmljIGFkZHJlc3M6IGh5dW5nQGV3aGEuYWMua3IuPC9hdXRoLWFkZHJlc3M+PHRpdGxlcz48
dGl0bGU+Q29ycmVsYXRpb24gYmV0d2VlbiBndXQgbWljcm9iaW90YSBhbmQgcGVyc29uYWxpdHkg
aW4gYWR1bHRzOiBBIGNyb3NzLXNlY3Rpb25hbCBzdHVkeTwvdGl0bGU+PHNlY29uZGFyeS10aXRs
ZT5CcmFpbiBCZWhhdiBJbW11bjwvc2Vjb25kYXJ5LXRpdGxlPjwvdGl0bGVzPjxwZXJpb2RpY2Fs
PjxmdWxsLXRpdGxlPkJyYWluIEJlaGF2IEltbXVuPC9mdWxsLXRpdGxlPjwvcGVyaW9kaWNhbD48
cGFnZXM+Mzc0LTM4NTwvcGFnZXM+PHZvbHVtZT42OTwvdm9sdW1lPjxlZGl0aW9uPjIwMTcvMTIv
Mjc8L2VkaXRpb24+PGtleXdvcmRzPjxrZXl3b3JkPkFkdWx0PC9rZXl3b3JkPjxrZXl3b3JkPkFn
ZWQ8L2tleXdvcmQ+PGtleXdvcmQ+Q3Jvc3MtU2VjdGlvbmFsIFN0dWRpZXM8L2tleXdvcmQ+PGtl
eXdvcmQ+RmVjZXMvbWljcm9iaW9sb2d5PC9rZXl3b3JkPjxrZXl3b3JkPkZlbWFsZTwva2V5d29y
ZD48a2V5d29yZD5HYXN0cm9pbnRlc3RpbmFsIE1pY3JvYmlvbWUvKnBoeXNpb2xvZ3k8L2tleXdv
cmQ+PGtleXdvcmQ+SHVtYW5zPC9rZXl3b3JkPjxrZXl3b3JkPk1hbGU8L2tleXdvcmQ+PGtleXdv
cmQ+TWlkZGxlIEFnZWQ8L2tleXdvcmQ+PGtleXdvcmQ+TmV1cm90aWNpc208L2tleXdvcmQ+PGtl
eXdvcmQ+UGVyc29uYWxpdHkvKnBoeXNpb2xvZ3k8L2tleXdvcmQ+PGtleXdvcmQ+UGVyc29uYWxp
dHkgQXNzZXNzbWVudDwva2V5d29yZD48a2V5d29yZD5Zb3VuZyBBZHVsdDwva2V5d29yZD48a2V5
d29yZD4qQnJhaW4tZ3V0IGF4aXM8L2tleXdvcmQ+PGtleXdvcmQ+KkNvbnNjaWVudGlvdXNuZXNz
PC9rZXl3b3JkPjxrZXl3b3JkPipHdXQgbWljcm9iaW90YTwva2V5d29yZD48a2V5d29yZD4qTmV1
cm90aWNpc208L2tleXdvcmQ+PGtleXdvcmQ+KlBlcnNvbmFsaXR5PC9rZXl3b3JkPjwva2V5d29y
ZHM+PGRhdGVzPjx5ZWFyPjIwMTg8L3llYXI+PHB1Yi1kYXRlcz48ZGF0ZT5NYXI8L2RhdGU+PC9w
dWItZGF0ZXM+PC9kYXRlcz48aXNibj4wODg5LTE1OTE8L2lzYm4+PGFjY2Vzc2lvbi1udW0+Mjky
Nzg3NTE8L2FjY2Vzc2lvbi1udW0+PHVybHM+PC91cmxzPjxlbGVjdHJvbmljLXJlc291cmNlLW51
bT4xMC4xMDE2L2ouYmJpLjIwMTcuMTIuMDEyPC9lbGVjdHJvbmljLXJlc291cmNlLW51bT48cmVt
b3RlLWRhdGFiYXNlLXByb3ZpZGVyPk5MTTwvcmVtb3RlLWRhdGFiYXNlLXByb3ZpZGVyPjxsYW5n
dWFnZT5lbmc8L2xhbmd1YWdlPjwvcmVjb3JkPjwvQ2l0ZT48L0VuZE5vdGU+
</w:fldData>
        </w:fldChar>
      </w:r>
      <w:r w:rsidR="000D2858" w:rsidRPr="00AB2DE8">
        <w:rPr>
          <w:rFonts w:ascii="Times New Roman" w:eastAsia="Apple SD Gothic Neo" w:hAnsi="Times New Roman" w:cs="Times New Roman"/>
          <w:color w:val="000000" w:themeColor="text1"/>
          <w:kern w:val="0"/>
          <w:sz w:val="22"/>
          <w:szCs w:val="22"/>
          <w:shd w:val="clear" w:color="auto" w:fill="FFFFFF"/>
        </w:rPr>
        <w:instrText xml:space="preserve"> ADDIN EN.CITE </w:instrTex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begin">
          <w:fldData xml:space="preserve">PEVuZE5vdGU+PENpdGU+PEF1dGhvcj5LaW08L0F1dGhvcj48WWVhcj4yMDE4PC9ZZWFyPjxSZWNO
dW0+NDM8L1JlY051bT48RGlzcGxheVRleHQ+PHN0eWxlIGZhY2U9InN1cGVyc2NyaXB0Ij4yPC9z
dHlsZT48L0Rpc3BsYXlUZXh0PjxyZWNvcmQ+PHJlYy1udW1iZXI+NDM8L3JlYy1udW1iZXI+PGZv
cmVpZ24ta2V5cz48a2V5IGFwcD0iRU4iIGRiLWlkPSJ2NXhwMnBzYWdhZmR4NWV4NTJycHJ6dDVm
ZjIyMHZyenhhZXQiIHRpbWVzdGFtcD0iMTYyMzkyNDMwMiI+NDM8L2tleT48L2ZvcmVpZ24ta2V5
cz48cmVmLXR5cGUgbmFtZT0iSm91cm5hbCBBcnRpY2xlIj4xNzwvcmVmLXR5cGU+PGNvbnRyaWJ1
dG9ycz48YXV0aG9ycz48YXV0aG9yPktpbSwgSC4gTi48L2F1dGhvcj48YXV0aG9yPll1biwgWS48
L2F1dGhvcj48YXV0aG9yPlJ5dSwgUy48L2F1dGhvcj48YXV0aG9yPkNoYW5nLCBZLjwvYXV0aG9y
PjxhdXRob3I+S3dvbiwgTS4gSi48L2F1dGhvcj48YXV0aG9yPkNobywgSi48L2F1dGhvcj48YXV0
aG9yPlNoaW4sIEguPC9hdXRob3I+PGF1dGhvcj5LaW0sIEguIEwuPC9hdXRob3I+PC9hdXRob3Jz
PjwvY29udHJpYnV0b3JzPjxhdXRoLWFkZHJlc3M+RGVwYXJ0bWVudCBvZiBCaW9jaGVtaXN0cnks
IFNjaG9vbCBvZiBNZWRpY2luZSwgRXdoYSBXb21hbnMgVW5pdmVyc2l0eSwgU2VvdWwsIFJlcHVi
bGljIG9mIEtvcmVhLiYjeEQ7Q2VudGVyIGZvciBDb2hvcnQgU3R1ZGllcywgVG90YWwgSGVhbHRo
Y2FyZSBDZW50ZXIsIEthbmdidWsgU2Ftc3VuZyBIb3NwaXRhbCwgU3VuZ2t5dW5rd2FuIFVuaXZl
cnNpdHkgU2Nob29sIG9mIE1lZGljaW5lLCBTZW91bCwgUmVwdWJsaWMgb2YgS29yZWE7IERlcGFy
dG1lbnQgb2YgT2NjdXBhdGlvbmFsIGFuZCBFbnZpcm9ubWVudGFsIE1lZGljaW5lLCBLYW5nYnVr
IFNhbXN1bmcgSG9zcGl0YWwsIFN1bmdreXVua3dhbiBVbml2ZXJzaXR5IFNjaG9vbCBvZiBNZWRp
Y2luZSwgU2VvdWwsIFJlcHVibGljIG9mIEtvcmVhLiYjeEQ7Q2VudGVyIGZvciBDb2hvcnQgU3R1
ZGllcywgVG90YWwgSGVhbHRoY2FyZSBDZW50ZXIsIEthbmdidWsgU2Ftc3VuZyBIb3NwaXRhbCwg
U3VuZ2t5dW5rd2FuIFVuaXZlcnNpdHkgU2Nob29sIG9mIE1lZGljaW5lLCBTZW91bCwgUmVwdWJs
aWMgb2YgS29yZWE7IERlcGFydG1lbnQgb2YgTGFib3JhdG9yeSBNZWRpY2luZSwgS2FuZ2J1ayBT
YW1zdW5nIEhvc3BpdGFsLCBTdW5na3l1bmt3YW4gVW5pdmVyc2l0eSBTY2hvb2wgb2YgTWVkaWNp
bmUsIFNlb3VsLCBSZXB1YmxpYyBvZiBLb3JlYS4mI3hEO0NlbnRlciBmb3IgQ29ob3J0IFN0dWRp
ZXMsIFRvdGFsIEhlYWx0aGNhcmUgQ2VudGVyLCBLYW5nYnVrIFNhbXN1bmcgSG9zcGl0YWwsIFN1
bmdreXVua3dhbiBVbml2ZXJzaXR5IFNjaG9vbCBvZiBNZWRpY2luZSwgU2VvdWwsIFJlcHVibGlj
IG9mIEtvcmVhOyBEZXBhcnRtZW50IG9mIENsaW5pY2FsIFJlc2VhcmNoIERlc2lnbiBhbmQgRXZh
bHVhdGlvbiwgU0FISVNULCBTdW5na3l1bmt3YW4gVW5pdmVyc2l0eSwgMDYzNTEgU2VvdWwsIFJl
cHVibGljIG9mIEtvcmVhOyBEZXBhcnRtZW50IG9mIEhlYWx0aCwgQmVoYXZpb3IgYW5kIFNvY2ll
dHkgYW5kIEVwaWRlbWlvbG9neSwgSm9obnMgSG9wa2lucyBCbG9vbWJlcmcgU2Nob29sIG9mIFB1
YmxpYyBIZWFsdGgsIEJhbHRpbW9yZSwgTUQsIFVuaXRlZCBTdGF0ZXMuJiN4RDtDZW50ZXIgZm9y
IENvaG9ydCBTdHVkaWVzLCBUb3RhbCBIZWFsdGhjYXJlIENlbnRlciwgS2FuZ2J1ayBTYW1zdW5n
IEhvc3BpdGFsLCBTdW5na3l1bmt3YW4gVW5pdmVyc2l0eSBTY2hvb2wgb2YgTWVkaWNpbmUsIFNl
b3VsLCBSZXB1YmxpYyBvZiBLb3JlYTsgRGVwYXJ0bWVudCBvZiBGYW1pbHkgTWVkaWNpbmUgYW5k
IEhlYWx0aCBTY3JlZW5pbmcgQ2VudGVyLCBLYW5nYnVrIFNhbXN1bmcgSG9zcGl0YWwgU2Nob29s
IG9mIE1lZGljaW5lLCBTdW5na3l1bmt3YW4gVW5pdmVyc2l0eSwgU2VvdWwsIFJlcHVibGljIG9m
IEtvcmVhLiYjeEQ7RGVwYXJ0bWVudCBvZiBCaW9jaGVtaXN0cnksIFNjaG9vbCBvZiBNZWRpY2lu
ZSwgRXdoYSBXb21hbnMgVW5pdmVyc2l0eSwgU2VvdWwsIFJlcHVibGljIG9mIEtvcmVhLiBFbGVj
dHJvbmljIGFkZHJlc3M6IGh5dW5nQGV3aGEuYWMua3IuPC9hdXRoLWFkZHJlc3M+PHRpdGxlcz48
dGl0bGU+Q29ycmVsYXRpb24gYmV0d2VlbiBndXQgbWljcm9iaW90YSBhbmQgcGVyc29uYWxpdHkg
aW4gYWR1bHRzOiBBIGNyb3NzLXNlY3Rpb25hbCBzdHVkeTwvdGl0bGU+PHNlY29uZGFyeS10aXRs
ZT5CcmFpbiBCZWhhdiBJbW11bjwvc2Vjb25kYXJ5LXRpdGxlPjwvdGl0bGVzPjxwZXJpb2RpY2Fs
PjxmdWxsLXRpdGxlPkJyYWluIEJlaGF2IEltbXVuPC9mdWxsLXRpdGxlPjwvcGVyaW9kaWNhbD48
cGFnZXM+Mzc0LTM4NTwvcGFnZXM+PHZvbHVtZT42OTwvdm9sdW1lPjxlZGl0aW9uPjIwMTcvMTIv
Mjc8L2VkaXRpb24+PGtleXdvcmRzPjxrZXl3b3JkPkFkdWx0PC9rZXl3b3JkPjxrZXl3b3JkPkFn
ZWQ8L2tleXdvcmQ+PGtleXdvcmQ+Q3Jvc3MtU2VjdGlvbmFsIFN0dWRpZXM8L2tleXdvcmQ+PGtl
eXdvcmQ+RmVjZXMvbWljcm9iaW9sb2d5PC9rZXl3b3JkPjxrZXl3b3JkPkZlbWFsZTwva2V5d29y
ZD48a2V5d29yZD5HYXN0cm9pbnRlc3RpbmFsIE1pY3JvYmlvbWUvKnBoeXNpb2xvZ3k8L2tleXdv
cmQ+PGtleXdvcmQ+SHVtYW5zPC9rZXl3b3JkPjxrZXl3b3JkPk1hbGU8L2tleXdvcmQ+PGtleXdv
cmQ+TWlkZGxlIEFnZWQ8L2tleXdvcmQ+PGtleXdvcmQ+TmV1cm90aWNpc208L2tleXdvcmQ+PGtl
eXdvcmQ+UGVyc29uYWxpdHkvKnBoeXNpb2xvZ3k8L2tleXdvcmQ+PGtleXdvcmQ+UGVyc29uYWxp
dHkgQXNzZXNzbWVudDwva2V5d29yZD48a2V5d29yZD5Zb3VuZyBBZHVsdDwva2V5d29yZD48a2V5
d29yZD4qQnJhaW4tZ3V0IGF4aXM8L2tleXdvcmQ+PGtleXdvcmQ+KkNvbnNjaWVudGlvdXNuZXNz
PC9rZXl3b3JkPjxrZXl3b3JkPipHdXQgbWljcm9iaW90YTwva2V5d29yZD48a2V5d29yZD4qTmV1
cm90aWNpc208L2tleXdvcmQ+PGtleXdvcmQ+KlBlcnNvbmFsaXR5PC9rZXl3b3JkPjwva2V5d29y
ZHM+PGRhdGVzPjx5ZWFyPjIwMTg8L3llYXI+PHB1Yi1kYXRlcz48ZGF0ZT5NYXI8L2RhdGU+PC9w
dWItZGF0ZXM+PC9kYXRlcz48aXNibj4wODg5LTE1OTE8L2lzYm4+PGFjY2Vzc2lvbi1udW0+Mjky
Nzg3NTE8L2FjY2Vzc2lvbi1udW0+PHVybHM+PC91cmxzPjxlbGVjdHJvbmljLXJlc291cmNlLW51
bT4xMC4xMDE2L2ouYmJpLjIwMTcuMTIuMDEyPC9lbGVjdHJvbmljLXJlc291cmNlLW51bT48cmVt
b3RlLWRhdGFiYXNlLXByb3ZpZGVyPk5MTTwvcmVtb3RlLWRhdGFiYXNlLXByb3ZpZGVyPjxsYW5n
dWFnZT5lbmc8L2xhbmd1YWdlPjwvcmVjb3JkPjwvQ2l0ZT48L0VuZE5vdGU+
</w:fldData>
        </w:fldChar>
      </w:r>
      <w:r w:rsidR="000D2858" w:rsidRPr="00AB2DE8">
        <w:rPr>
          <w:rFonts w:ascii="Times New Roman" w:eastAsia="Apple SD Gothic Neo" w:hAnsi="Times New Roman" w:cs="Times New Roman"/>
          <w:color w:val="000000" w:themeColor="text1"/>
          <w:kern w:val="0"/>
          <w:sz w:val="22"/>
          <w:szCs w:val="22"/>
          <w:shd w:val="clear" w:color="auto" w:fill="FFFFFF"/>
        </w:rPr>
        <w:instrText xml:space="preserve"> ADDIN EN.CITE.DATA </w:instrText>
      </w:r>
      <w:r w:rsidR="000D2858" w:rsidRPr="00AB2DE8">
        <w:rPr>
          <w:rFonts w:ascii="Times New Roman" w:eastAsia="Apple SD Gothic Neo" w:hAnsi="Times New Roman" w:cs="Times New Roman"/>
          <w:color w:val="000000" w:themeColor="text1"/>
          <w:kern w:val="0"/>
          <w:sz w:val="22"/>
          <w:szCs w:val="22"/>
          <w:shd w:val="clear" w:color="auto" w:fill="FFFFFF"/>
        </w:rPr>
      </w:r>
      <w:r w:rsidR="000D2858" w:rsidRPr="00AB2DE8">
        <w:rPr>
          <w:rFonts w:ascii="Times New Roman" w:eastAsia="Apple SD Gothic Neo" w:hAnsi="Times New Roman" w:cs="Times New Roman"/>
          <w:color w:val="000000" w:themeColor="text1"/>
          <w:kern w:val="0"/>
          <w:sz w:val="22"/>
          <w:szCs w:val="22"/>
          <w:shd w:val="clear" w:color="auto" w:fill="FFFFFF"/>
        </w:rPr>
        <w:fldChar w:fldCharType="end"/>
      </w:r>
      <w:r w:rsidR="000D2858" w:rsidRPr="00AB2DE8">
        <w:rPr>
          <w:rFonts w:ascii="Times New Roman" w:eastAsia="Apple SD Gothic Neo" w:hAnsi="Times New Roman" w:cs="Times New Roman"/>
          <w:color w:val="000000" w:themeColor="text1"/>
          <w:kern w:val="0"/>
          <w:sz w:val="22"/>
          <w:szCs w:val="22"/>
          <w:shd w:val="clear" w:color="auto" w:fill="FFFFFF"/>
        </w:rPr>
      </w:r>
      <w:r w:rsidR="000D2858" w:rsidRPr="00AB2DE8">
        <w:rPr>
          <w:rFonts w:ascii="Times New Roman" w:eastAsia="Apple SD Gothic Neo" w:hAnsi="Times New Roman" w:cs="Times New Roman"/>
          <w:color w:val="000000" w:themeColor="text1"/>
          <w:kern w:val="0"/>
          <w:sz w:val="22"/>
          <w:szCs w:val="22"/>
          <w:shd w:val="clear" w:color="auto" w:fill="FFFFFF"/>
        </w:rPr>
        <w:fldChar w:fldCharType="separate"/>
      </w:r>
      <w:r w:rsidR="000D2858" w:rsidRPr="00AB2DE8">
        <w:rPr>
          <w:rFonts w:ascii="Times New Roman" w:eastAsia="Apple SD Gothic Neo" w:hAnsi="Times New Roman" w:cs="Times New Roman"/>
          <w:color w:val="000000" w:themeColor="text1"/>
          <w:kern w:val="0"/>
          <w:sz w:val="22"/>
          <w:szCs w:val="22"/>
          <w:shd w:val="clear" w:color="auto" w:fill="FFFFFF"/>
          <w:vertAlign w:val="superscript"/>
        </w:rPr>
        <w:t>2</w:t>
      </w:r>
      <w:r w:rsidR="000D2858" w:rsidRPr="00AB2DE8">
        <w:rPr>
          <w:rFonts w:ascii="Times New Roman" w:eastAsia="Apple SD Gothic Neo" w:hAnsi="Times New Roman" w:cs="Times New Roman"/>
          <w:color w:val="000000" w:themeColor="text1"/>
          <w:kern w:val="0"/>
          <w:sz w:val="22"/>
          <w:szCs w:val="22"/>
          <w:shd w:val="clear" w:color="auto" w:fill="FFFFFF"/>
        </w:rPr>
        <w:fldChar w:fldCharType="end"/>
      </w:r>
      <w:r w:rsidR="000D2858" w:rsidRPr="00AB2DE8">
        <w:rPr>
          <w:rFonts w:ascii="Times New Roman" w:eastAsia="Apple SD Gothic Neo" w:hAnsi="Times New Roman" w:cs="Times New Roman"/>
          <w:color w:val="000000" w:themeColor="text1"/>
          <w:kern w:val="0"/>
          <w:sz w:val="22"/>
          <w:szCs w:val="22"/>
          <w:shd w:val="clear" w:color="auto" w:fill="FFFFFF"/>
        </w:rPr>
        <w:t xml:space="preserve">. </w:t>
      </w:r>
      <w:r w:rsidRPr="00FF1525">
        <w:rPr>
          <w:rFonts w:ascii="Times New Roman" w:eastAsia="Apple SD Gothic Neo" w:hAnsi="Times New Roman" w:cs="Times New Roman"/>
          <w:color w:val="000000" w:themeColor="text1"/>
          <w:kern w:val="0"/>
          <w:sz w:val="22"/>
          <w:szCs w:val="22"/>
          <w:shd w:val="clear" w:color="auto" w:fill="FFFFFF"/>
        </w:rPr>
        <w:t xml:space="preserve">These participants were recruited from among those who underwent annual or biennial examinations between June 2014 and September 2014. Written informed consent was obtained from all participants included in this study. Fecal samples were obtained only at baseline. In a health checkup program, abdominal ultrasound and an annual or biennial follow up are routinely performed. Each participant was followed up from the baseline examination until the last examination regardless of stone status, and the median follow-up duration (interquartile range) was 4.6 (3.6-5) years in </w:t>
      </w:r>
      <w:r w:rsidR="00D047F3" w:rsidRPr="00D047F3">
        <w:rPr>
          <w:rFonts w:ascii="Times New Roman" w:eastAsia="Apple SD Gothic Neo" w:hAnsi="Times New Roman" w:cs="Times New Roman"/>
          <w:color w:val="000000" w:themeColor="text1"/>
          <w:kern w:val="0"/>
          <w:sz w:val="22"/>
          <w:szCs w:val="22"/>
          <w:shd w:val="clear" w:color="auto" w:fill="FFFFFF"/>
        </w:rPr>
        <w:t>G0 group; 4.7 (1.9-5.0) years in G1 group; and 4.8 (3.9-5.1) years in G2 group</w:t>
      </w:r>
      <w:r w:rsidRPr="00FF1525">
        <w:rPr>
          <w:rFonts w:ascii="Times New Roman" w:eastAsia="Apple SD Gothic Neo" w:hAnsi="Times New Roman" w:cs="Times New Roman"/>
          <w:color w:val="000000" w:themeColor="text1"/>
          <w:kern w:val="0"/>
          <w:sz w:val="22"/>
          <w:szCs w:val="22"/>
          <w:shd w:val="clear" w:color="auto" w:fill="FFFFFF"/>
        </w:rPr>
        <w:t xml:space="preserve">. The follow-up duration was similar across all groups. Among the 1456 participants with available information on ultrasound, 121 (8.1%) had nephrolithiasis based on ultrasound at baseline, before applying the exclusion criteria (Figure 1). After excluding participants based on the following criteria: use of antibiotics or probiotics within six weeks prior to enrollment (n = 72), use of antacids (n = 32), use of anti-diabetic medication (n = 53), history of malignancy (n = 52), history of kidney disease (n = 9), history of gout (n = 24), history of liver cirrhosis or findings of liver cirrhosis on ultrasound (n = 3), missing information on ultrasound (n = 7), and samples with fewer than 5000 sequences per sample (n = 90), 86 participants (7.5%) out of 1148 participants had prevalent nephrolithiasis. Out of 1062 participants free of nephrolithiasis at baseline, 233 participants with no follow-up by December 31, </w:t>
      </w:r>
      <w:proofErr w:type="gramStart"/>
      <w:r w:rsidRPr="00FF1525">
        <w:rPr>
          <w:rFonts w:ascii="Times New Roman" w:eastAsia="Apple SD Gothic Neo" w:hAnsi="Times New Roman" w:cs="Times New Roman"/>
          <w:color w:val="000000" w:themeColor="text1"/>
          <w:kern w:val="0"/>
          <w:sz w:val="22"/>
          <w:szCs w:val="22"/>
          <w:shd w:val="clear" w:color="auto" w:fill="FFFFFF"/>
        </w:rPr>
        <w:t>2019</w:t>
      </w:r>
      <w:proofErr w:type="gramEnd"/>
      <w:r w:rsidRPr="00FF1525">
        <w:rPr>
          <w:rFonts w:ascii="Times New Roman" w:eastAsia="Apple SD Gothic Neo" w:hAnsi="Times New Roman" w:cs="Times New Roman"/>
          <w:color w:val="000000" w:themeColor="text1"/>
          <w:kern w:val="0"/>
          <w:sz w:val="22"/>
          <w:szCs w:val="22"/>
          <w:shd w:val="clear" w:color="auto" w:fill="FFFFFF"/>
        </w:rPr>
        <w:t xml:space="preserve"> were further excluded for examining the prospective association between gut microbiome and </w:t>
      </w:r>
      <w:r w:rsidRPr="00FF1525">
        <w:rPr>
          <w:rFonts w:ascii="Times New Roman" w:eastAsia="Apple SD Gothic Neo" w:hAnsi="Times New Roman" w:cs="Times New Roman"/>
          <w:color w:val="000000" w:themeColor="text1"/>
          <w:kern w:val="0"/>
          <w:sz w:val="22"/>
          <w:szCs w:val="22"/>
          <w:shd w:val="clear" w:color="auto" w:fill="FFFFFF"/>
        </w:rPr>
        <w:lastRenderedPageBreak/>
        <w:t>incident nephrolithiasis. Ultimately, 97 incident nephrolithiasis cases were identified during follow-up.</w:t>
      </w:r>
      <w:r w:rsidR="003C7BDA">
        <w:rPr>
          <w:rFonts w:ascii="Times New Roman" w:eastAsia="Apple SD Gothic Neo" w:hAnsi="Times New Roman" w:cs="Times New Roman"/>
          <w:color w:val="000000" w:themeColor="text1"/>
          <w:kern w:val="0"/>
          <w:sz w:val="22"/>
          <w:szCs w:val="22"/>
          <w:shd w:val="clear" w:color="auto" w:fill="FFFFFF"/>
        </w:rPr>
        <w:t xml:space="preserve"> </w:t>
      </w:r>
    </w:p>
    <w:p w14:paraId="66C52A0A" w14:textId="2312A50F" w:rsidR="0046151C" w:rsidRPr="004555DA" w:rsidRDefault="000D2858" w:rsidP="004555DA">
      <w:pPr>
        <w:tabs>
          <w:tab w:val="left" w:pos="0"/>
        </w:tabs>
        <w:kinsoku w:val="0"/>
        <w:wordWrap/>
        <w:overflowPunct w:val="0"/>
        <w:spacing w:line="480" w:lineRule="auto"/>
        <w:rPr>
          <w:rFonts w:ascii="Times New Roman" w:hAnsi="Times New Roman" w:cs="Times New Roman"/>
          <w:sz w:val="24"/>
          <w:szCs w:val="36"/>
        </w:rPr>
      </w:pPr>
      <w:r w:rsidRPr="000D2858">
        <w:rPr>
          <w:rFonts w:ascii="Times New Roman" w:hAnsi="Times New Roman" w:cs="Times New Roman"/>
          <w:color w:val="000000" w:themeColor="text1"/>
          <w:sz w:val="28"/>
          <w:szCs w:val="40"/>
        </w:rPr>
        <w:br w:type="column"/>
      </w:r>
      <w:r w:rsidR="00985C12" w:rsidRPr="004555DA">
        <w:rPr>
          <w:rFonts w:ascii="Times New Roman" w:hAnsi="Times New Roman" w:cs="Times New Roman"/>
          <w:b/>
          <w:bCs/>
          <w:sz w:val="24"/>
          <w:szCs w:val="36"/>
        </w:rPr>
        <w:lastRenderedPageBreak/>
        <w:t xml:space="preserve">Supplementary </w:t>
      </w:r>
      <w:r w:rsidR="001A1A93" w:rsidRPr="004555DA">
        <w:rPr>
          <w:rFonts w:ascii="Times New Roman" w:hAnsi="Times New Roman" w:cs="Times New Roman"/>
          <w:b/>
          <w:bCs/>
          <w:sz w:val="24"/>
          <w:szCs w:val="36"/>
        </w:rPr>
        <w:t>Table S1.</w:t>
      </w:r>
      <w:r w:rsidR="001A1A93" w:rsidRPr="004555DA">
        <w:rPr>
          <w:rFonts w:ascii="Times New Roman" w:hAnsi="Times New Roman" w:cs="Times New Roman"/>
          <w:sz w:val="24"/>
          <w:szCs w:val="36"/>
        </w:rPr>
        <w:t xml:space="preserve"> Nutrient characteristics of study participants according to renal stones.</w:t>
      </w:r>
    </w:p>
    <w:tbl>
      <w:tblPr>
        <w:tblW w:w="8820"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2733"/>
        <w:gridCol w:w="1702"/>
        <w:gridCol w:w="1702"/>
        <w:gridCol w:w="1702"/>
        <w:gridCol w:w="981"/>
      </w:tblGrid>
      <w:tr w:rsidR="001F7C6C" w:rsidRPr="004555DA" w14:paraId="3863DF43" w14:textId="77777777" w:rsidTr="00C66B95">
        <w:trPr>
          <w:trHeight w:val="378"/>
        </w:trPr>
        <w:tc>
          <w:tcPr>
            <w:tcW w:w="273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268558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Nutrients</w:t>
            </w:r>
          </w:p>
        </w:tc>
        <w:tc>
          <w:tcPr>
            <w:tcW w:w="17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7A6ACA3" w14:textId="155ACBBE"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G0 (n = 534)</w:t>
            </w:r>
          </w:p>
        </w:tc>
        <w:tc>
          <w:tcPr>
            <w:tcW w:w="17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0399558"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G1 (n = 68)</w:t>
            </w:r>
          </w:p>
        </w:tc>
        <w:tc>
          <w:tcPr>
            <w:tcW w:w="17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C2350A5"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G2 (n= 62)</w:t>
            </w:r>
          </w:p>
        </w:tc>
        <w:tc>
          <w:tcPr>
            <w:tcW w:w="981"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1D9B790" w14:textId="5461C902"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i/>
                <w:iCs/>
              </w:rPr>
              <w:t>p</w:t>
            </w:r>
          </w:p>
        </w:tc>
      </w:tr>
      <w:tr w:rsidR="001F7C6C" w:rsidRPr="004555DA" w14:paraId="199468AB" w14:textId="77777777" w:rsidTr="00C66B95">
        <w:trPr>
          <w:trHeight w:val="378"/>
        </w:trPr>
        <w:tc>
          <w:tcPr>
            <w:tcW w:w="2733" w:type="dxa"/>
            <w:tcBorders>
              <w:top w:val="single" w:sz="4" w:space="0" w:color="auto"/>
            </w:tcBorders>
            <w:shd w:val="clear" w:color="auto" w:fill="auto"/>
            <w:tcMar>
              <w:top w:w="15" w:type="dxa"/>
              <w:left w:w="15" w:type="dxa"/>
              <w:bottom w:w="0" w:type="dxa"/>
              <w:right w:w="15" w:type="dxa"/>
            </w:tcMar>
            <w:vAlign w:val="center"/>
            <w:hideMark/>
          </w:tcPr>
          <w:p w14:paraId="6A78DFE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energy, kcal/day</w:t>
            </w:r>
          </w:p>
        </w:tc>
        <w:tc>
          <w:tcPr>
            <w:tcW w:w="1702" w:type="dxa"/>
            <w:tcBorders>
              <w:top w:val="single" w:sz="4" w:space="0" w:color="auto"/>
            </w:tcBorders>
            <w:shd w:val="clear" w:color="auto" w:fill="auto"/>
            <w:tcMar>
              <w:top w:w="15" w:type="dxa"/>
              <w:left w:w="15" w:type="dxa"/>
              <w:bottom w:w="0" w:type="dxa"/>
              <w:right w:w="15" w:type="dxa"/>
            </w:tcMar>
            <w:vAlign w:val="center"/>
            <w:hideMark/>
          </w:tcPr>
          <w:p w14:paraId="3A32CDEE"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1425.6 ± 634.7</w:t>
            </w:r>
          </w:p>
        </w:tc>
        <w:tc>
          <w:tcPr>
            <w:tcW w:w="1702" w:type="dxa"/>
            <w:tcBorders>
              <w:top w:val="single" w:sz="4" w:space="0" w:color="auto"/>
            </w:tcBorders>
            <w:shd w:val="clear" w:color="auto" w:fill="auto"/>
            <w:tcMar>
              <w:top w:w="15" w:type="dxa"/>
              <w:left w:w="15" w:type="dxa"/>
              <w:bottom w:w="0" w:type="dxa"/>
              <w:right w:w="15" w:type="dxa"/>
            </w:tcMar>
            <w:vAlign w:val="center"/>
            <w:hideMark/>
          </w:tcPr>
          <w:p w14:paraId="4A12E69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1365.5 ± 663.1</w:t>
            </w:r>
          </w:p>
        </w:tc>
        <w:tc>
          <w:tcPr>
            <w:tcW w:w="1702" w:type="dxa"/>
            <w:tcBorders>
              <w:top w:val="single" w:sz="4" w:space="0" w:color="auto"/>
            </w:tcBorders>
            <w:shd w:val="clear" w:color="auto" w:fill="auto"/>
            <w:tcMar>
              <w:top w:w="15" w:type="dxa"/>
              <w:left w:w="15" w:type="dxa"/>
              <w:bottom w:w="0" w:type="dxa"/>
              <w:right w:w="15" w:type="dxa"/>
            </w:tcMar>
            <w:vAlign w:val="center"/>
            <w:hideMark/>
          </w:tcPr>
          <w:p w14:paraId="52254BD4"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1500.4 ± 665.1</w:t>
            </w:r>
          </w:p>
        </w:tc>
        <w:tc>
          <w:tcPr>
            <w:tcW w:w="981" w:type="dxa"/>
            <w:tcBorders>
              <w:top w:val="single" w:sz="4" w:space="0" w:color="auto"/>
            </w:tcBorders>
            <w:shd w:val="clear" w:color="auto" w:fill="auto"/>
            <w:tcMar>
              <w:top w:w="15" w:type="dxa"/>
              <w:left w:w="15" w:type="dxa"/>
              <w:bottom w:w="0" w:type="dxa"/>
              <w:right w:w="15" w:type="dxa"/>
            </w:tcMar>
            <w:vAlign w:val="center"/>
            <w:hideMark/>
          </w:tcPr>
          <w:p w14:paraId="7BDAF275" w14:textId="5746EB80"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0.487</w:t>
            </w:r>
          </w:p>
        </w:tc>
      </w:tr>
      <w:tr w:rsidR="001F7C6C" w:rsidRPr="004555DA" w14:paraId="7817FA34" w14:textId="77777777" w:rsidTr="00C66B95">
        <w:trPr>
          <w:trHeight w:val="378"/>
        </w:trPr>
        <w:tc>
          <w:tcPr>
            <w:tcW w:w="2733" w:type="dxa"/>
            <w:shd w:val="clear" w:color="auto" w:fill="auto"/>
            <w:tcMar>
              <w:top w:w="15" w:type="dxa"/>
              <w:left w:w="15" w:type="dxa"/>
              <w:bottom w:w="0" w:type="dxa"/>
              <w:right w:w="15" w:type="dxa"/>
            </w:tcMar>
            <w:vAlign w:val="center"/>
            <w:hideMark/>
          </w:tcPr>
          <w:p w14:paraId="6D802CD4"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carbohydrate, g/day</w:t>
            </w:r>
          </w:p>
        </w:tc>
        <w:tc>
          <w:tcPr>
            <w:tcW w:w="1702" w:type="dxa"/>
            <w:shd w:val="clear" w:color="auto" w:fill="auto"/>
            <w:tcMar>
              <w:top w:w="15" w:type="dxa"/>
              <w:left w:w="15" w:type="dxa"/>
              <w:bottom w:w="0" w:type="dxa"/>
              <w:right w:w="15" w:type="dxa"/>
            </w:tcMar>
            <w:vAlign w:val="center"/>
            <w:hideMark/>
          </w:tcPr>
          <w:p w14:paraId="6944B082"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237.5 ± 107.1</w:t>
            </w:r>
          </w:p>
        </w:tc>
        <w:tc>
          <w:tcPr>
            <w:tcW w:w="1702" w:type="dxa"/>
            <w:shd w:val="clear" w:color="auto" w:fill="auto"/>
            <w:tcMar>
              <w:top w:w="15" w:type="dxa"/>
              <w:left w:w="15" w:type="dxa"/>
              <w:bottom w:w="0" w:type="dxa"/>
              <w:right w:w="15" w:type="dxa"/>
            </w:tcMar>
            <w:vAlign w:val="center"/>
            <w:hideMark/>
          </w:tcPr>
          <w:p w14:paraId="0B344FD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234.9 ± 119.8</w:t>
            </w:r>
          </w:p>
        </w:tc>
        <w:tc>
          <w:tcPr>
            <w:tcW w:w="1702" w:type="dxa"/>
            <w:shd w:val="clear" w:color="auto" w:fill="auto"/>
            <w:tcMar>
              <w:top w:w="15" w:type="dxa"/>
              <w:left w:w="15" w:type="dxa"/>
              <w:bottom w:w="0" w:type="dxa"/>
              <w:right w:w="15" w:type="dxa"/>
            </w:tcMar>
            <w:vAlign w:val="center"/>
            <w:hideMark/>
          </w:tcPr>
          <w:p w14:paraId="70E85C3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254.5 ± 111.3</w:t>
            </w:r>
          </w:p>
        </w:tc>
        <w:tc>
          <w:tcPr>
            <w:tcW w:w="981" w:type="dxa"/>
            <w:shd w:val="clear" w:color="auto" w:fill="auto"/>
            <w:tcMar>
              <w:top w:w="15" w:type="dxa"/>
              <w:left w:w="15" w:type="dxa"/>
              <w:bottom w:w="0" w:type="dxa"/>
              <w:right w:w="15" w:type="dxa"/>
            </w:tcMar>
            <w:vAlign w:val="center"/>
            <w:hideMark/>
          </w:tcPr>
          <w:p w14:paraId="1D26E47B" w14:textId="56C55F2C"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0.487</w:t>
            </w:r>
          </w:p>
        </w:tc>
      </w:tr>
      <w:tr w:rsidR="001F7C6C" w:rsidRPr="004555DA" w14:paraId="63D8EA97" w14:textId="77777777" w:rsidTr="00C66B95">
        <w:trPr>
          <w:trHeight w:val="378"/>
        </w:trPr>
        <w:tc>
          <w:tcPr>
            <w:tcW w:w="2733" w:type="dxa"/>
            <w:shd w:val="clear" w:color="auto" w:fill="auto"/>
            <w:tcMar>
              <w:top w:w="15" w:type="dxa"/>
              <w:left w:w="15" w:type="dxa"/>
              <w:bottom w:w="0" w:type="dxa"/>
              <w:right w:w="15" w:type="dxa"/>
            </w:tcMar>
            <w:vAlign w:val="center"/>
            <w:hideMark/>
          </w:tcPr>
          <w:p w14:paraId="4AE68D95"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fat, g/day</w:t>
            </w:r>
          </w:p>
        </w:tc>
        <w:tc>
          <w:tcPr>
            <w:tcW w:w="1702" w:type="dxa"/>
            <w:shd w:val="clear" w:color="auto" w:fill="auto"/>
            <w:tcMar>
              <w:top w:w="15" w:type="dxa"/>
              <w:left w:w="15" w:type="dxa"/>
              <w:bottom w:w="0" w:type="dxa"/>
              <w:right w:w="15" w:type="dxa"/>
            </w:tcMar>
            <w:vAlign w:val="center"/>
            <w:hideMark/>
          </w:tcPr>
          <w:p w14:paraId="09D26E2A"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29.2 ± 19.8</w:t>
            </w:r>
          </w:p>
        </w:tc>
        <w:tc>
          <w:tcPr>
            <w:tcW w:w="1702" w:type="dxa"/>
            <w:shd w:val="clear" w:color="auto" w:fill="auto"/>
            <w:tcMar>
              <w:top w:w="15" w:type="dxa"/>
              <w:left w:w="15" w:type="dxa"/>
              <w:bottom w:w="0" w:type="dxa"/>
              <w:right w:w="15" w:type="dxa"/>
            </w:tcMar>
            <w:vAlign w:val="center"/>
            <w:hideMark/>
          </w:tcPr>
          <w:p w14:paraId="68D8FD5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25.0 ± 16.9</w:t>
            </w:r>
          </w:p>
        </w:tc>
        <w:tc>
          <w:tcPr>
            <w:tcW w:w="1702" w:type="dxa"/>
            <w:shd w:val="clear" w:color="auto" w:fill="auto"/>
            <w:tcMar>
              <w:top w:w="15" w:type="dxa"/>
              <w:left w:w="15" w:type="dxa"/>
              <w:bottom w:w="0" w:type="dxa"/>
              <w:right w:w="15" w:type="dxa"/>
            </w:tcMar>
            <w:vAlign w:val="center"/>
            <w:hideMark/>
          </w:tcPr>
          <w:p w14:paraId="677C3318"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29.4 ± 18.9</w:t>
            </w:r>
          </w:p>
        </w:tc>
        <w:tc>
          <w:tcPr>
            <w:tcW w:w="981" w:type="dxa"/>
            <w:shd w:val="clear" w:color="auto" w:fill="auto"/>
            <w:tcMar>
              <w:top w:w="15" w:type="dxa"/>
              <w:left w:w="15" w:type="dxa"/>
              <w:bottom w:w="0" w:type="dxa"/>
              <w:right w:w="15" w:type="dxa"/>
            </w:tcMar>
            <w:vAlign w:val="center"/>
            <w:hideMark/>
          </w:tcPr>
          <w:p w14:paraId="22C111E9" w14:textId="6CE0F45F"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0.230</w:t>
            </w:r>
          </w:p>
        </w:tc>
      </w:tr>
      <w:tr w:rsidR="001F7C6C" w:rsidRPr="004555DA" w14:paraId="3A312F04" w14:textId="77777777" w:rsidTr="00C66B95">
        <w:trPr>
          <w:trHeight w:val="378"/>
        </w:trPr>
        <w:tc>
          <w:tcPr>
            <w:tcW w:w="2733" w:type="dxa"/>
            <w:shd w:val="clear" w:color="auto" w:fill="auto"/>
            <w:tcMar>
              <w:top w:w="15" w:type="dxa"/>
              <w:left w:w="15" w:type="dxa"/>
              <w:bottom w:w="0" w:type="dxa"/>
              <w:right w:w="15" w:type="dxa"/>
            </w:tcMar>
            <w:vAlign w:val="center"/>
            <w:hideMark/>
          </w:tcPr>
          <w:p w14:paraId="13AC7F9F"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protein, g/day</w:t>
            </w:r>
          </w:p>
        </w:tc>
        <w:tc>
          <w:tcPr>
            <w:tcW w:w="1702" w:type="dxa"/>
            <w:shd w:val="clear" w:color="auto" w:fill="auto"/>
            <w:tcMar>
              <w:top w:w="15" w:type="dxa"/>
              <w:left w:w="15" w:type="dxa"/>
              <w:bottom w:w="0" w:type="dxa"/>
              <w:right w:w="15" w:type="dxa"/>
            </w:tcMar>
            <w:vAlign w:val="center"/>
            <w:hideMark/>
          </w:tcPr>
          <w:p w14:paraId="5BA8A54A"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49.6 ± 25.9</w:t>
            </w:r>
          </w:p>
        </w:tc>
        <w:tc>
          <w:tcPr>
            <w:tcW w:w="1702" w:type="dxa"/>
            <w:shd w:val="clear" w:color="auto" w:fill="auto"/>
            <w:tcMar>
              <w:top w:w="15" w:type="dxa"/>
              <w:left w:w="15" w:type="dxa"/>
              <w:bottom w:w="0" w:type="dxa"/>
              <w:right w:w="15" w:type="dxa"/>
            </w:tcMar>
            <w:vAlign w:val="center"/>
            <w:hideMark/>
          </w:tcPr>
          <w:p w14:paraId="6FDA005D"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45.8 ± 23.3</w:t>
            </w:r>
          </w:p>
        </w:tc>
        <w:tc>
          <w:tcPr>
            <w:tcW w:w="1702" w:type="dxa"/>
            <w:shd w:val="clear" w:color="auto" w:fill="auto"/>
            <w:tcMar>
              <w:top w:w="15" w:type="dxa"/>
              <w:left w:w="15" w:type="dxa"/>
              <w:bottom w:w="0" w:type="dxa"/>
              <w:right w:w="15" w:type="dxa"/>
            </w:tcMar>
            <w:vAlign w:val="center"/>
            <w:hideMark/>
          </w:tcPr>
          <w:p w14:paraId="194CF2FD"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50.59 ± 24.3</w:t>
            </w:r>
          </w:p>
        </w:tc>
        <w:tc>
          <w:tcPr>
            <w:tcW w:w="981" w:type="dxa"/>
            <w:shd w:val="clear" w:color="auto" w:fill="auto"/>
            <w:tcMar>
              <w:top w:w="15" w:type="dxa"/>
              <w:left w:w="15" w:type="dxa"/>
              <w:bottom w:w="0" w:type="dxa"/>
              <w:right w:w="15" w:type="dxa"/>
            </w:tcMar>
            <w:vAlign w:val="center"/>
            <w:hideMark/>
          </w:tcPr>
          <w:p w14:paraId="3812897C" w14:textId="0D0BD51B"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0.464</w:t>
            </w:r>
          </w:p>
        </w:tc>
      </w:tr>
      <w:tr w:rsidR="001F7C6C" w:rsidRPr="004555DA" w14:paraId="5BBD0935" w14:textId="77777777" w:rsidTr="00C66B95">
        <w:trPr>
          <w:trHeight w:val="378"/>
        </w:trPr>
        <w:tc>
          <w:tcPr>
            <w:tcW w:w="2733" w:type="dxa"/>
            <w:shd w:val="clear" w:color="auto" w:fill="auto"/>
            <w:tcMar>
              <w:top w:w="15" w:type="dxa"/>
              <w:left w:w="15" w:type="dxa"/>
              <w:bottom w:w="0" w:type="dxa"/>
              <w:right w:w="15" w:type="dxa"/>
            </w:tcMar>
            <w:vAlign w:val="center"/>
            <w:hideMark/>
          </w:tcPr>
          <w:p w14:paraId="0BE5858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Cholesterol, mg/day</w:t>
            </w:r>
          </w:p>
        </w:tc>
        <w:tc>
          <w:tcPr>
            <w:tcW w:w="1702" w:type="dxa"/>
            <w:shd w:val="clear" w:color="auto" w:fill="auto"/>
            <w:tcMar>
              <w:top w:w="15" w:type="dxa"/>
              <w:left w:w="15" w:type="dxa"/>
              <w:bottom w:w="0" w:type="dxa"/>
              <w:right w:w="15" w:type="dxa"/>
            </w:tcMar>
            <w:vAlign w:val="center"/>
            <w:hideMark/>
          </w:tcPr>
          <w:p w14:paraId="7F40FE35"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178.4 ± 152.3</w:t>
            </w:r>
          </w:p>
        </w:tc>
        <w:tc>
          <w:tcPr>
            <w:tcW w:w="1702" w:type="dxa"/>
            <w:shd w:val="clear" w:color="auto" w:fill="auto"/>
            <w:tcMar>
              <w:top w:w="15" w:type="dxa"/>
              <w:left w:w="15" w:type="dxa"/>
              <w:bottom w:w="0" w:type="dxa"/>
              <w:right w:w="15" w:type="dxa"/>
            </w:tcMar>
            <w:vAlign w:val="center"/>
            <w:hideMark/>
          </w:tcPr>
          <w:p w14:paraId="7B6539DA"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154.8 ± 115.2</w:t>
            </w:r>
          </w:p>
        </w:tc>
        <w:tc>
          <w:tcPr>
            <w:tcW w:w="1702" w:type="dxa"/>
            <w:shd w:val="clear" w:color="auto" w:fill="auto"/>
            <w:tcMar>
              <w:top w:w="15" w:type="dxa"/>
              <w:left w:w="15" w:type="dxa"/>
              <w:bottom w:w="0" w:type="dxa"/>
              <w:right w:w="15" w:type="dxa"/>
            </w:tcMar>
            <w:vAlign w:val="center"/>
            <w:hideMark/>
          </w:tcPr>
          <w:p w14:paraId="7569511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181.1 ± 127.1</w:t>
            </w:r>
          </w:p>
        </w:tc>
        <w:tc>
          <w:tcPr>
            <w:tcW w:w="981" w:type="dxa"/>
            <w:shd w:val="clear" w:color="auto" w:fill="auto"/>
            <w:tcMar>
              <w:top w:w="15" w:type="dxa"/>
              <w:left w:w="15" w:type="dxa"/>
              <w:bottom w:w="0" w:type="dxa"/>
              <w:right w:w="15" w:type="dxa"/>
            </w:tcMar>
            <w:vAlign w:val="center"/>
            <w:hideMark/>
          </w:tcPr>
          <w:p w14:paraId="6459952F" w14:textId="19FB1233"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0.444</w:t>
            </w:r>
          </w:p>
        </w:tc>
      </w:tr>
      <w:tr w:rsidR="001F7C6C" w:rsidRPr="004555DA" w14:paraId="6B861318" w14:textId="77777777" w:rsidTr="00C66B95">
        <w:trPr>
          <w:trHeight w:val="378"/>
        </w:trPr>
        <w:tc>
          <w:tcPr>
            <w:tcW w:w="2733" w:type="dxa"/>
            <w:shd w:val="clear" w:color="auto" w:fill="auto"/>
            <w:tcMar>
              <w:top w:w="15" w:type="dxa"/>
              <w:left w:w="15" w:type="dxa"/>
              <w:bottom w:w="0" w:type="dxa"/>
              <w:right w:w="15" w:type="dxa"/>
            </w:tcMar>
            <w:vAlign w:val="center"/>
            <w:hideMark/>
          </w:tcPr>
          <w:p w14:paraId="7E172DF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Fiber, g/day</w:t>
            </w:r>
          </w:p>
        </w:tc>
        <w:tc>
          <w:tcPr>
            <w:tcW w:w="1702" w:type="dxa"/>
            <w:shd w:val="clear" w:color="auto" w:fill="auto"/>
            <w:tcMar>
              <w:top w:w="15" w:type="dxa"/>
              <w:left w:w="15" w:type="dxa"/>
              <w:bottom w:w="0" w:type="dxa"/>
              <w:right w:w="15" w:type="dxa"/>
            </w:tcMar>
            <w:vAlign w:val="center"/>
            <w:hideMark/>
          </w:tcPr>
          <w:p w14:paraId="5A4C26CA"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3.7 ± 2.3</w:t>
            </w:r>
          </w:p>
        </w:tc>
        <w:tc>
          <w:tcPr>
            <w:tcW w:w="1702" w:type="dxa"/>
            <w:shd w:val="clear" w:color="auto" w:fill="auto"/>
            <w:tcMar>
              <w:top w:w="15" w:type="dxa"/>
              <w:left w:w="15" w:type="dxa"/>
              <w:bottom w:w="0" w:type="dxa"/>
              <w:right w:w="15" w:type="dxa"/>
            </w:tcMar>
            <w:vAlign w:val="center"/>
            <w:hideMark/>
          </w:tcPr>
          <w:p w14:paraId="3678F22B"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3.5 ± 2.3</w:t>
            </w:r>
          </w:p>
        </w:tc>
        <w:tc>
          <w:tcPr>
            <w:tcW w:w="1702" w:type="dxa"/>
            <w:shd w:val="clear" w:color="auto" w:fill="auto"/>
            <w:tcMar>
              <w:top w:w="15" w:type="dxa"/>
              <w:left w:w="15" w:type="dxa"/>
              <w:bottom w:w="0" w:type="dxa"/>
              <w:right w:w="15" w:type="dxa"/>
            </w:tcMar>
            <w:vAlign w:val="center"/>
            <w:hideMark/>
          </w:tcPr>
          <w:p w14:paraId="58EF2CD8"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3.8 ± 1.8</w:t>
            </w:r>
          </w:p>
        </w:tc>
        <w:tc>
          <w:tcPr>
            <w:tcW w:w="981" w:type="dxa"/>
            <w:shd w:val="clear" w:color="auto" w:fill="auto"/>
            <w:tcMar>
              <w:top w:w="15" w:type="dxa"/>
              <w:left w:w="15" w:type="dxa"/>
              <w:bottom w:w="0" w:type="dxa"/>
              <w:right w:w="15" w:type="dxa"/>
            </w:tcMar>
            <w:vAlign w:val="center"/>
            <w:hideMark/>
          </w:tcPr>
          <w:p w14:paraId="6A983069" w14:textId="4FF5FA81"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0.702</w:t>
            </w:r>
          </w:p>
        </w:tc>
      </w:tr>
      <w:tr w:rsidR="001F7C6C" w:rsidRPr="004555DA" w14:paraId="26829041" w14:textId="77777777" w:rsidTr="00C66B95">
        <w:trPr>
          <w:trHeight w:val="378"/>
        </w:trPr>
        <w:tc>
          <w:tcPr>
            <w:tcW w:w="2733" w:type="dxa"/>
            <w:shd w:val="clear" w:color="auto" w:fill="auto"/>
            <w:tcMar>
              <w:top w:w="15" w:type="dxa"/>
              <w:left w:w="15" w:type="dxa"/>
              <w:bottom w:w="0" w:type="dxa"/>
              <w:right w:w="15" w:type="dxa"/>
            </w:tcMar>
            <w:vAlign w:val="center"/>
            <w:hideMark/>
          </w:tcPr>
          <w:p w14:paraId="11976F97"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Folate, mg/day</w:t>
            </w:r>
          </w:p>
        </w:tc>
        <w:tc>
          <w:tcPr>
            <w:tcW w:w="1702" w:type="dxa"/>
            <w:shd w:val="clear" w:color="auto" w:fill="auto"/>
            <w:tcMar>
              <w:top w:w="15" w:type="dxa"/>
              <w:left w:w="15" w:type="dxa"/>
              <w:bottom w:w="0" w:type="dxa"/>
              <w:right w:w="15" w:type="dxa"/>
            </w:tcMar>
            <w:vAlign w:val="center"/>
            <w:hideMark/>
          </w:tcPr>
          <w:p w14:paraId="79A0AEA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151.8 ± 102.2</w:t>
            </w:r>
          </w:p>
        </w:tc>
        <w:tc>
          <w:tcPr>
            <w:tcW w:w="1702" w:type="dxa"/>
            <w:shd w:val="clear" w:color="auto" w:fill="auto"/>
            <w:tcMar>
              <w:top w:w="15" w:type="dxa"/>
              <w:left w:w="15" w:type="dxa"/>
              <w:bottom w:w="0" w:type="dxa"/>
              <w:right w:w="15" w:type="dxa"/>
            </w:tcMar>
            <w:vAlign w:val="center"/>
            <w:hideMark/>
          </w:tcPr>
          <w:p w14:paraId="2459ECE1"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137.5 ± 94.4</w:t>
            </w:r>
          </w:p>
        </w:tc>
        <w:tc>
          <w:tcPr>
            <w:tcW w:w="1702" w:type="dxa"/>
            <w:shd w:val="clear" w:color="auto" w:fill="auto"/>
            <w:tcMar>
              <w:top w:w="15" w:type="dxa"/>
              <w:left w:w="15" w:type="dxa"/>
              <w:bottom w:w="0" w:type="dxa"/>
              <w:right w:w="15" w:type="dxa"/>
            </w:tcMar>
            <w:vAlign w:val="center"/>
            <w:hideMark/>
          </w:tcPr>
          <w:p w14:paraId="28E138E6"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153.2 ± 81.2</w:t>
            </w:r>
          </w:p>
        </w:tc>
        <w:tc>
          <w:tcPr>
            <w:tcW w:w="981" w:type="dxa"/>
            <w:shd w:val="clear" w:color="auto" w:fill="auto"/>
            <w:tcMar>
              <w:top w:w="15" w:type="dxa"/>
              <w:left w:w="15" w:type="dxa"/>
              <w:bottom w:w="0" w:type="dxa"/>
              <w:right w:w="15" w:type="dxa"/>
            </w:tcMar>
            <w:vAlign w:val="center"/>
            <w:hideMark/>
          </w:tcPr>
          <w:p w14:paraId="63509C21" w14:textId="2A9807BF"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0.524</w:t>
            </w:r>
          </w:p>
        </w:tc>
      </w:tr>
      <w:tr w:rsidR="001F7C6C" w:rsidRPr="004555DA" w14:paraId="60CFBE3E" w14:textId="77777777" w:rsidTr="00C66B95">
        <w:trPr>
          <w:trHeight w:val="378"/>
        </w:trPr>
        <w:tc>
          <w:tcPr>
            <w:tcW w:w="2733" w:type="dxa"/>
            <w:shd w:val="clear" w:color="auto" w:fill="auto"/>
            <w:tcMar>
              <w:top w:w="15" w:type="dxa"/>
              <w:left w:w="15" w:type="dxa"/>
              <w:bottom w:w="0" w:type="dxa"/>
              <w:right w:w="15" w:type="dxa"/>
            </w:tcMar>
            <w:vAlign w:val="center"/>
            <w:hideMark/>
          </w:tcPr>
          <w:p w14:paraId="79E4E786"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phosphorus, mg/day</w:t>
            </w:r>
          </w:p>
        </w:tc>
        <w:tc>
          <w:tcPr>
            <w:tcW w:w="1702" w:type="dxa"/>
            <w:shd w:val="clear" w:color="auto" w:fill="auto"/>
            <w:tcMar>
              <w:top w:w="15" w:type="dxa"/>
              <w:left w:w="15" w:type="dxa"/>
              <w:bottom w:w="0" w:type="dxa"/>
              <w:right w:w="15" w:type="dxa"/>
            </w:tcMar>
            <w:vAlign w:val="center"/>
            <w:hideMark/>
          </w:tcPr>
          <w:p w14:paraId="5D92FEAF"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720.4 ± 350.9</w:t>
            </w:r>
          </w:p>
        </w:tc>
        <w:tc>
          <w:tcPr>
            <w:tcW w:w="1702" w:type="dxa"/>
            <w:shd w:val="clear" w:color="auto" w:fill="auto"/>
            <w:tcMar>
              <w:top w:w="15" w:type="dxa"/>
              <w:left w:w="15" w:type="dxa"/>
              <w:bottom w:w="0" w:type="dxa"/>
              <w:right w:w="15" w:type="dxa"/>
            </w:tcMar>
            <w:vAlign w:val="center"/>
            <w:hideMark/>
          </w:tcPr>
          <w:p w14:paraId="6B4154EA"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666.3 ± 318.0</w:t>
            </w:r>
          </w:p>
        </w:tc>
        <w:tc>
          <w:tcPr>
            <w:tcW w:w="1702" w:type="dxa"/>
            <w:shd w:val="clear" w:color="auto" w:fill="auto"/>
            <w:tcMar>
              <w:top w:w="15" w:type="dxa"/>
              <w:left w:w="15" w:type="dxa"/>
              <w:bottom w:w="0" w:type="dxa"/>
              <w:right w:w="15" w:type="dxa"/>
            </w:tcMar>
            <w:vAlign w:val="center"/>
            <w:hideMark/>
          </w:tcPr>
          <w:p w14:paraId="446390F0"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754.9 ± 371.6</w:t>
            </w:r>
          </w:p>
        </w:tc>
        <w:tc>
          <w:tcPr>
            <w:tcW w:w="981" w:type="dxa"/>
            <w:shd w:val="clear" w:color="auto" w:fill="auto"/>
            <w:tcMar>
              <w:top w:w="15" w:type="dxa"/>
              <w:left w:w="15" w:type="dxa"/>
              <w:bottom w:w="0" w:type="dxa"/>
              <w:right w:w="15" w:type="dxa"/>
            </w:tcMar>
            <w:vAlign w:val="center"/>
            <w:hideMark/>
          </w:tcPr>
          <w:p w14:paraId="3ABC31D0" w14:textId="256DFEE8"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0.333</w:t>
            </w:r>
          </w:p>
        </w:tc>
      </w:tr>
      <w:tr w:rsidR="001F7C6C" w:rsidRPr="004555DA" w14:paraId="09C75AD5" w14:textId="77777777" w:rsidTr="00C66B95">
        <w:trPr>
          <w:trHeight w:val="378"/>
        </w:trPr>
        <w:tc>
          <w:tcPr>
            <w:tcW w:w="2733" w:type="dxa"/>
            <w:shd w:val="clear" w:color="auto" w:fill="auto"/>
            <w:tcMar>
              <w:top w:w="15" w:type="dxa"/>
              <w:left w:w="15" w:type="dxa"/>
              <w:bottom w:w="0" w:type="dxa"/>
              <w:right w:w="15" w:type="dxa"/>
            </w:tcMar>
            <w:vAlign w:val="center"/>
            <w:hideMark/>
          </w:tcPr>
          <w:p w14:paraId="1CC24DE2"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Retinol, ug/day</w:t>
            </w:r>
          </w:p>
        </w:tc>
        <w:tc>
          <w:tcPr>
            <w:tcW w:w="1702" w:type="dxa"/>
            <w:shd w:val="clear" w:color="auto" w:fill="auto"/>
            <w:tcMar>
              <w:top w:w="15" w:type="dxa"/>
              <w:left w:w="15" w:type="dxa"/>
              <w:bottom w:w="0" w:type="dxa"/>
              <w:right w:w="15" w:type="dxa"/>
            </w:tcMar>
            <w:vAlign w:val="center"/>
            <w:hideMark/>
          </w:tcPr>
          <w:p w14:paraId="65328628"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73.6 ± 61.7</w:t>
            </w:r>
          </w:p>
        </w:tc>
        <w:tc>
          <w:tcPr>
            <w:tcW w:w="1702" w:type="dxa"/>
            <w:shd w:val="clear" w:color="auto" w:fill="auto"/>
            <w:tcMar>
              <w:top w:w="15" w:type="dxa"/>
              <w:left w:w="15" w:type="dxa"/>
              <w:bottom w:w="0" w:type="dxa"/>
              <w:right w:w="15" w:type="dxa"/>
            </w:tcMar>
            <w:vAlign w:val="center"/>
            <w:hideMark/>
          </w:tcPr>
          <w:p w14:paraId="5E518911"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62.4 ± 47.2</w:t>
            </w:r>
          </w:p>
        </w:tc>
        <w:tc>
          <w:tcPr>
            <w:tcW w:w="1702" w:type="dxa"/>
            <w:shd w:val="clear" w:color="auto" w:fill="auto"/>
            <w:tcMar>
              <w:top w:w="15" w:type="dxa"/>
              <w:left w:w="15" w:type="dxa"/>
              <w:bottom w:w="0" w:type="dxa"/>
              <w:right w:w="15" w:type="dxa"/>
            </w:tcMar>
            <w:vAlign w:val="center"/>
            <w:hideMark/>
          </w:tcPr>
          <w:p w14:paraId="79043786"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81.3 ± 64.3</w:t>
            </w:r>
          </w:p>
        </w:tc>
        <w:tc>
          <w:tcPr>
            <w:tcW w:w="981" w:type="dxa"/>
            <w:shd w:val="clear" w:color="auto" w:fill="auto"/>
            <w:tcMar>
              <w:top w:w="15" w:type="dxa"/>
              <w:left w:w="15" w:type="dxa"/>
              <w:bottom w:w="0" w:type="dxa"/>
              <w:right w:w="15" w:type="dxa"/>
            </w:tcMar>
            <w:vAlign w:val="center"/>
            <w:hideMark/>
          </w:tcPr>
          <w:p w14:paraId="31D31487" w14:textId="07D8DFEE"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0.194</w:t>
            </w:r>
          </w:p>
        </w:tc>
      </w:tr>
      <w:tr w:rsidR="001F7C6C" w:rsidRPr="004555DA" w14:paraId="5E0ABA33" w14:textId="77777777" w:rsidTr="00C66B95">
        <w:trPr>
          <w:trHeight w:val="378"/>
        </w:trPr>
        <w:tc>
          <w:tcPr>
            <w:tcW w:w="2733" w:type="dxa"/>
            <w:shd w:val="clear" w:color="auto" w:fill="auto"/>
            <w:tcMar>
              <w:top w:w="15" w:type="dxa"/>
              <w:left w:w="15" w:type="dxa"/>
              <w:bottom w:w="0" w:type="dxa"/>
              <w:right w:w="15" w:type="dxa"/>
            </w:tcMar>
            <w:vAlign w:val="center"/>
            <w:hideMark/>
          </w:tcPr>
          <w:p w14:paraId="3FF4646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sodium, mg/day</w:t>
            </w:r>
          </w:p>
        </w:tc>
        <w:tc>
          <w:tcPr>
            <w:tcW w:w="1702" w:type="dxa"/>
            <w:shd w:val="clear" w:color="auto" w:fill="auto"/>
            <w:tcMar>
              <w:top w:w="15" w:type="dxa"/>
              <w:left w:w="15" w:type="dxa"/>
              <w:bottom w:w="0" w:type="dxa"/>
              <w:right w:w="15" w:type="dxa"/>
            </w:tcMar>
            <w:vAlign w:val="center"/>
            <w:hideMark/>
          </w:tcPr>
          <w:p w14:paraId="1DBCF17B"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1650.5 ± 1082.3</w:t>
            </w:r>
          </w:p>
        </w:tc>
        <w:tc>
          <w:tcPr>
            <w:tcW w:w="1702" w:type="dxa"/>
            <w:shd w:val="clear" w:color="auto" w:fill="auto"/>
            <w:tcMar>
              <w:top w:w="15" w:type="dxa"/>
              <w:left w:w="15" w:type="dxa"/>
              <w:bottom w:w="0" w:type="dxa"/>
              <w:right w:w="15" w:type="dxa"/>
            </w:tcMar>
            <w:vAlign w:val="center"/>
            <w:hideMark/>
          </w:tcPr>
          <w:p w14:paraId="7488AD4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1505.4 ± 1072.6</w:t>
            </w:r>
          </w:p>
        </w:tc>
        <w:tc>
          <w:tcPr>
            <w:tcW w:w="1702" w:type="dxa"/>
            <w:shd w:val="clear" w:color="auto" w:fill="auto"/>
            <w:tcMar>
              <w:top w:w="15" w:type="dxa"/>
              <w:left w:w="15" w:type="dxa"/>
              <w:bottom w:w="0" w:type="dxa"/>
              <w:right w:w="15" w:type="dxa"/>
            </w:tcMar>
            <w:vAlign w:val="center"/>
            <w:hideMark/>
          </w:tcPr>
          <w:p w14:paraId="3A6CACCD"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1583.6 ± 878.0</w:t>
            </w:r>
          </w:p>
        </w:tc>
        <w:tc>
          <w:tcPr>
            <w:tcW w:w="981" w:type="dxa"/>
            <w:shd w:val="clear" w:color="auto" w:fill="auto"/>
            <w:tcMar>
              <w:top w:w="15" w:type="dxa"/>
              <w:left w:w="15" w:type="dxa"/>
              <w:bottom w:w="0" w:type="dxa"/>
              <w:right w:w="15" w:type="dxa"/>
            </w:tcMar>
            <w:vAlign w:val="center"/>
            <w:hideMark/>
          </w:tcPr>
          <w:p w14:paraId="762E01DF" w14:textId="2613522D"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0.536</w:t>
            </w:r>
          </w:p>
        </w:tc>
      </w:tr>
      <w:tr w:rsidR="001F7C6C" w:rsidRPr="004555DA" w14:paraId="0DF7E8BD" w14:textId="77777777" w:rsidTr="00C66B95">
        <w:trPr>
          <w:trHeight w:val="378"/>
        </w:trPr>
        <w:tc>
          <w:tcPr>
            <w:tcW w:w="2733" w:type="dxa"/>
            <w:shd w:val="clear" w:color="auto" w:fill="auto"/>
            <w:tcMar>
              <w:top w:w="15" w:type="dxa"/>
              <w:left w:w="15" w:type="dxa"/>
              <w:bottom w:w="0" w:type="dxa"/>
              <w:right w:w="15" w:type="dxa"/>
            </w:tcMar>
            <w:vAlign w:val="center"/>
            <w:hideMark/>
          </w:tcPr>
          <w:p w14:paraId="5C962FD6"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Vitamin A, ug/day</w:t>
            </w:r>
          </w:p>
        </w:tc>
        <w:tc>
          <w:tcPr>
            <w:tcW w:w="1702" w:type="dxa"/>
            <w:shd w:val="clear" w:color="auto" w:fill="auto"/>
            <w:tcMar>
              <w:top w:w="15" w:type="dxa"/>
              <w:left w:w="15" w:type="dxa"/>
              <w:bottom w:w="0" w:type="dxa"/>
              <w:right w:w="15" w:type="dxa"/>
            </w:tcMar>
            <w:vAlign w:val="center"/>
            <w:hideMark/>
          </w:tcPr>
          <w:p w14:paraId="08B60182"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336.3 ± 259.0</w:t>
            </w:r>
          </w:p>
        </w:tc>
        <w:tc>
          <w:tcPr>
            <w:tcW w:w="1702" w:type="dxa"/>
            <w:shd w:val="clear" w:color="auto" w:fill="auto"/>
            <w:tcMar>
              <w:top w:w="15" w:type="dxa"/>
              <w:left w:w="15" w:type="dxa"/>
              <w:bottom w:w="0" w:type="dxa"/>
              <w:right w:w="15" w:type="dxa"/>
            </w:tcMar>
            <w:vAlign w:val="center"/>
            <w:hideMark/>
          </w:tcPr>
          <w:p w14:paraId="496486C2"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318.2 ± 232.9</w:t>
            </w:r>
          </w:p>
        </w:tc>
        <w:tc>
          <w:tcPr>
            <w:tcW w:w="1702" w:type="dxa"/>
            <w:shd w:val="clear" w:color="auto" w:fill="auto"/>
            <w:tcMar>
              <w:top w:w="15" w:type="dxa"/>
              <w:left w:w="15" w:type="dxa"/>
              <w:bottom w:w="0" w:type="dxa"/>
              <w:right w:w="15" w:type="dxa"/>
            </w:tcMar>
            <w:vAlign w:val="center"/>
            <w:hideMark/>
          </w:tcPr>
          <w:p w14:paraId="30929299"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336.0 ± 197.8</w:t>
            </w:r>
          </w:p>
        </w:tc>
        <w:tc>
          <w:tcPr>
            <w:tcW w:w="981" w:type="dxa"/>
            <w:shd w:val="clear" w:color="auto" w:fill="auto"/>
            <w:tcMar>
              <w:top w:w="15" w:type="dxa"/>
              <w:left w:w="15" w:type="dxa"/>
              <w:bottom w:w="0" w:type="dxa"/>
              <w:right w:w="15" w:type="dxa"/>
            </w:tcMar>
            <w:vAlign w:val="center"/>
            <w:hideMark/>
          </w:tcPr>
          <w:p w14:paraId="020ED46C" w14:textId="4E446256"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0.854</w:t>
            </w:r>
          </w:p>
        </w:tc>
      </w:tr>
      <w:tr w:rsidR="001F7C6C" w:rsidRPr="004555DA" w14:paraId="4A694AC0" w14:textId="77777777" w:rsidTr="00C66B95">
        <w:trPr>
          <w:trHeight w:val="378"/>
        </w:trPr>
        <w:tc>
          <w:tcPr>
            <w:tcW w:w="2733" w:type="dxa"/>
            <w:shd w:val="clear" w:color="auto" w:fill="auto"/>
            <w:tcMar>
              <w:top w:w="15" w:type="dxa"/>
              <w:left w:w="15" w:type="dxa"/>
              <w:bottom w:w="0" w:type="dxa"/>
              <w:right w:w="15" w:type="dxa"/>
            </w:tcMar>
            <w:vAlign w:val="center"/>
            <w:hideMark/>
          </w:tcPr>
          <w:p w14:paraId="7AA8424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Vitamin B1, mg/day</w:t>
            </w:r>
          </w:p>
        </w:tc>
        <w:tc>
          <w:tcPr>
            <w:tcW w:w="1702" w:type="dxa"/>
            <w:shd w:val="clear" w:color="auto" w:fill="auto"/>
            <w:tcMar>
              <w:top w:w="15" w:type="dxa"/>
              <w:left w:w="15" w:type="dxa"/>
              <w:bottom w:w="0" w:type="dxa"/>
              <w:right w:w="15" w:type="dxa"/>
            </w:tcMar>
            <w:vAlign w:val="center"/>
            <w:hideMark/>
          </w:tcPr>
          <w:p w14:paraId="240451D3"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0.850 ± 0.468</w:t>
            </w:r>
          </w:p>
        </w:tc>
        <w:tc>
          <w:tcPr>
            <w:tcW w:w="1702" w:type="dxa"/>
            <w:shd w:val="clear" w:color="auto" w:fill="auto"/>
            <w:tcMar>
              <w:top w:w="15" w:type="dxa"/>
              <w:left w:w="15" w:type="dxa"/>
              <w:bottom w:w="0" w:type="dxa"/>
              <w:right w:w="15" w:type="dxa"/>
            </w:tcMar>
            <w:vAlign w:val="center"/>
            <w:hideMark/>
          </w:tcPr>
          <w:p w14:paraId="54C3DB00"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0.779 ± 0.422</w:t>
            </w:r>
          </w:p>
        </w:tc>
        <w:tc>
          <w:tcPr>
            <w:tcW w:w="1702" w:type="dxa"/>
            <w:shd w:val="clear" w:color="auto" w:fill="auto"/>
            <w:tcMar>
              <w:top w:w="15" w:type="dxa"/>
              <w:left w:w="15" w:type="dxa"/>
              <w:bottom w:w="0" w:type="dxa"/>
              <w:right w:w="15" w:type="dxa"/>
            </w:tcMar>
            <w:vAlign w:val="center"/>
            <w:hideMark/>
          </w:tcPr>
          <w:p w14:paraId="78B5768C"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0.865 ± 0.425</w:t>
            </w:r>
          </w:p>
        </w:tc>
        <w:tc>
          <w:tcPr>
            <w:tcW w:w="981" w:type="dxa"/>
            <w:shd w:val="clear" w:color="auto" w:fill="auto"/>
            <w:tcMar>
              <w:top w:w="15" w:type="dxa"/>
              <w:left w:w="15" w:type="dxa"/>
              <w:bottom w:w="0" w:type="dxa"/>
              <w:right w:w="15" w:type="dxa"/>
            </w:tcMar>
            <w:vAlign w:val="center"/>
            <w:hideMark/>
          </w:tcPr>
          <w:p w14:paraId="6491DA1C" w14:textId="307D5CDA"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0.462</w:t>
            </w:r>
          </w:p>
        </w:tc>
      </w:tr>
      <w:tr w:rsidR="001F7C6C" w:rsidRPr="004555DA" w14:paraId="4D459918" w14:textId="77777777" w:rsidTr="00C66B95">
        <w:trPr>
          <w:trHeight w:val="378"/>
        </w:trPr>
        <w:tc>
          <w:tcPr>
            <w:tcW w:w="2733" w:type="dxa"/>
            <w:shd w:val="clear" w:color="auto" w:fill="auto"/>
            <w:tcMar>
              <w:top w:w="15" w:type="dxa"/>
              <w:left w:w="15" w:type="dxa"/>
              <w:bottom w:w="0" w:type="dxa"/>
              <w:right w:w="15" w:type="dxa"/>
            </w:tcMar>
            <w:vAlign w:val="center"/>
            <w:hideMark/>
          </w:tcPr>
          <w:p w14:paraId="446574C7"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Vitamin C, mg/day</w:t>
            </w:r>
          </w:p>
        </w:tc>
        <w:tc>
          <w:tcPr>
            <w:tcW w:w="1702" w:type="dxa"/>
            <w:shd w:val="clear" w:color="auto" w:fill="auto"/>
            <w:tcMar>
              <w:top w:w="15" w:type="dxa"/>
              <w:left w:w="15" w:type="dxa"/>
              <w:bottom w:w="0" w:type="dxa"/>
              <w:right w:w="15" w:type="dxa"/>
            </w:tcMar>
            <w:vAlign w:val="center"/>
            <w:hideMark/>
          </w:tcPr>
          <w:p w14:paraId="033DC5A5"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70.7 ± 58.9</w:t>
            </w:r>
          </w:p>
        </w:tc>
        <w:tc>
          <w:tcPr>
            <w:tcW w:w="1702" w:type="dxa"/>
            <w:shd w:val="clear" w:color="auto" w:fill="auto"/>
            <w:tcMar>
              <w:top w:w="15" w:type="dxa"/>
              <w:left w:w="15" w:type="dxa"/>
              <w:bottom w:w="0" w:type="dxa"/>
              <w:right w:w="15" w:type="dxa"/>
            </w:tcMar>
            <w:vAlign w:val="center"/>
            <w:hideMark/>
          </w:tcPr>
          <w:p w14:paraId="73D40C20"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61.4 ± 60.6</w:t>
            </w:r>
          </w:p>
        </w:tc>
        <w:tc>
          <w:tcPr>
            <w:tcW w:w="1702" w:type="dxa"/>
            <w:shd w:val="clear" w:color="auto" w:fill="auto"/>
            <w:tcMar>
              <w:top w:w="15" w:type="dxa"/>
              <w:left w:w="15" w:type="dxa"/>
              <w:bottom w:w="0" w:type="dxa"/>
              <w:right w:w="15" w:type="dxa"/>
            </w:tcMar>
            <w:vAlign w:val="center"/>
            <w:hideMark/>
          </w:tcPr>
          <w:p w14:paraId="28E228E1"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74.8 ± 44.8</w:t>
            </w:r>
          </w:p>
        </w:tc>
        <w:tc>
          <w:tcPr>
            <w:tcW w:w="981" w:type="dxa"/>
            <w:shd w:val="clear" w:color="auto" w:fill="auto"/>
            <w:tcMar>
              <w:top w:w="15" w:type="dxa"/>
              <w:left w:w="15" w:type="dxa"/>
              <w:bottom w:w="0" w:type="dxa"/>
              <w:right w:w="15" w:type="dxa"/>
            </w:tcMar>
            <w:vAlign w:val="center"/>
            <w:hideMark/>
          </w:tcPr>
          <w:p w14:paraId="074716E2" w14:textId="545FE85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0.370</w:t>
            </w:r>
          </w:p>
        </w:tc>
      </w:tr>
      <w:tr w:rsidR="001F7C6C" w:rsidRPr="004555DA" w14:paraId="11E69DC0" w14:textId="77777777" w:rsidTr="00C66B95">
        <w:trPr>
          <w:trHeight w:val="378"/>
        </w:trPr>
        <w:tc>
          <w:tcPr>
            <w:tcW w:w="2733" w:type="dxa"/>
            <w:shd w:val="clear" w:color="auto" w:fill="auto"/>
            <w:tcMar>
              <w:top w:w="15" w:type="dxa"/>
              <w:left w:w="15" w:type="dxa"/>
              <w:bottom w:w="0" w:type="dxa"/>
              <w:right w:w="15" w:type="dxa"/>
            </w:tcMar>
            <w:vAlign w:val="center"/>
            <w:hideMark/>
          </w:tcPr>
          <w:p w14:paraId="020F0204"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Total calcium, mg/day</w:t>
            </w:r>
          </w:p>
        </w:tc>
        <w:tc>
          <w:tcPr>
            <w:tcW w:w="1702" w:type="dxa"/>
            <w:shd w:val="clear" w:color="auto" w:fill="auto"/>
            <w:tcMar>
              <w:top w:w="15" w:type="dxa"/>
              <w:left w:w="15" w:type="dxa"/>
              <w:bottom w:w="0" w:type="dxa"/>
              <w:right w:w="15" w:type="dxa"/>
            </w:tcMar>
            <w:vAlign w:val="center"/>
            <w:hideMark/>
          </w:tcPr>
          <w:p w14:paraId="14CD1432"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314.1 ± 205.8</w:t>
            </w:r>
          </w:p>
        </w:tc>
        <w:tc>
          <w:tcPr>
            <w:tcW w:w="1702" w:type="dxa"/>
            <w:shd w:val="clear" w:color="auto" w:fill="auto"/>
            <w:tcMar>
              <w:top w:w="15" w:type="dxa"/>
              <w:left w:w="15" w:type="dxa"/>
              <w:bottom w:w="0" w:type="dxa"/>
              <w:right w:w="15" w:type="dxa"/>
            </w:tcMar>
            <w:vAlign w:val="center"/>
            <w:hideMark/>
          </w:tcPr>
          <w:p w14:paraId="1A8C733F" w14:textId="77777777"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257.5 ± 167.1</w:t>
            </w:r>
          </w:p>
        </w:tc>
        <w:tc>
          <w:tcPr>
            <w:tcW w:w="1702" w:type="dxa"/>
            <w:shd w:val="clear" w:color="auto" w:fill="auto"/>
            <w:tcMar>
              <w:top w:w="15" w:type="dxa"/>
              <w:left w:w="15" w:type="dxa"/>
              <w:bottom w:w="0" w:type="dxa"/>
              <w:right w:w="15" w:type="dxa"/>
            </w:tcMar>
            <w:vAlign w:val="center"/>
            <w:hideMark/>
          </w:tcPr>
          <w:p w14:paraId="192E0165" w14:textId="7E6146F1"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334.25 ± 260.2</w:t>
            </w:r>
          </w:p>
        </w:tc>
        <w:tc>
          <w:tcPr>
            <w:tcW w:w="981" w:type="dxa"/>
            <w:shd w:val="clear" w:color="auto" w:fill="auto"/>
            <w:tcMar>
              <w:top w:w="15" w:type="dxa"/>
              <w:left w:w="15" w:type="dxa"/>
              <w:bottom w:w="0" w:type="dxa"/>
              <w:right w:w="15" w:type="dxa"/>
            </w:tcMar>
            <w:vAlign w:val="center"/>
            <w:hideMark/>
          </w:tcPr>
          <w:p w14:paraId="14F83A70" w14:textId="74EB769F" w:rsidR="001A1A93" w:rsidRPr="004555DA" w:rsidRDefault="001A1A93"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rPr>
              <w:t>0.069</w:t>
            </w:r>
          </w:p>
        </w:tc>
      </w:tr>
    </w:tbl>
    <w:p w14:paraId="72C1976A" w14:textId="21306D2E" w:rsidR="00E67BDE" w:rsidRPr="004555DA" w:rsidRDefault="00E67BDE" w:rsidP="004555DA">
      <w:pPr>
        <w:kinsoku w:val="0"/>
        <w:wordWrap/>
        <w:overflowPunct w:val="0"/>
        <w:spacing w:line="480" w:lineRule="auto"/>
        <w:rPr>
          <w:rFonts w:ascii="Times New Roman" w:hAnsi="Times New Roman" w:cs="Times New Roman"/>
          <w:bCs/>
          <w:szCs w:val="20"/>
        </w:rPr>
      </w:pPr>
      <w:r w:rsidRPr="004555DA">
        <w:rPr>
          <w:rFonts w:ascii="Times New Roman" w:hAnsi="Times New Roman" w:cs="Times New Roman"/>
          <w:bCs/>
          <w:szCs w:val="20"/>
        </w:rPr>
        <w:t>Data are presented as mean (</w:t>
      </w:r>
      <w:r w:rsidRPr="004555DA">
        <w:rPr>
          <w:rFonts w:ascii="Times New Roman" w:hAnsi="Times New Roman" w:cs="Times New Roman"/>
        </w:rPr>
        <w:t xml:space="preserve">± </w:t>
      </w:r>
      <w:r w:rsidRPr="004555DA">
        <w:rPr>
          <w:rFonts w:ascii="Times New Roman" w:hAnsi="Times New Roman" w:cs="Times New Roman"/>
          <w:bCs/>
          <w:szCs w:val="20"/>
        </w:rPr>
        <w:t>SD).</w:t>
      </w:r>
    </w:p>
    <w:p w14:paraId="0BC1B306" w14:textId="46158F97" w:rsidR="00E67BDE" w:rsidRDefault="00E67BDE" w:rsidP="004555DA">
      <w:pPr>
        <w:kinsoku w:val="0"/>
        <w:wordWrap/>
        <w:overflowPunct w:val="0"/>
        <w:spacing w:line="480" w:lineRule="auto"/>
        <w:rPr>
          <w:rFonts w:ascii="Times New Roman" w:hAnsi="Times New Roman" w:cs="Times New Roman"/>
          <w:bCs/>
          <w:szCs w:val="20"/>
        </w:rPr>
      </w:pPr>
      <w:r w:rsidRPr="004555DA">
        <w:rPr>
          <w:rFonts w:ascii="Times New Roman" w:hAnsi="Times New Roman" w:cs="Times New Roman"/>
          <w:bCs/>
          <w:i/>
          <w:iCs/>
          <w:szCs w:val="20"/>
        </w:rPr>
        <w:t>P</w:t>
      </w:r>
      <w:r w:rsidRPr="004555DA">
        <w:rPr>
          <w:rFonts w:ascii="Times New Roman" w:hAnsi="Times New Roman" w:cs="Times New Roman"/>
          <w:bCs/>
          <w:szCs w:val="20"/>
        </w:rPr>
        <w:t>-values were calculated using the analysis of variance (ANOVA) among groups.</w:t>
      </w:r>
    </w:p>
    <w:p w14:paraId="44328080" w14:textId="45D9D44F" w:rsidR="00AB2DE8" w:rsidRPr="004555DA" w:rsidRDefault="00AB2DE8" w:rsidP="004555DA">
      <w:pPr>
        <w:kinsoku w:val="0"/>
        <w:wordWrap/>
        <w:overflowPunct w:val="0"/>
        <w:spacing w:line="480" w:lineRule="auto"/>
        <w:rPr>
          <w:rFonts w:ascii="Times New Roman" w:hAnsi="Times New Roman" w:cs="Times New Roman"/>
          <w:bCs/>
          <w:szCs w:val="20"/>
        </w:rPr>
      </w:pPr>
      <w:r>
        <w:rPr>
          <w:rFonts w:ascii="Times New Roman" w:hAnsi="Times New Roman" w:cs="Times New Roman"/>
        </w:rPr>
        <w:t>G0: no renal stone group, G1: incidental renal stone group, G2: prevalent renal stone group</w:t>
      </w:r>
    </w:p>
    <w:p w14:paraId="47ECF4AD" w14:textId="59D9342F" w:rsidR="00AB5B90" w:rsidRPr="004555DA" w:rsidRDefault="00AB5B90" w:rsidP="004555DA">
      <w:pPr>
        <w:kinsoku w:val="0"/>
        <w:wordWrap/>
        <w:overflowPunct w:val="0"/>
        <w:spacing w:line="480" w:lineRule="auto"/>
        <w:rPr>
          <w:rFonts w:ascii="Times New Roman" w:eastAsia="Times New Roman" w:hAnsi="Times New Roman" w:cs="Times New Roman"/>
          <w:kern w:val="0"/>
          <w:szCs w:val="20"/>
        </w:rPr>
      </w:pPr>
    </w:p>
    <w:p w14:paraId="4663A7BD" w14:textId="77777777" w:rsidR="001A1A93" w:rsidRPr="004555DA" w:rsidRDefault="001A1A93" w:rsidP="004555DA">
      <w:pPr>
        <w:kinsoku w:val="0"/>
        <w:wordWrap/>
        <w:overflowPunct w:val="0"/>
        <w:spacing w:line="480" w:lineRule="auto"/>
        <w:rPr>
          <w:rFonts w:ascii="Times New Roman" w:hAnsi="Times New Roman" w:cs="Times New Roman"/>
        </w:rPr>
        <w:sectPr w:rsidR="001A1A93" w:rsidRPr="004555DA" w:rsidSect="00C66B95">
          <w:footerReference w:type="even" r:id="rId6"/>
          <w:footerReference w:type="default" r:id="rId7"/>
          <w:pgSz w:w="11906" w:h="16838"/>
          <w:pgMar w:top="1440" w:right="1440" w:bottom="1440" w:left="1440" w:header="851" w:footer="992" w:gutter="0"/>
          <w:cols w:space="425"/>
          <w:docGrid w:linePitch="360"/>
        </w:sectPr>
      </w:pPr>
    </w:p>
    <w:p w14:paraId="49BDBF4E" w14:textId="648B12DC" w:rsidR="003041D9" w:rsidRPr="004555DA" w:rsidRDefault="00985C12" w:rsidP="004555DA">
      <w:pPr>
        <w:kinsoku w:val="0"/>
        <w:wordWrap/>
        <w:overflowPunct w:val="0"/>
        <w:spacing w:line="480" w:lineRule="auto"/>
        <w:rPr>
          <w:rFonts w:ascii="Times New Roman" w:hAnsi="Times New Roman" w:cs="Times New Roman"/>
          <w:sz w:val="24"/>
          <w:szCs w:val="36"/>
        </w:rPr>
      </w:pPr>
      <w:r w:rsidRPr="004555DA">
        <w:rPr>
          <w:rFonts w:ascii="Times New Roman" w:hAnsi="Times New Roman" w:cs="Times New Roman"/>
          <w:b/>
          <w:bCs/>
          <w:sz w:val="24"/>
          <w:szCs w:val="36"/>
        </w:rPr>
        <w:lastRenderedPageBreak/>
        <w:t xml:space="preserve">Supplementary Figure </w:t>
      </w:r>
      <w:r w:rsidR="00C66B95" w:rsidRPr="004555DA">
        <w:rPr>
          <w:rFonts w:ascii="Times New Roman" w:hAnsi="Times New Roman" w:cs="Times New Roman"/>
          <w:b/>
          <w:bCs/>
          <w:sz w:val="24"/>
          <w:szCs w:val="36"/>
        </w:rPr>
        <w:t>S</w:t>
      </w:r>
      <w:r w:rsidR="001F3768" w:rsidRPr="004555DA">
        <w:rPr>
          <w:rFonts w:ascii="Times New Roman" w:hAnsi="Times New Roman" w:cs="Times New Roman"/>
          <w:b/>
          <w:bCs/>
          <w:sz w:val="24"/>
          <w:szCs w:val="36"/>
        </w:rPr>
        <w:t>1</w:t>
      </w:r>
      <w:r w:rsidRPr="004555DA">
        <w:rPr>
          <w:rFonts w:ascii="Times New Roman" w:hAnsi="Times New Roman" w:cs="Times New Roman"/>
          <w:b/>
          <w:bCs/>
          <w:sz w:val="24"/>
          <w:szCs w:val="36"/>
        </w:rPr>
        <w:t>.</w:t>
      </w:r>
      <w:r w:rsidRPr="004555DA">
        <w:rPr>
          <w:rFonts w:ascii="Times New Roman" w:hAnsi="Times New Roman" w:cs="Times New Roman"/>
          <w:sz w:val="24"/>
          <w:szCs w:val="36"/>
        </w:rPr>
        <w:t xml:space="preserve"> </w:t>
      </w:r>
      <w:r w:rsidR="003041D9" w:rsidRPr="004555DA">
        <w:rPr>
          <w:rFonts w:ascii="Times New Roman" w:hAnsi="Times New Roman" w:cs="Times New Roman"/>
          <w:b/>
          <w:sz w:val="24"/>
          <w:szCs w:val="36"/>
        </w:rPr>
        <w:t xml:space="preserve">Rarefaction plots based on alpha diversity metrics. </w:t>
      </w:r>
      <w:r w:rsidR="003041D9" w:rsidRPr="004555DA">
        <w:rPr>
          <w:rFonts w:ascii="Times New Roman" w:hAnsi="Times New Roman" w:cs="Times New Roman"/>
          <w:sz w:val="24"/>
          <w:szCs w:val="36"/>
        </w:rPr>
        <w:t>The number of</w:t>
      </w:r>
      <w:r w:rsidR="00C66B95" w:rsidRPr="004555DA">
        <w:rPr>
          <w:rFonts w:ascii="Times New Roman" w:hAnsi="Times New Roman" w:cs="Times New Roman"/>
          <w:sz w:val="24"/>
          <w:szCs w:val="36"/>
        </w:rPr>
        <w:t xml:space="preserve"> </w:t>
      </w:r>
      <w:r w:rsidR="003041D9" w:rsidRPr="004555DA">
        <w:rPr>
          <w:rFonts w:ascii="Times New Roman" w:hAnsi="Times New Roman" w:cs="Times New Roman"/>
          <w:sz w:val="24"/>
          <w:szCs w:val="36"/>
        </w:rPr>
        <w:t>observed features indicated that 5,0</w:t>
      </w:r>
      <w:r w:rsidR="00C66B95" w:rsidRPr="004555DA">
        <w:rPr>
          <w:rFonts w:ascii="Times New Roman" w:hAnsi="Times New Roman" w:cs="Times New Roman"/>
          <w:sz w:val="24"/>
          <w:szCs w:val="36"/>
        </w:rPr>
        <w:t>11</w:t>
      </w:r>
      <w:r w:rsidR="003041D9" w:rsidRPr="004555DA">
        <w:rPr>
          <w:rFonts w:ascii="Times New Roman" w:hAnsi="Times New Roman" w:cs="Times New Roman"/>
          <w:sz w:val="24"/>
          <w:szCs w:val="36"/>
        </w:rPr>
        <w:t xml:space="preserve"> sequences per sample are sufficient for capturing the alpha diversity of microbial communities in the t</w:t>
      </w:r>
      <w:r w:rsidR="00C66B95" w:rsidRPr="004555DA">
        <w:rPr>
          <w:rFonts w:ascii="Times New Roman" w:hAnsi="Times New Roman" w:cs="Times New Roman"/>
          <w:sz w:val="24"/>
          <w:szCs w:val="36"/>
        </w:rPr>
        <w:t>h</w:t>
      </w:r>
      <w:r w:rsidR="003041D9" w:rsidRPr="004555DA">
        <w:rPr>
          <w:rFonts w:ascii="Times New Roman" w:hAnsi="Times New Roman" w:cs="Times New Roman"/>
          <w:sz w:val="24"/>
          <w:szCs w:val="36"/>
        </w:rPr>
        <w:t xml:space="preserve">ree groups by </w:t>
      </w:r>
      <w:r w:rsidR="00C66B95" w:rsidRPr="004555DA">
        <w:rPr>
          <w:rFonts w:ascii="Times New Roman" w:hAnsi="Times New Roman" w:cs="Times New Roman"/>
          <w:sz w:val="24"/>
          <w:szCs w:val="36"/>
        </w:rPr>
        <w:t>renal stones</w:t>
      </w:r>
      <w:r w:rsidR="003041D9" w:rsidRPr="004555DA">
        <w:rPr>
          <w:rFonts w:ascii="Times New Roman" w:hAnsi="Times New Roman" w:cs="Times New Roman"/>
          <w:sz w:val="24"/>
          <w:szCs w:val="36"/>
        </w:rPr>
        <w:t>. The x-axis shows the number of sequences per sample. Rarefaction curves construction (10 replicates/depth) were performed using the “diversity alpha-rarefaction" plugin QIIME2.</w:t>
      </w:r>
      <w:r w:rsidR="00AB2DE8">
        <w:rPr>
          <w:rFonts w:ascii="Times New Roman" w:hAnsi="Times New Roman" w:cs="Times New Roman"/>
          <w:sz w:val="24"/>
          <w:szCs w:val="36"/>
        </w:rPr>
        <w:t xml:space="preserve"> </w:t>
      </w:r>
      <w:r w:rsidR="00AB2DE8" w:rsidRPr="00AB2DE8">
        <w:rPr>
          <w:rFonts w:ascii="Times New Roman" w:hAnsi="Times New Roman" w:cs="Times New Roman"/>
          <w:sz w:val="24"/>
          <w:szCs w:val="36"/>
        </w:rPr>
        <w:t>G0: no renal stone group, G1: incidental renal stone group, G2: prevalent renal stone group</w:t>
      </w:r>
    </w:p>
    <w:p w14:paraId="2687FB3B" w14:textId="77777777" w:rsidR="003041D9" w:rsidRPr="004555DA" w:rsidRDefault="003041D9" w:rsidP="004555DA">
      <w:pPr>
        <w:kinsoku w:val="0"/>
        <w:wordWrap/>
        <w:overflowPunct w:val="0"/>
        <w:spacing w:line="480" w:lineRule="auto"/>
        <w:rPr>
          <w:rFonts w:ascii="Times New Roman" w:hAnsi="Times New Roman" w:cs="Times New Roman"/>
        </w:rPr>
      </w:pPr>
    </w:p>
    <w:p w14:paraId="7EE1FFAB" w14:textId="2413697E" w:rsidR="00985C12" w:rsidRPr="004555DA" w:rsidRDefault="00985C12" w:rsidP="004555DA">
      <w:pPr>
        <w:kinsoku w:val="0"/>
        <w:wordWrap/>
        <w:overflowPunct w:val="0"/>
        <w:spacing w:line="480" w:lineRule="auto"/>
        <w:rPr>
          <w:rFonts w:ascii="Times New Roman" w:hAnsi="Times New Roman" w:cs="Times New Roman"/>
        </w:rPr>
      </w:pPr>
      <w:r w:rsidRPr="004555DA">
        <w:rPr>
          <w:rFonts w:ascii="Times New Roman" w:hAnsi="Times New Roman" w:cs="Times New Roman"/>
          <w:noProof/>
        </w:rPr>
        <w:drawing>
          <wp:inline distT="0" distB="0" distL="0" distR="0" wp14:anchorId="5CC0AF8B" wp14:editId="61BB0824">
            <wp:extent cx="5731510" cy="2701925"/>
            <wp:effectExtent l="0" t="0" r="0" b="3175"/>
            <wp:docPr id="4" name="그림 3">
              <a:extLst xmlns:a="http://schemas.openxmlformats.org/drawingml/2006/main">
                <a:ext uri="{FF2B5EF4-FFF2-40B4-BE49-F238E27FC236}">
                  <a16:creationId xmlns:a16="http://schemas.microsoft.com/office/drawing/2014/main" id="{4B4CFBEF-A078-C642-B8C8-5B713A1017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4B4CFBEF-A078-C642-B8C8-5B713A101741}"/>
                        </a:ext>
                      </a:extLst>
                    </pic:cNvPr>
                    <pic:cNvPicPr>
                      <a:picLocks noChangeAspect="1"/>
                    </pic:cNvPicPr>
                  </pic:nvPicPr>
                  <pic:blipFill>
                    <a:blip r:embed="rId8"/>
                    <a:stretch>
                      <a:fillRect/>
                    </a:stretch>
                  </pic:blipFill>
                  <pic:spPr>
                    <a:xfrm>
                      <a:off x="0" y="0"/>
                      <a:ext cx="5731510" cy="2701925"/>
                    </a:xfrm>
                    <a:prstGeom prst="rect">
                      <a:avLst/>
                    </a:prstGeom>
                  </pic:spPr>
                </pic:pic>
              </a:graphicData>
            </a:graphic>
          </wp:inline>
        </w:drawing>
      </w:r>
    </w:p>
    <w:p w14:paraId="3C9C702D" w14:textId="3E09DA5F" w:rsidR="00A110E2" w:rsidRPr="004555DA" w:rsidRDefault="00985C12" w:rsidP="004555DA">
      <w:pPr>
        <w:tabs>
          <w:tab w:val="left" w:pos="1104"/>
        </w:tabs>
        <w:kinsoku w:val="0"/>
        <w:wordWrap/>
        <w:overflowPunct w:val="0"/>
        <w:spacing w:line="480" w:lineRule="auto"/>
        <w:rPr>
          <w:rFonts w:ascii="Times New Roman" w:hAnsi="Times New Roman" w:cs="Times New Roman"/>
          <w:b/>
          <w:sz w:val="22"/>
          <w:szCs w:val="32"/>
        </w:rPr>
      </w:pPr>
      <w:r w:rsidRPr="004555DA">
        <w:rPr>
          <w:rFonts w:ascii="Times New Roman" w:hAnsi="Times New Roman" w:cs="Times New Roman"/>
        </w:rPr>
        <w:br w:type="column"/>
      </w:r>
      <w:r w:rsidRPr="004555DA">
        <w:rPr>
          <w:rFonts w:ascii="Times New Roman" w:hAnsi="Times New Roman" w:cs="Times New Roman"/>
          <w:b/>
          <w:bCs/>
          <w:sz w:val="22"/>
          <w:szCs w:val="32"/>
        </w:rPr>
        <w:lastRenderedPageBreak/>
        <w:t xml:space="preserve">Supplementary Figure </w:t>
      </w:r>
      <w:r w:rsidR="00C66B95" w:rsidRPr="004555DA">
        <w:rPr>
          <w:rFonts w:ascii="Times New Roman" w:hAnsi="Times New Roman" w:cs="Times New Roman"/>
          <w:b/>
          <w:bCs/>
          <w:sz w:val="22"/>
          <w:szCs w:val="32"/>
        </w:rPr>
        <w:t>S</w:t>
      </w:r>
      <w:r w:rsidR="001F3768" w:rsidRPr="004555DA">
        <w:rPr>
          <w:rFonts w:ascii="Times New Roman" w:hAnsi="Times New Roman" w:cs="Times New Roman"/>
          <w:b/>
          <w:bCs/>
          <w:sz w:val="22"/>
          <w:szCs w:val="32"/>
        </w:rPr>
        <w:t>2</w:t>
      </w:r>
      <w:r w:rsidRPr="004555DA">
        <w:rPr>
          <w:rFonts w:ascii="Times New Roman" w:hAnsi="Times New Roman" w:cs="Times New Roman"/>
          <w:b/>
          <w:bCs/>
          <w:sz w:val="22"/>
          <w:szCs w:val="32"/>
        </w:rPr>
        <w:t>.</w:t>
      </w:r>
      <w:r w:rsidRPr="004555DA">
        <w:rPr>
          <w:rFonts w:ascii="Times New Roman" w:hAnsi="Times New Roman" w:cs="Times New Roman"/>
          <w:sz w:val="22"/>
          <w:szCs w:val="32"/>
        </w:rPr>
        <w:t xml:space="preserve"> </w:t>
      </w:r>
      <w:r w:rsidR="00A110E2" w:rsidRPr="004555DA">
        <w:rPr>
          <w:rFonts w:ascii="Times New Roman" w:hAnsi="Times New Roman" w:cs="Times New Roman"/>
          <w:b/>
          <w:sz w:val="22"/>
          <w:szCs w:val="32"/>
        </w:rPr>
        <w:t xml:space="preserve">Beta-diversity of microbial taxa. </w:t>
      </w:r>
      <w:r w:rsidR="00A110E2" w:rsidRPr="004555DA">
        <w:rPr>
          <w:rFonts w:ascii="Times New Roman" w:hAnsi="Times New Roman" w:cs="Times New Roman"/>
          <w:sz w:val="22"/>
          <w:szCs w:val="32"/>
        </w:rPr>
        <w:t xml:space="preserve">Principal Coordinate Analysis (PCoA) plots representing the β-diversity for (A) Unweighted UniFrac distance, (B) Weighted UniFrac distance, (C) Jaccard distance, and (D) Bray-Curtis dissimilarity comparing subjects by </w:t>
      </w:r>
      <w:r w:rsidR="00077C1F" w:rsidRPr="004555DA">
        <w:rPr>
          <w:rFonts w:ascii="Times New Roman" w:hAnsi="Times New Roman" w:cs="Times New Roman"/>
          <w:sz w:val="22"/>
          <w:szCs w:val="32"/>
        </w:rPr>
        <w:t>renal stones</w:t>
      </w:r>
      <w:r w:rsidR="00A110E2" w:rsidRPr="004555DA">
        <w:rPr>
          <w:rFonts w:ascii="Times New Roman" w:hAnsi="Times New Roman" w:cs="Times New Roman"/>
          <w:sz w:val="22"/>
          <w:szCs w:val="32"/>
        </w:rPr>
        <w:t>. Each point represents an individual subject. Statistics were calculated using pairwise PERMANOVA with 999 permutations. Ellipses represent the 95% confidence interval for each group.</w:t>
      </w:r>
      <w:r w:rsidR="00AB2DE8">
        <w:rPr>
          <w:rFonts w:ascii="Times New Roman" w:hAnsi="Times New Roman" w:cs="Times New Roman"/>
          <w:sz w:val="22"/>
          <w:szCs w:val="32"/>
        </w:rPr>
        <w:t xml:space="preserve"> </w:t>
      </w:r>
      <w:r w:rsidR="00AB2DE8" w:rsidRPr="00AB2DE8">
        <w:rPr>
          <w:rFonts w:ascii="Times New Roman" w:hAnsi="Times New Roman" w:cs="Times New Roman"/>
          <w:sz w:val="24"/>
          <w:szCs w:val="36"/>
        </w:rPr>
        <w:t>G0: no renal stone group, G1: incidental renal stone group, G2: prevalent renal stone group</w:t>
      </w:r>
    </w:p>
    <w:p w14:paraId="17C2C5CB" w14:textId="58884124" w:rsidR="00985C12" w:rsidRPr="004555DA" w:rsidRDefault="00985C12" w:rsidP="004555DA">
      <w:pPr>
        <w:kinsoku w:val="0"/>
        <w:wordWrap/>
        <w:overflowPunct w:val="0"/>
        <w:spacing w:line="480" w:lineRule="auto"/>
        <w:rPr>
          <w:rFonts w:ascii="Times New Roman" w:hAnsi="Times New Roman" w:cs="Times New Roman"/>
          <w:lang w:eastAsia="ko-KR"/>
        </w:rPr>
      </w:pPr>
    </w:p>
    <w:p w14:paraId="475D7D4D" w14:textId="77777777" w:rsidR="005F4D3D" w:rsidRPr="004555DA" w:rsidRDefault="00985C12" w:rsidP="004555DA">
      <w:pPr>
        <w:pStyle w:val="EndNoteBibliography"/>
        <w:kinsoku w:val="0"/>
        <w:wordWrap/>
        <w:overflowPunct w:val="0"/>
        <w:spacing w:line="480" w:lineRule="auto"/>
        <w:rPr>
          <w:rFonts w:ascii="Times New Roman" w:hAnsi="Times New Roman" w:cs="Times New Roman"/>
          <w:sz w:val="24"/>
        </w:rPr>
      </w:pPr>
      <w:r w:rsidRPr="004555DA">
        <w:rPr>
          <w:rFonts w:ascii="Times New Roman" w:hAnsi="Times New Roman" w:cs="Times New Roman"/>
          <w:noProof/>
        </w:rPr>
        <w:drawing>
          <wp:inline distT="0" distB="0" distL="0" distR="0" wp14:anchorId="6A23D006" wp14:editId="287F2A27">
            <wp:extent cx="5731510" cy="3832225"/>
            <wp:effectExtent l="0" t="0" r="0" b="317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9">
                      <a:extLst>
                        <a:ext uri="{28A0092B-C50C-407E-A947-70E740481C1C}">
                          <a14:useLocalDpi xmlns:a14="http://schemas.microsoft.com/office/drawing/2010/main" val="0"/>
                        </a:ext>
                      </a:extLst>
                    </a:blip>
                    <a:stretch>
                      <a:fillRect/>
                    </a:stretch>
                  </pic:blipFill>
                  <pic:spPr>
                    <a:xfrm>
                      <a:off x="0" y="0"/>
                      <a:ext cx="5731510" cy="3832225"/>
                    </a:xfrm>
                    <a:prstGeom prst="rect">
                      <a:avLst/>
                    </a:prstGeom>
                  </pic:spPr>
                </pic:pic>
              </a:graphicData>
            </a:graphic>
          </wp:inline>
        </w:drawing>
      </w:r>
      <w:r w:rsidR="00D02162" w:rsidRPr="004555DA">
        <w:rPr>
          <w:rFonts w:ascii="Times New Roman" w:hAnsi="Times New Roman" w:cs="Times New Roman"/>
          <w:sz w:val="24"/>
        </w:rPr>
        <w:t xml:space="preserve"> </w:t>
      </w:r>
    </w:p>
    <w:p w14:paraId="7FC80B66" w14:textId="6BE0317D" w:rsidR="005F4D3D" w:rsidRPr="00AB2DE8" w:rsidRDefault="005F4D3D" w:rsidP="004555DA">
      <w:pPr>
        <w:pStyle w:val="EndNoteBibliography"/>
        <w:kinsoku w:val="0"/>
        <w:wordWrap/>
        <w:overflowPunct w:val="0"/>
        <w:spacing w:line="480" w:lineRule="auto"/>
        <w:rPr>
          <w:rFonts w:ascii="Times New Roman" w:hAnsi="Times New Roman" w:cs="Times New Roman"/>
          <w:b/>
          <w:bCs/>
          <w:sz w:val="24"/>
        </w:rPr>
      </w:pPr>
      <w:r w:rsidRPr="004555DA">
        <w:rPr>
          <w:rFonts w:ascii="Times New Roman" w:hAnsi="Times New Roman" w:cs="Times New Roman"/>
          <w:sz w:val="24"/>
        </w:rPr>
        <w:br w:type="column"/>
      </w:r>
      <w:r w:rsidR="00AB2DE8" w:rsidRPr="00AB2DE8">
        <w:rPr>
          <w:rFonts w:ascii="Times New Roman" w:hAnsi="Times New Roman" w:cs="Times New Roman"/>
          <w:b/>
          <w:bCs/>
          <w:sz w:val="24"/>
        </w:rPr>
        <w:lastRenderedPageBreak/>
        <w:t xml:space="preserve">Supplementary </w:t>
      </w:r>
      <w:r w:rsidRPr="00AB2DE8">
        <w:rPr>
          <w:rFonts w:ascii="Times New Roman" w:hAnsi="Times New Roman" w:cs="Times New Roman"/>
          <w:b/>
          <w:bCs/>
          <w:sz w:val="24"/>
        </w:rPr>
        <w:t>References</w:t>
      </w:r>
    </w:p>
    <w:p w14:paraId="53AECB05" w14:textId="77777777" w:rsidR="000D2858" w:rsidRPr="00AB2DE8" w:rsidRDefault="00027BA6" w:rsidP="00AB2DE8">
      <w:pPr>
        <w:pStyle w:val="EndNoteBibliography"/>
        <w:spacing w:line="480" w:lineRule="auto"/>
        <w:ind w:left="720" w:hanging="720"/>
        <w:rPr>
          <w:rFonts w:ascii="Times New Roman" w:hAnsi="Times New Roman" w:cs="Times New Roman"/>
          <w:noProof/>
          <w:sz w:val="24"/>
        </w:rPr>
      </w:pPr>
      <w:r w:rsidRPr="00701CDB">
        <w:rPr>
          <w:rFonts w:ascii="Times New Roman" w:hAnsi="Times New Roman" w:cs="Times New Roman"/>
          <w:sz w:val="24"/>
        </w:rPr>
        <w:fldChar w:fldCharType="begin"/>
      </w:r>
      <w:r w:rsidRPr="00701CDB">
        <w:rPr>
          <w:rFonts w:ascii="Times New Roman" w:hAnsi="Times New Roman" w:cs="Times New Roman"/>
          <w:sz w:val="24"/>
        </w:rPr>
        <w:instrText xml:space="preserve"> ADDIN EN.REFLIST </w:instrText>
      </w:r>
      <w:r w:rsidRPr="00701CDB">
        <w:rPr>
          <w:rFonts w:ascii="Times New Roman" w:hAnsi="Times New Roman" w:cs="Times New Roman"/>
          <w:sz w:val="24"/>
        </w:rPr>
        <w:fldChar w:fldCharType="separate"/>
      </w:r>
      <w:r w:rsidR="000D2858" w:rsidRPr="000D2858">
        <w:rPr>
          <w:noProof/>
        </w:rPr>
        <w:t>1</w:t>
      </w:r>
      <w:r w:rsidR="000D2858" w:rsidRPr="000D2858">
        <w:rPr>
          <w:noProof/>
        </w:rPr>
        <w:tab/>
      </w:r>
      <w:r w:rsidR="000D2858" w:rsidRPr="00AB2DE8">
        <w:rPr>
          <w:rFonts w:ascii="Times New Roman" w:hAnsi="Times New Roman" w:cs="Times New Roman"/>
          <w:noProof/>
          <w:sz w:val="24"/>
        </w:rPr>
        <w:t>Chang, Y.</w:t>
      </w:r>
      <w:r w:rsidR="000D2858" w:rsidRPr="00AB2DE8">
        <w:rPr>
          <w:rFonts w:ascii="Times New Roman" w:hAnsi="Times New Roman" w:cs="Times New Roman"/>
          <w:i/>
          <w:noProof/>
          <w:sz w:val="24"/>
        </w:rPr>
        <w:t xml:space="preserve"> et al.</w:t>
      </w:r>
      <w:r w:rsidR="000D2858" w:rsidRPr="00AB2DE8">
        <w:rPr>
          <w:rFonts w:ascii="Times New Roman" w:hAnsi="Times New Roman" w:cs="Times New Roman"/>
          <w:noProof/>
          <w:sz w:val="24"/>
        </w:rPr>
        <w:t xml:space="preserve"> Metabolically Healthy Obesity and Development of Chronic Kidney Disease: A Cohort Study. </w:t>
      </w:r>
      <w:r w:rsidR="000D2858" w:rsidRPr="00AB2DE8">
        <w:rPr>
          <w:rFonts w:ascii="Times New Roman" w:hAnsi="Times New Roman" w:cs="Times New Roman"/>
          <w:i/>
          <w:noProof/>
          <w:sz w:val="24"/>
        </w:rPr>
        <w:t>Ann Intern Med</w:t>
      </w:r>
      <w:r w:rsidR="000D2858" w:rsidRPr="00AB2DE8">
        <w:rPr>
          <w:rFonts w:ascii="Times New Roman" w:hAnsi="Times New Roman" w:cs="Times New Roman"/>
          <w:noProof/>
          <w:sz w:val="24"/>
        </w:rPr>
        <w:t xml:space="preserve"> </w:t>
      </w:r>
      <w:r w:rsidR="000D2858" w:rsidRPr="00AB2DE8">
        <w:rPr>
          <w:rFonts w:ascii="Times New Roman" w:hAnsi="Times New Roman" w:cs="Times New Roman"/>
          <w:b/>
          <w:noProof/>
          <w:sz w:val="24"/>
        </w:rPr>
        <w:t>164</w:t>
      </w:r>
      <w:r w:rsidR="000D2858" w:rsidRPr="00AB2DE8">
        <w:rPr>
          <w:rFonts w:ascii="Times New Roman" w:hAnsi="Times New Roman" w:cs="Times New Roman"/>
          <w:noProof/>
          <w:sz w:val="24"/>
        </w:rPr>
        <w:t>, 305-312, doi:10.7326/m15-1323 (2016).</w:t>
      </w:r>
    </w:p>
    <w:p w14:paraId="1220FA28" w14:textId="77777777" w:rsidR="000D2858" w:rsidRPr="00AB2DE8" w:rsidRDefault="000D2858" w:rsidP="00AB2DE8">
      <w:pPr>
        <w:pStyle w:val="EndNoteBibliography"/>
        <w:spacing w:line="480" w:lineRule="auto"/>
        <w:ind w:left="720" w:hanging="720"/>
        <w:rPr>
          <w:rFonts w:ascii="Times New Roman" w:hAnsi="Times New Roman" w:cs="Times New Roman"/>
          <w:noProof/>
          <w:sz w:val="24"/>
        </w:rPr>
      </w:pPr>
      <w:r w:rsidRPr="00AB2DE8">
        <w:rPr>
          <w:rFonts w:ascii="Times New Roman" w:hAnsi="Times New Roman" w:cs="Times New Roman"/>
          <w:noProof/>
          <w:sz w:val="24"/>
        </w:rPr>
        <w:t>2</w:t>
      </w:r>
      <w:r w:rsidRPr="00AB2DE8">
        <w:rPr>
          <w:rFonts w:ascii="Times New Roman" w:hAnsi="Times New Roman" w:cs="Times New Roman"/>
          <w:noProof/>
          <w:sz w:val="24"/>
        </w:rPr>
        <w:tab/>
        <w:t>Kim, H. N.</w:t>
      </w:r>
      <w:r w:rsidRPr="00AB2DE8">
        <w:rPr>
          <w:rFonts w:ascii="Times New Roman" w:hAnsi="Times New Roman" w:cs="Times New Roman"/>
          <w:i/>
          <w:noProof/>
          <w:sz w:val="24"/>
        </w:rPr>
        <w:t xml:space="preserve"> et al.</w:t>
      </w:r>
      <w:r w:rsidRPr="00AB2DE8">
        <w:rPr>
          <w:rFonts w:ascii="Times New Roman" w:hAnsi="Times New Roman" w:cs="Times New Roman"/>
          <w:noProof/>
          <w:sz w:val="24"/>
        </w:rPr>
        <w:t xml:space="preserve"> Correlation between gut microbiota and personality in adults: A cross-sectional study. </w:t>
      </w:r>
      <w:r w:rsidRPr="00AB2DE8">
        <w:rPr>
          <w:rFonts w:ascii="Times New Roman" w:hAnsi="Times New Roman" w:cs="Times New Roman"/>
          <w:i/>
          <w:noProof/>
          <w:sz w:val="24"/>
        </w:rPr>
        <w:t>Brain Behav Immun</w:t>
      </w:r>
      <w:r w:rsidRPr="00AB2DE8">
        <w:rPr>
          <w:rFonts w:ascii="Times New Roman" w:hAnsi="Times New Roman" w:cs="Times New Roman"/>
          <w:noProof/>
          <w:sz w:val="24"/>
        </w:rPr>
        <w:t xml:space="preserve"> </w:t>
      </w:r>
      <w:r w:rsidRPr="00AB2DE8">
        <w:rPr>
          <w:rFonts w:ascii="Times New Roman" w:hAnsi="Times New Roman" w:cs="Times New Roman"/>
          <w:b/>
          <w:noProof/>
          <w:sz w:val="24"/>
        </w:rPr>
        <w:t>69</w:t>
      </w:r>
      <w:r w:rsidRPr="00AB2DE8">
        <w:rPr>
          <w:rFonts w:ascii="Times New Roman" w:hAnsi="Times New Roman" w:cs="Times New Roman"/>
          <w:noProof/>
          <w:sz w:val="24"/>
        </w:rPr>
        <w:t>, 374-385, doi:10.1016/j.bbi.2017.12.012 (2018).</w:t>
      </w:r>
    </w:p>
    <w:p w14:paraId="1BA56D37" w14:textId="29649125" w:rsidR="00A57B9D" w:rsidRPr="00701CDB" w:rsidRDefault="00027BA6" w:rsidP="00701CDB">
      <w:pPr>
        <w:kinsoku w:val="0"/>
        <w:wordWrap/>
        <w:overflowPunct w:val="0"/>
        <w:spacing w:line="480" w:lineRule="auto"/>
        <w:rPr>
          <w:rFonts w:ascii="Times New Roman" w:hAnsi="Times New Roman" w:cs="Times New Roman"/>
          <w:sz w:val="24"/>
        </w:rPr>
      </w:pPr>
      <w:r w:rsidRPr="00701CDB">
        <w:rPr>
          <w:rFonts w:ascii="Times New Roman" w:hAnsi="Times New Roman" w:cs="Times New Roman"/>
          <w:sz w:val="24"/>
        </w:rPr>
        <w:fldChar w:fldCharType="end"/>
      </w:r>
    </w:p>
    <w:sectPr w:rsidR="00A57B9D" w:rsidRPr="00701CDB">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7CC7" w14:textId="77777777" w:rsidR="00A92300" w:rsidRDefault="00A92300" w:rsidP="00056083">
      <w:r>
        <w:separator/>
      </w:r>
    </w:p>
  </w:endnote>
  <w:endnote w:type="continuationSeparator" w:id="0">
    <w:p w14:paraId="48BD4FEF" w14:textId="77777777" w:rsidR="00A92300" w:rsidRDefault="00A92300" w:rsidP="0005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굴림">
    <w:altName w:val="Gulim"/>
    <w:panose1 w:val="020B0600000101010101"/>
    <w:charset w:val="81"/>
    <w:family w:val="swiss"/>
    <w:pitch w:val="variable"/>
    <w:sig w:usb0="B00002AF" w:usb1="69D77CFB" w:usb2="00000030" w:usb3="00000000" w:csb0="0008009F" w:csb1="00000000"/>
  </w:font>
  <w:font w:name="Apple SD Gothic Neo">
    <w:panose1 w:val="02000300000000000000"/>
    <w:charset w:val="81"/>
    <w:family w:val="auto"/>
    <w:pitch w:val="variable"/>
    <w:sig w:usb0="00000203" w:usb1="29D72C10" w:usb2="00000010" w:usb3="00000000" w:csb0="0028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4"/>
      </w:rPr>
      <w:id w:val="1238671143"/>
      <w:docPartObj>
        <w:docPartGallery w:val="Page Numbers (Bottom of Page)"/>
        <w:docPartUnique/>
      </w:docPartObj>
    </w:sdtPr>
    <w:sdtEndPr>
      <w:rPr>
        <w:rStyle w:val="a4"/>
      </w:rPr>
    </w:sdtEndPr>
    <w:sdtContent>
      <w:p w14:paraId="491C2DB5" w14:textId="2CFA99C8" w:rsidR="00056083" w:rsidRDefault="00056083" w:rsidP="008470E8">
        <w:pPr>
          <w:pStyle w:val="a3"/>
          <w:framePr w:wrap="none" w:vAnchor="text" w:hAnchor="margin" w:xAlign="center" w:y="1"/>
          <w:rPr>
            <w:rStyle w:val="a4"/>
          </w:rPr>
        </w:pPr>
        <w:r>
          <w:rPr>
            <w:rStyle w:val="a4"/>
          </w:rPr>
          <w:fldChar w:fldCharType="begin"/>
        </w:r>
        <w:r>
          <w:rPr>
            <w:rStyle w:val="a4"/>
          </w:rPr>
          <w:instrText xml:space="preserve"> PAGE </w:instrText>
        </w:r>
        <w:r>
          <w:rPr>
            <w:rStyle w:val="a4"/>
          </w:rPr>
          <w:fldChar w:fldCharType="end"/>
        </w:r>
      </w:p>
    </w:sdtContent>
  </w:sdt>
  <w:p w14:paraId="290BE9FC" w14:textId="77777777" w:rsidR="00056083" w:rsidRDefault="0005608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4"/>
      </w:rPr>
      <w:id w:val="-569656727"/>
      <w:docPartObj>
        <w:docPartGallery w:val="Page Numbers (Bottom of Page)"/>
        <w:docPartUnique/>
      </w:docPartObj>
    </w:sdtPr>
    <w:sdtEndPr>
      <w:rPr>
        <w:rStyle w:val="a4"/>
      </w:rPr>
    </w:sdtEndPr>
    <w:sdtContent>
      <w:p w14:paraId="3157BDC1" w14:textId="722AA343" w:rsidR="00056083" w:rsidRDefault="00056083" w:rsidP="008470E8">
        <w:pPr>
          <w:pStyle w:val="a3"/>
          <w:framePr w:wrap="none" w:vAnchor="text" w:hAnchor="margin" w:xAlign="center" w:y="1"/>
          <w:rPr>
            <w:rStyle w:val="a4"/>
          </w:rPr>
        </w:pPr>
        <w:r>
          <w:rPr>
            <w:rStyle w:val="a4"/>
          </w:rPr>
          <w:fldChar w:fldCharType="begin"/>
        </w:r>
        <w:r>
          <w:rPr>
            <w:rStyle w:val="a4"/>
          </w:rPr>
          <w:instrText xml:space="preserve"> PAGE </w:instrText>
        </w:r>
        <w:r>
          <w:rPr>
            <w:rStyle w:val="a4"/>
          </w:rPr>
          <w:fldChar w:fldCharType="separate"/>
        </w:r>
        <w:r>
          <w:rPr>
            <w:rStyle w:val="a4"/>
            <w:noProof/>
          </w:rPr>
          <w:t>1</w:t>
        </w:r>
        <w:r>
          <w:rPr>
            <w:rStyle w:val="a4"/>
          </w:rPr>
          <w:fldChar w:fldCharType="end"/>
        </w:r>
      </w:p>
    </w:sdtContent>
  </w:sdt>
  <w:p w14:paraId="7495C948" w14:textId="77777777" w:rsidR="00056083" w:rsidRDefault="0005608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10BDE" w14:textId="77777777" w:rsidR="00A92300" w:rsidRDefault="00A92300" w:rsidP="00056083">
      <w:r>
        <w:separator/>
      </w:r>
    </w:p>
  </w:footnote>
  <w:footnote w:type="continuationSeparator" w:id="0">
    <w:p w14:paraId="51AED3CF" w14:textId="77777777" w:rsidR="00A92300" w:rsidRDefault="00A92300" w:rsidP="00056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0" w:nlCheck="1" w:checkStyle="0"/>
  <w:activeWritingStyle w:appName="MSWord" w:lang="en-GB" w:vendorID="64" w:dllVersion="0" w:nlCheck="1" w:checkStyle="0"/>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85C12"/>
    <w:rsid w:val="00016C0F"/>
    <w:rsid w:val="00027BA6"/>
    <w:rsid w:val="00056083"/>
    <w:rsid w:val="00077C1F"/>
    <w:rsid w:val="000D1C97"/>
    <w:rsid w:val="000D2858"/>
    <w:rsid w:val="000D7B7C"/>
    <w:rsid w:val="000E0BF6"/>
    <w:rsid w:val="000E15CE"/>
    <w:rsid w:val="000E7528"/>
    <w:rsid w:val="001174FF"/>
    <w:rsid w:val="00157EB4"/>
    <w:rsid w:val="001A1A93"/>
    <w:rsid w:val="001C25C4"/>
    <w:rsid w:val="001F3768"/>
    <w:rsid w:val="001F7C6C"/>
    <w:rsid w:val="0022372A"/>
    <w:rsid w:val="0024111B"/>
    <w:rsid w:val="00260FB5"/>
    <w:rsid w:val="00281FF5"/>
    <w:rsid w:val="002F431D"/>
    <w:rsid w:val="003041D9"/>
    <w:rsid w:val="00341370"/>
    <w:rsid w:val="003869CE"/>
    <w:rsid w:val="003C7BDA"/>
    <w:rsid w:val="004555DA"/>
    <w:rsid w:val="0046151C"/>
    <w:rsid w:val="004F2BE8"/>
    <w:rsid w:val="005007D4"/>
    <w:rsid w:val="0051648F"/>
    <w:rsid w:val="005208B9"/>
    <w:rsid w:val="00583F8A"/>
    <w:rsid w:val="00583F9E"/>
    <w:rsid w:val="005F4D3D"/>
    <w:rsid w:val="006320D1"/>
    <w:rsid w:val="006C10D2"/>
    <w:rsid w:val="00701CDB"/>
    <w:rsid w:val="007905A2"/>
    <w:rsid w:val="00793049"/>
    <w:rsid w:val="007977E4"/>
    <w:rsid w:val="007C7CFE"/>
    <w:rsid w:val="00864E4E"/>
    <w:rsid w:val="008904D3"/>
    <w:rsid w:val="008C5106"/>
    <w:rsid w:val="008D350E"/>
    <w:rsid w:val="008F0695"/>
    <w:rsid w:val="00905D9D"/>
    <w:rsid w:val="00957C96"/>
    <w:rsid w:val="00966299"/>
    <w:rsid w:val="00985C12"/>
    <w:rsid w:val="0099250B"/>
    <w:rsid w:val="00A110E2"/>
    <w:rsid w:val="00A11B43"/>
    <w:rsid w:val="00A1341D"/>
    <w:rsid w:val="00A57B9D"/>
    <w:rsid w:val="00A92300"/>
    <w:rsid w:val="00AB2DE8"/>
    <w:rsid w:val="00AB5B90"/>
    <w:rsid w:val="00AC4518"/>
    <w:rsid w:val="00AF3231"/>
    <w:rsid w:val="00B1234C"/>
    <w:rsid w:val="00B12D7E"/>
    <w:rsid w:val="00B215EA"/>
    <w:rsid w:val="00BA159B"/>
    <w:rsid w:val="00BB568E"/>
    <w:rsid w:val="00BC3D07"/>
    <w:rsid w:val="00BE1C24"/>
    <w:rsid w:val="00BF10FC"/>
    <w:rsid w:val="00BF5966"/>
    <w:rsid w:val="00C66B95"/>
    <w:rsid w:val="00CB7F4D"/>
    <w:rsid w:val="00CD35BA"/>
    <w:rsid w:val="00CF6808"/>
    <w:rsid w:val="00D02162"/>
    <w:rsid w:val="00D047F3"/>
    <w:rsid w:val="00D4030C"/>
    <w:rsid w:val="00D50677"/>
    <w:rsid w:val="00D56255"/>
    <w:rsid w:val="00D700F7"/>
    <w:rsid w:val="00DE5E68"/>
    <w:rsid w:val="00E012BF"/>
    <w:rsid w:val="00E16DE5"/>
    <w:rsid w:val="00E360F1"/>
    <w:rsid w:val="00E67BDE"/>
    <w:rsid w:val="00F23578"/>
    <w:rsid w:val="00F27CC0"/>
    <w:rsid w:val="00FC0869"/>
    <w:rsid w:val="00FF15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6F1E0"/>
  <w15:chartTrackingRefBased/>
  <w15:docId w15:val="{CFE69E3B-90E2-DD4D-8EBA-6B9585CF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56083"/>
    <w:pPr>
      <w:tabs>
        <w:tab w:val="center" w:pos="4513"/>
        <w:tab w:val="right" w:pos="9026"/>
      </w:tabs>
      <w:snapToGrid w:val="0"/>
    </w:pPr>
  </w:style>
  <w:style w:type="character" w:customStyle="1" w:styleId="Char">
    <w:name w:val="바닥글 Char"/>
    <w:basedOn w:val="a0"/>
    <w:link w:val="a3"/>
    <w:uiPriority w:val="99"/>
    <w:rsid w:val="00056083"/>
  </w:style>
  <w:style w:type="character" w:styleId="a4">
    <w:name w:val="page number"/>
    <w:basedOn w:val="a0"/>
    <w:uiPriority w:val="99"/>
    <w:semiHidden/>
    <w:unhideWhenUsed/>
    <w:rsid w:val="00056083"/>
  </w:style>
  <w:style w:type="paragraph" w:customStyle="1" w:styleId="MDPI31text">
    <w:name w:val="MDPI_3.1_text"/>
    <w:link w:val="MDPI31textChar"/>
    <w:qFormat/>
    <w:rsid w:val="00056083"/>
    <w:pPr>
      <w:adjustRightInd w:val="0"/>
      <w:snapToGrid w:val="0"/>
      <w:spacing w:line="260" w:lineRule="atLeast"/>
      <w:ind w:firstLine="425"/>
    </w:pPr>
    <w:rPr>
      <w:rFonts w:ascii="Palatino Linotype" w:eastAsia="Times New Roman" w:hAnsi="Palatino Linotype" w:cs="Times New Roman"/>
      <w:snapToGrid w:val="0"/>
      <w:color w:val="000000"/>
      <w:kern w:val="0"/>
      <w:szCs w:val="22"/>
      <w:lang w:eastAsia="de-DE" w:bidi="en-US"/>
    </w:rPr>
  </w:style>
  <w:style w:type="character" w:customStyle="1" w:styleId="MDPI31textChar">
    <w:name w:val="MDPI_3.1_text Char"/>
    <w:basedOn w:val="a0"/>
    <w:link w:val="MDPI31text"/>
    <w:rsid w:val="00056083"/>
    <w:rPr>
      <w:rFonts w:ascii="Palatino Linotype" w:eastAsia="Times New Roman" w:hAnsi="Palatino Linotype" w:cs="Times New Roman"/>
      <w:snapToGrid w:val="0"/>
      <w:color w:val="000000"/>
      <w:kern w:val="0"/>
      <w:szCs w:val="22"/>
      <w:lang w:eastAsia="de-DE" w:bidi="en-US"/>
    </w:rPr>
  </w:style>
  <w:style w:type="paragraph" w:customStyle="1" w:styleId="EndNoteBibliographyTitle">
    <w:name w:val="EndNote Bibliography Title"/>
    <w:basedOn w:val="a"/>
    <w:link w:val="EndNoteBibliographyTitleChar"/>
    <w:rsid w:val="00027BA6"/>
    <w:pPr>
      <w:jc w:val="center"/>
    </w:pPr>
    <w:rPr>
      <w:rFonts w:ascii="Calibri" w:hAnsi="Calibri" w:cs="Calibri"/>
    </w:rPr>
  </w:style>
  <w:style w:type="character" w:customStyle="1" w:styleId="EndNoteBibliographyTitleChar">
    <w:name w:val="EndNote Bibliography Title Char"/>
    <w:basedOn w:val="a0"/>
    <w:link w:val="EndNoteBibliographyTitle"/>
    <w:rsid w:val="00027BA6"/>
    <w:rPr>
      <w:rFonts w:ascii="Calibri" w:hAnsi="Calibri" w:cs="Calibri"/>
    </w:rPr>
  </w:style>
  <w:style w:type="paragraph" w:customStyle="1" w:styleId="EndNoteBibliography">
    <w:name w:val="EndNote Bibliography"/>
    <w:basedOn w:val="a"/>
    <w:link w:val="EndNoteBibliographyChar"/>
    <w:rsid w:val="00027BA6"/>
    <w:rPr>
      <w:rFonts w:ascii="Calibri" w:hAnsi="Calibri" w:cs="Calibri"/>
    </w:rPr>
  </w:style>
  <w:style w:type="character" w:customStyle="1" w:styleId="EndNoteBibliographyChar">
    <w:name w:val="EndNote Bibliography Char"/>
    <w:basedOn w:val="a0"/>
    <w:link w:val="EndNoteBibliography"/>
    <w:rsid w:val="00027BA6"/>
    <w:rPr>
      <w:rFonts w:ascii="Calibri" w:hAnsi="Calibri" w:cs="Calibri"/>
    </w:rPr>
  </w:style>
  <w:style w:type="character" w:styleId="a5">
    <w:name w:val="annotation reference"/>
    <w:basedOn w:val="a0"/>
    <w:uiPriority w:val="99"/>
    <w:semiHidden/>
    <w:unhideWhenUsed/>
    <w:rsid w:val="00D56255"/>
    <w:rPr>
      <w:sz w:val="18"/>
      <w:szCs w:val="18"/>
    </w:rPr>
  </w:style>
  <w:style w:type="paragraph" w:styleId="a6">
    <w:name w:val="annotation text"/>
    <w:aliases w:val="Char11,字元, 字元"/>
    <w:basedOn w:val="a"/>
    <w:link w:val="Char0"/>
    <w:uiPriority w:val="99"/>
    <w:unhideWhenUsed/>
    <w:rsid w:val="00D56255"/>
    <w:pPr>
      <w:jc w:val="left"/>
    </w:pPr>
    <w:rPr>
      <w:lang w:eastAsia="ko-KR"/>
    </w:rPr>
  </w:style>
  <w:style w:type="character" w:customStyle="1" w:styleId="Char0">
    <w:name w:val="메모 텍스트 Char"/>
    <w:aliases w:val="Char11 Char,字元 Char, 字元 Char"/>
    <w:basedOn w:val="a0"/>
    <w:link w:val="a6"/>
    <w:uiPriority w:val="99"/>
    <w:rsid w:val="00D56255"/>
    <w:rPr>
      <w:lang w:eastAsia="ko-KR"/>
    </w:rPr>
  </w:style>
  <w:style w:type="character" w:styleId="a7">
    <w:name w:val="Hyperlink"/>
    <w:basedOn w:val="a0"/>
    <w:uiPriority w:val="99"/>
    <w:unhideWhenUsed/>
    <w:rsid w:val="00D56255"/>
    <w:rPr>
      <w:color w:val="0563C1" w:themeColor="hyperlink"/>
      <w:u w:val="single"/>
    </w:rPr>
  </w:style>
  <w:style w:type="paragraph" w:styleId="a8">
    <w:name w:val="header"/>
    <w:basedOn w:val="a"/>
    <w:link w:val="Char1"/>
    <w:uiPriority w:val="99"/>
    <w:unhideWhenUsed/>
    <w:rsid w:val="00BF5966"/>
    <w:pPr>
      <w:tabs>
        <w:tab w:val="center" w:pos="4513"/>
        <w:tab w:val="right" w:pos="9026"/>
      </w:tabs>
      <w:snapToGrid w:val="0"/>
    </w:pPr>
  </w:style>
  <w:style w:type="character" w:customStyle="1" w:styleId="Char1">
    <w:name w:val="머리글 Char"/>
    <w:basedOn w:val="a0"/>
    <w:link w:val="a8"/>
    <w:uiPriority w:val="99"/>
    <w:rsid w:val="00BF5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94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1148</Words>
  <Characters>6544</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KBSMC</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Kim</dc:creator>
  <cp:keywords/>
  <dc:description/>
  <cp:lastModifiedBy>김한나</cp:lastModifiedBy>
  <cp:revision>4</cp:revision>
  <dcterms:created xsi:type="dcterms:W3CDTF">2021-12-09T10:35:00Z</dcterms:created>
  <dcterms:modified xsi:type="dcterms:W3CDTF">2021-12-09T10:39:00Z</dcterms:modified>
</cp:coreProperties>
</file>