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309D15" w14:textId="77777777" w:rsidR="00C90EDE" w:rsidRDefault="00C90EDE" w:rsidP="009F3596">
      <w:pPr>
        <w:keepNext/>
        <w:jc w:val="center"/>
      </w:pPr>
    </w:p>
    <w:p w14:paraId="166D1CD8" w14:textId="2854DC7D" w:rsidR="00C90EDE" w:rsidRDefault="00C90EDE" w:rsidP="009F3596">
      <w:pPr>
        <w:keepNext/>
        <w:jc w:val="center"/>
      </w:pPr>
    </w:p>
    <w:p w14:paraId="379E47E6" w14:textId="77777777" w:rsidR="00C90EDE" w:rsidRPr="00C90EDE" w:rsidRDefault="00C90EDE" w:rsidP="009F3596">
      <w:pPr>
        <w:keepNext/>
        <w:jc w:val="center"/>
        <w:rPr>
          <w:lang w:val="en-US"/>
        </w:rPr>
      </w:pPr>
    </w:p>
    <w:p w14:paraId="0D0B6178" w14:textId="72F8388C" w:rsidR="009F3596" w:rsidRDefault="000A7F33" w:rsidP="009F3596">
      <w:pPr>
        <w:keepNext/>
        <w:jc w:val="center"/>
      </w:pPr>
      <w:r>
        <w:rPr>
          <w:noProof/>
          <w:lang w:eastAsia="it-IT"/>
        </w:rPr>
        <w:drawing>
          <wp:inline distT="0" distB="0" distL="0" distR="0" wp14:anchorId="537D4A01" wp14:editId="24F169B4">
            <wp:extent cx="4410075" cy="3407536"/>
            <wp:effectExtent l="0" t="0" r="0" b="254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llodinia.gif"/>
                    <pic:cNvPicPr/>
                  </pic:nvPicPr>
                  <pic:blipFill>
                    <a:blip r:embed="rId6">
                      <a:extLst>
                        <a:ext uri="{28A0092B-C50C-407E-A947-70E740481C1C}">
                          <a14:useLocalDpi xmlns:a14="http://schemas.microsoft.com/office/drawing/2010/main" val="0"/>
                        </a:ext>
                      </a:extLst>
                    </a:blip>
                    <a:stretch>
                      <a:fillRect/>
                    </a:stretch>
                  </pic:blipFill>
                  <pic:spPr>
                    <a:xfrm>
                      <a:off x="0" y="0"/>
                      <a:ext cx="4419051" cy="3414471"/>
                    </a:xfrm>
                    <a:prstGeom prst="rect">
                      <a:avLst/>
                    </a:prstGeom>
                  </pic:spPr>
                </pic:pic>
              </a:graphicData>
            </a:graphic>
          </wp:inline>
        </w:drawing>
      </w:r>
    </w:p>
    <w:p w14:paraId="2A9B15D7" w14:textId="2164C3BB" w:rsidR="009F3596" w:rsidRPr="002B67D8" w:rsidRDefault="00DC3C84" w:rsidP="009F3596">
      <w:pPr>
        <w:pStyle w:val="Didascalia"/>
        <w:jc w:val="center"/>
        <w:rPr>
          <w:rFonts w:cstheme="minorHAnsi"/>
          <w:i w:val="0"/>
          <w:color w:val="auto"/>
          <w:sz w:val="20"/>
          <w:szCs w:val="20"/>
          <w:lang w:val="en-US"/>
        </w:rPr>
      </w:pPr>
      <w:r w:rsidRPr="002B67D8">
        <w:rPr>
          <w:rFonts w:cstheme="minorHAnsi"/>
          <w:i w:val="0"/>
          <w:color w:val="auto"/>
          <w:sz w:val="20"/>
          <w:szCs w:val="20"/>
          <w:lang w:val="en-US"/>
        </w:rPr>
        <w:t>Supplementary Information</w:t>
      </w:r>
      <w:r w:rsidR="00A872B9" w:rsidRPr="002B67D8">
        <w:rPr>
          <w:rFonts w:cstheme="minorHAnsi"/>
          <w:i w:val="0"/>
          <w:color w:val="auto"/>
          <w:sz w:val="20"/>
          <w:szCs w:val="20"/>
          <w:lang w:val="en-US"/>
        </w:rPr>
        <w:t xml:space="preserve"> </w:t>
      </w:r>
      <w:r w:rsidRPr="002B67D8">
        <w:rPr>
          <w:rFonts w:cstheme="minorHAnsi"/>
          <w:i w:val="0"/>
          <w:color w:val="auto"/>
          <w:sz w:val="20"/>
          <w:szCs w:val="20"/>
          <w:lang w:val="en-US"/>
        </w:rPr>
        <w:t>1</w:t>
      </w:r>
      <w:r w:rsidR="009F3596" w:rsidRPr="002B67D8">
        <w:rPr>
          <w:rFonts w:cstheme="minorHAnsi"/>
          <w:i w:val="0"/>
          <w:color w:val="auto"/>
          <w:sz w:val="20"/>
          <w:szCs w:val="20"/>
          <w:lang w:val="en-US"/>
        </w:rPr>
        <w:t>: Box plot showing the association between allodynia and the number of migraine days per month</w:t>
      </w:r>
    </w:p>
    <w:p w14:paraId="1478070B" w14:textId="6A78D0F8" w:rsidR="00C03283" w:rsidRDefault="00F42711" w:rsidP="00C03283">
      <w:pPr>
        <w:keepNext/>
      </w:pPr>
      <w:r>
        <w:rPr>
          <w:noProof/>
          <w:lang w:eastAsia="it-IT"/>
        </w:rPr>
        <w:drawing>
          <wp:inline distT="0" distB="0" distL="0" distR="0" wp14:anchorId="37F5AD56" wp14:editId="42B46FE9">
            <wp:extent cx="6120130" cy="3442335"/>
            <wp:effectExtent l="0" t="0" r="0" b="5715"/>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upplemental 1.jpg"/>
                    <pic:cNvPicPr/>
                  </pic:nvPicPr>
                  <pic:blipFill>
                    <a:blip r:embed="rId7">
                      <a:extLst>
                        <a:ext uri="{28A0092B-C50C-407E-A947-70E740481C1C}">
                          <a14:useLocalDpi xmlns:a14="http://schemas.microsoft.com/office/drawing/2010/main" val="0"/>
                        </a:ext>
                      </a:extLst>
                    </a:blip>
                    <a:stretch>
                      <a:fillRect/>
                    </a:stretch>
                  </pic:blipFill>
                  <pic:spPr>
                    <a:xfrm>
                      <a:off x="0" y="0"/>
                      <a:ext cx="6120130" cy="3442335"/>
                    </a:xfrm>
                    <a:prstGeom prst="rect">
                      <a:avLst/>
                    </a:prstGeom>
                  </pic:spPr>
                </pic:pic>
              </a:graphicData>
            </a:graphic>
          </wp:inline>
        </w:drawing>
      </w:r>
    </w:p>
    <w:p w14:paraId="6275322B" w14:textId="1A0204D1" w:rsidR="00B92333" w:rsidRDefault="002B67D8" w:rsidP="00A872B9">
      <w:pPr>
        <w:pStyle w:val="Didascalia"/>
        <w:spacing w:line="480" w:lineRule="auto"/>
        <w:rPr>
          <w:i w:val="0"/>
          <w:color w:val="auto"/>
          <w:lang w:val="en-GB"/>
        </w:rPr>
      </w:pPr>
      <w:r>
        <w:rPr>
          <w:i w:val="0"/>
          <w:color w:val="auto"/>
          <w:lang w:val="en-US"/>
        </w:rPr>
        <w:t>Supplementary Information 2</w:t>
      </w:r>
      <w:r w:rsidR="00C03283" w:rsidRPr="00A872B9">
        <w:rPr>
          <w:i w:val="0"/>
          <w:color w:val="auto"/>
          <w:lang w:val="en-US"/>
        </w:rPr>
        <w:t xml:space="preserve">: </w:t>
      </w:r>
      <w:r w:rsidR="00C03283" w:rsidRPr="00A872B9">
        <w:rPr>
          <w:i w:val="0"/>
          <w:color w:val="auto"/>
          <w:lang w:val="en-GB"/>
        </w:rPr>
        <w:t xml:space="preserve">Box plot of </w:t>
      </w:r>
      <w:r w:rsidR="00F42711" w:rsidRPr="00A872B9">
        <w:rPr>
          <w:i w:val="0"/>
          <w:color w:val="auto"/>
          <w:lang w:val="en-GB"/>
        </w:rPr>
        <w:t>HIT6</w:t>
      </w:r>
      <w:r w:rsidR="00C03283" w:rsidRPr="00A872B9">
        <w:rPr>
          <w:i w:val="0"/>
          <w:color w:val="auto"/>
          <w:lang w:val="en-GB"/>
        </w:rPr>
        <w:t xml:space="preserve"> scores across the different </w:t>
      </w:r>
      <w:r w:rsidR="00F42711" w:rsidRPr="00A872B9">
        <w:rPr>
          <w:i w:val="0"/>
          <w:color w:val="auto"/>
          <w:lang w:val="en-GB"/>
        </w:rPr>
        <w:t xml:space="preserve">mitochondrial genotypes (a), across the different type of mutation (b) and across the different neuromuscular </w:t>
      </w:r>
      <w:r w:rsidR="00C03283" w:rsidRPr="00A872B9">
        <w:rPr>
          <w:i w:val="0"/>
          <w:color w:val="auto"/>
          <w:lang w:val="en-GB"/>
        </w:rPr>
        <w:t xml:space="preserve">phenotypes. Horizontal bars represent the mean values. Boxes include mean </w:t>
      </w:r>
      <w:r w:rsidR="00C03283" w:rsidRPr="00A872B9">
        <w:rPr>
          <w:i w:val="0"/>
          <w:color w:val="auto"/>
          <w:lang w:val="en-GB"/>
        </w:rPr>
        <w:lastRenderedPageBreak/>
        <w:t>+/-25</w:t>
      </w:r>
      <w:r w:rsidR="00C03283" w:rsidRPr="00A872B9">
        <w:rPr>
          <w:i w:val="0"/>
          <w:noProof/>
          <w:color w:val="auto"/>
          <w:lang w:val="en-GB"/>
        </w:rPr>
        <w:t xml:space="preserve">% of data. </w:t>
      </w:r>
      <w:r w:rsidR="00C03283" w:rsidRPr="00A872B9">
        <w:rPr>
          <w:i w:val="0"/>
          <w:color w:val="auto"/>
          <w:lang w:val="en-GB"/>
        </w:rPr>
        <w:t>Abbreviations:</w:t>
      </w:r>
      <w:r w:rsidR="00F42711" w:rsidRPr="00A872B9">
        <w:rPr>
          <w:i w:val="0"/>
          <w:color w:val="auto"/>
          <w:lang w:val="en-GB"/>
        </w:rPr>
        <w:t xml:space="preserve"> DGUOK= </w:t>
      </w:r>
      <w:proofErr w:type="spellStart"/>
      <w:r w:rsidR="00F42711" w:rsidRPr="00A872B9">
        <w:rPr>
          <w:i w:val="0"/>
          <w:color w:val="auto"/>
          <w:lang w:val="en-GB"/>
        </w:rPr>
        <w:t>deoxyguanosine</w:t>
      </w:r>
      <w:proofErr w:type="spellEnd"/>
      <w:r w:rsidR="00F42711" w:rsidRPr="00A872B9">
        <w:rPr>
          <w:i w:val="0"/>
          <w:color w:val="auto"/>
          <w:lang w:val="en-GB"/>
        </w:rPr>
        <w:t xml:space="preserve"> kinase; MELAS= mitochondrial encephalopathy, lactic acidosis and stroke-like episodes; MGME1= mitochondrial genome maintenance exonuclease 1; MICU1= mitochondrial calcium uptake 1; MM= other point </w:t>
      </w:r>
      <w:proofErr w:type="spellStart"/>
      <w:r w:rsidR="00F42711" w:rsidRPr="00A872B9">
        <w:rPr>
          <w:i w:val="0"/>
          <w:color w:val="auto"/>
          <w:lang w:val="en-GB"/>
        </w:rPr>
        <w:t>mtDNA</w:t>
      </w:r>
      <w:proofErr w:type="spellEnd"/>
      <w:r w:rsidR="00F42711" w:rsidRPr="00A872B9">
        <w:rPr>
          <w:i w:val="0"/>
          <w:color w:val="auto"/>
          <w:lang w:val="en-GB"/>
        </w:rPr>
        <w:t xml:space="preserve"> mutations; </w:t>
      </w:r>
      <w:proofErr w:type="spellStart"/>
      <w:r w:rsidR="00F42711" w:rsidRPr="00A872B9">
        <w:rPr>
          <w:i w:val="0"/>
          <w:color w:val="auto"/>
          <w:lang w:val="en-GB"/>
        </w:rPr>
        <w:t>multiple_del</w:t>
      </w:r>
      <w:proofErr w:type="spellEnd"/>
      <w:r w:rsidR="00F42711" w:rsidRPr="00A872B9">
        <w:rPr>
          <w:i w:val="0"/>
          <w:color w:val="auto"/>
          <w:lang w:val="en-GB"/>
        </w:rPr>
        <w:t xml:space="preserve">: multiple </w:t>
      </w:r>
      <w:proofErr w:type="spellStart"/>
      <w:r w:rsidR="00F42711" w:rsidRPr="00A872B9">
        <w:rPr>
          <w:i w:val="0"/>
          <w:color w:val="auto"/>
          <w:lang w:val="en-GB"/>
        </w:rPr>
        <w:t>mtDNA</w:t>
      </w:r>
      <w:proofErr w:type="spellEnd"/>
      <w:r w:rsidR="00F42711" w:rsidRPr="00A872B9">
        <w:rPr>
          <w:i w:val="0"/>
          <w:color w:val="auto"/>
          <w:lang w:val="en-GB"/>
        </w:rPr>
        <w:t xml:space="preserve"> deletions; OPA1= OPA1 mitochondrial dynamin like GTPase; POLG= DNA polymerase gamma; </w:t>
      </w:r>
      <w:proofErr w:type="spellStart"/>
      <w:r w:rsidR="00F42711" w:rsidRPr="00A872B9">
        <w:rPr>
          <w:i w:val="0"/>
          <w:color w:val="auto"/>
          <w:lang w:val="en-GB"/>
        </w:rPr>
        <w:t>single_del</w:t>
      </w:r>
      <w:proofErr w:type="spellEnd"/>
      <w:r w:rsidR="00F42711" w:rsidRPr="00A872B9">
        <w:rPr>
          <w:i w:val="0"/>
          <w:color w:val="auto"/>
          <w:lang w:val="en-GB"/>
        </w:rPr>
        <w:t xml:space="preserve">= single </w:t>
      </w:r>
      <w:proofErr w:type="spellStart"/>
      <w:r w:rsidR="00F42711" w:rsidRPr="00A872B9">
        <w:rPr>
          <w:i w:val="0"/>
          <w:color w:val="auto"/>
          <w:lang w:val="en-GB"/>
        </w:rPr>
        <w:t>mtDNA</w:t>
      </w:r>
      <w:proofErr w:type="spellEnd"/>
      <w:r w:rsidR="00F42711" w:rsidRPr="00A872B9">
        <w:rPr>
          <w:i w:val="0"/>
          <w:color w:val="auto"/>
          <w:lang w:val="en-GB"/>
        </w:rPr>
        <w:t xml:space="preserve"> deletion.</w:t>
      </w:r>
      <w:r w:rsidR="00C03283" w:rsidRPr="00A872B9">
        <w:rPr>
          <w:i w:val="0"/>
          <w:color w:val="auto"/>
          <w:lang w:val="en-GB"/>
        </w:rPr>
        <w:t xml:space="preserve"> ADOA= autosomal dominant optic atrophy; CPEO= chronic progressive external ophthalmoplegia; KSS= Kearns-Sayre syndrome; MELAS= mitochondrial encephalopathy, lactic acidosis and stroke-like episodes; MM=mitochondrial myopathy.</w:t>
      </w:r>
    </w:p>
    <w:p w14:paraId="5A7F7CFF" w14:textId="77777777" w:rsidR="002B67D8" w:rsidRPr="002B67D8" w:rsidRDefault="002B67D8" w:rsidP="002B67D8">
      <w:pPr>
        <w:rPr>
          <w:lang w:val="en-GB"/>
        </w:rPr>
      </w:pPr>
    </w:p>
    <w:p w14:paraId="3A79E20A" w14:textId="77777777" w:rsidR="00C90EDE" w:rsidRDefault="00A66773" w:rsidP="00C90EDE">
      <w:pPr>
        <w:pStyle w:val="Didascalia"/>
        <w:keepNext/>
        <w:jc w:val="center"/>
      </w:pPr>
      <w:r>
        <w:rPr>
          <w:noProof/>
          <w:lang w:eastAsia="it-IT"/>
        </w:rPr>
        <w:drawing>
          <wp:inline distT="0" distB="0" distL="0" distR="0" wp14:anchorId="3DF6FBA1" wp14:editId="1853D8C1">
            <wp:extent cx="3886200" cy="329565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attato.gif"/>
                    <pic:cNvPicPr/>
                  </pic:nvPicPr>
                  <pic:blipFill>
                    <a:blip r:embed="rId8">
                      <a:extLst>
                        <a:ext uri="{28A0092B-C50C-407E-A947-70E740481C1C}">
                          <a14:useLocalDpi xmlns:a14="http://schemas.microsoft.com/office/drawing/2010/main" val="0"/>
                        </a:ext>
                      </a:extLst>
                    </a:blip>
                    <a:stretch>
                      <a:fillRect/>
                    </a:stretch>
                  </pic:blipFill>
                  <pic:spPr>
                    <a:xfrm>
                      <a:off x="0" y="0"/>
                      <a:ext cx="3919558" cy="3323939"/>
                    </a:xfrm>
                    <a:prstGeom prst="rect">
                      <a:avLst/>
                    </a:prstGeom>
                  </pic:spPr>
                </pic:pic>
              </a:graphicData>
            </a:graphic>
          </wp:inline>
        </w:drawing>
      </w:r>
    </w:p>
    <w:p w14:paraId="70E166E2" w14:textId="5A9B7AE1" w:rsidR="00C90EDE" w:rsidRDefault="002B67D8" w:rsidP="00A872B9">
      <w:pPr>
        <w:pStyle w:val="Didascalia"/>
        <w:spacing w:line="480" w:lineRule="auto"/>
        <w:rPr>
          <w:i w:val="0"/>
          <w:color w:val="auto"/>
          <w:lang w:val="en-GB"/>
        </w:rPr>
      </w:pPr>
      <w:r>
        <w:rPr>
          <w:i w:val="0"/>
          <w:color w:val="auto"/>
          <w:lang w:val="en-US"/>
        </w:rPr>
        <w:t>Supplementary Information</w:t>
      </w:r>
      <w:r w:rsidR="00A872B9" w:rsidRPr="00A872B9">
        <w:rPr>
          <w:i w:val="0"/>
          <w:color w:val="auto"/>
          <w:lang w:val="en-US"/>
        </w:rPr>
        <w:t xml:space="preserve"> </w:t>
      </w:r>
      <w:r>
        <w:rPr>
          <w:i w:val="0"/>
          <w:color w:val="auto"/>
          <w:lang w:val="en-US"/>
        </w:rPr>
        <w:t>3</w:t>
      </w:r>
      <w:r w:rsidR="00C90EDE" w:rsidRPr="00A872B9">
        <w:rPr>
          <w:i w:val="0"/>
          <w:color w:val="auto"/>
          <w:lang w:val="en-US"/>
        </w:rPr>
        <w:t>:</w:t>
      </w:r>
      <w:r w:rsidR="00C90EDE" w:rsidRPr="00A872B9">
        <w:rPr>
          <w:i w:val="0"/>
          <w:color w:val="auto"/>
          <w:lang w:val="en-GB"/>
        </w:rPr>
        <w:t xml:space="preserve"> Box plot of blood lactate levels among patients without migraine (on the left) or with migraine (on the right). Dashed line indicate the upper limit of normality of our laboratory. Note the association between higher lactate levels and the diagnosis of migraine </w:t>
      </w:r>
    </w:p>
    <w:p w14:paraId="19C5F0EB" w14:textId="653A0C0E" w:rsidR="002B67D8" w:rsidRPr="007728E3" w:rsidRDefault="007728E3" w:rsidP="002B67D8">
      <w:pPr>
        <w:rPr>
          <w:lang w:val="en-GB"/>
        </w:rPr>
      </w:pPr>
      <w:r>
        <w:rPr>
          <w:noProof/>
        </w:rPr>
        <w:lastRenderedPageBreak/>
        <w:drawing>
          <wp:inline distT="0" distB="0" distL="0" distR="0" wp14:anchorId="7EED506C" wp14:editId="2813A038">
            <wp:extent cx="6120130" cy="8644890"/>
            <wp:effectExtent l="0" t="0" r="0" b="381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120130" cy="8644890"/>
                    </a:xfrm>
                    <a:prstGeom prst="rect">
                      <a:avLst/>
                    </a:prstGeom>
                  </pic:spPr>
                </pic:pic>
              </a:graphicData>
            </a:graphic>
          </wp:inline>
        </w:drawing>
      </w:r>
      <w:bookmarkStart w:id="0" w:name="_GoBack"/>
      <w:bookmarkEnd w:id="0"/>
    </w:p>
    <w:p w14:paraId="67EB2FE1" w14:textId="33B71C59" w:rsidR="002B67D8" w:rsidRPr="00DC3C84" w:rsidRDefault="002B67D8" w:rsidP="002B67D8">
      <w:pPr>
        <w:pStyle w:val="Didascalia"/>
        <w:spacing w:line="480" w:lineRule="auto"/>
        <w:rPr>
          <w:rFonts w:cstheme="minorHAnsi"/>
          <w:i w:val="0"/>
          <w:color w:val="auto"/>
          <w:sz w:val="20"/>
          <w:szCs w:val="20"/>
          <w:lang w:val="en-US"/>
        </w:rPr>
      </w:pPr>
      <w:proofErr w:type="spellStart"/>
      <w:r w:rsidRPr="00DC3C84">
        <w:rPr>
          <w:rFonts w:cstheme="minorHAnsi"/>
          <w:i w:val="0"/>
          <w:color w:val="auto"/>
          <w:sz w:val="20"/>
          <w:szCs w:val="20"/>
          <w:lang w:val="fr-FR"/>
        </w:rPr>
        <w:lastRenderedPageBreak/>
        <w:t>Supplementary</w:t>
      </w:r>
      <w:proofErr w:type="spellEnd"/>
      <w:r w:rsidRPr="00DC3C84">
        <w:rPr>
          <w:rFonts w:cstheme="minorHAnsi"/>
          <w:i w:val="0"/>
          <w:color w:val="auto"/>
          <w:sz w:val="20"/>
          <w:szCs w:val="20"/>
          <w:lang w:val="fr-FR"/>
        </w:rPr>
        <w:t xml:space="preserve"> Information </w:t>
      </w:r>
      <w:r>
        <w:rPr>
          <w:rFonts w:cstheme="minorHAnsi"/>
          <w:i w:val="0"/>
          <w:color w:val="auto"/>
          <w:sz w:val="20"/>
          <w:szCs w:val="20"/>
          <w:lang w:val="fr-FR"/>
        </w:rPr>
        <w:t>4</w:t>
      </w:r>
      <w:r w:rsidRPr="00DC3C84">
        <w:rPr>
          <w:rFonts w:cstheme="minorHAnsi"/>
          <w:i w:val="0"/>
          <w:color w:val="auto"/>
          <w:sz w:val="20"/>
          <w:szCs w:val="20"/>
          <w:lang w:val="fr-FR"/>
        </w:rPr>
        <w:t xml:space="preserve">: </w:t>
      </w:r>
      <w:proofErr w:type="spellStart"/>
      <w:r w:rsidRPr="00DC3C84">
        <w:rPr>
          <w:rFonts w:cstheme="minorHAnsi"/>
          <w:i w:val="0"/>
          <w:color w:val="auto"/>
          <w:sz w:val="20"/>
          <w:szCs w:val="20"/>
          <w:lang w:val="fr-FR"/>
        </w:rPr>
        <w:t>Retrospective</w:t>
      </w:r>
      <w:proofErr w:type="spellEnd"/>
      <w:r w:rsidRPr="00DC3C84">
        <w:rPr>
          <w:rFonts w:cstheme="minorHAnsi"/>
          <w:i w:val="0"/>
          <w:color w:val="auto"/>
          <w:sz w:val="20"/>
          <w:szCs w:val="20"/>
          <w:lang w:val="fr-FR"/>
        </w:rPr>
        <w:t xml:space="preserve"> semi-</w:t>
      </w:r>
      <w:proofErr w:type="spellStart"/>
      <w:r w:rsidRPr="00DC3C84">
        <w:rPr>
          <w:rFonts w:cstheme="minorHAnsi"/>
          <w:i w:val="0"/>
          <w:color w:val="auto"/>
          <w:sz w:val="20"/>
          <w:szCs w:val="20"/>
          <w:lang w:val="fr-FR"/>
        </w:rPr>
        <w:t>structured</w:t>
      </w:r>
      <w:proofErr w:type="spellEnd"/>
      <w:r w:rsidRPr="00DC3C84">
        <w:rPr>
          <w:rFonts w:cstheme="minorHAnsi"/>
          <w:i w:val="0"/>
          <w:color w:val="auto"/>
          <w:sz w:val="20"/>
          <w:szCs w:val="20"/>
          <w:lang w:val="fr-FR"/>
        </w:rPr>
        <w:t xml:space="preserve"> trigger questionnaire. </w:t>
      </w:r>
      <w:r w:rsidRPr="00DC3C84">
        <w:rPr>
          <w:rFonts w:cstheme="minorHAnsi"/>
          <w:i w:val="0"/>
          <w:color w:val="auto"/>
          <w:sz w:val="20"/>
          <w:szCs w:val="20"/>
          <w:lang w:val="en-US"/>
        </w:rPr>
        <w:t>The patient was asked to fill in the form, composed of 66 items, checking (X) those boxes corresponding to trigger factors he/she recognizes relevant for his/her migraine attacks.</w:t>
      </w:r>
    </w:p>
    <w:p w14:paraId="09017142" w14:textId="1234D05C" w:rsidR="00A66773" w:rsidRPr="002B67D8" w:rsidRDefault="00A66773" w:rsidP="002B67D8">
      <w:pPr>
        <w:rPr>
          <w:lang w:val="en-US"/>
        </w:rPr>
      </w:pPr>
    </w:p>
    <w:sectPr w:rsidR="00A66773" w:rsidRPr="002B67D8">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331138" w14:textId="77777777" w:rsidR="00F61905" w:rsidRDefault="00F61905" w:rsidP="00D545F1">
      <w:pPr>
        <w:spacing w:after="0" w:line="240" w:lineRule="auto"/>
      </w:pPr>
      <w:r>
        <w:separator/>
      </w:r>
    </w:p>
  </w:endnote>
  <w:endnote w:type="continuationSeparator" w:id="0">
    <w:p w14:paraId="0821043B" w14:textId="77777777" w:rsidR="00F61905" w:rsidRDefault="00F61905" w:rsidP="00D545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97D7C29" w14:textId="77777777" w:rsidR="00F61905" w:rsidRDefault="00F61905" w:rsidP="00D545F1">
      <w:pPr>
        <w:spacing w:after="0" w:line="240" w:lineRule="auto"/>
      </w:pPr>
      <w:r>
        <w:separator/>
      </w:r>
    </w:p>
  </w:footnote>
  <w:footnote w:type="continuationSeparator" w:id="0">
    <w:p w14:paraId="5C2C5E9E" w14:textId="77777777" w:rsidR="00F61905" w:rsidRDefault="00F61905" w:rsidP="00D545F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71EB"/>
    <w:rsid w:val="00000E28"/>
    <w:rsid w:val="00080B49"/>
    <w:rsid w:val="00090277"/>
    <w:rsid w:val="000A7F33"/>
    <w:rsid w:val="00282986"/>
    <w:rsid w:val="002B67D8"/>
    <w:rsid w:val="002C3BB7"/>
    <w:rsid w:val="003123C4"/>
    <w:rsid w:val="003400FA"/>
    <w:rsid w:val="003C0E0A"/>
    <w:rsid w:val="003E1061"/>
    <w:rsid w:val="003F49D4"/>
    <w:rsid w:val="00553E28"/>
    <w:rsid w:val="00585476"/>
    <w:rsid w:val="0059596E"/>
    <w:rsid w:val="005A0010"/>
    <w:rsid w:val="005F0DDC"/>
    <w:rsid w:val="007338DB"/>
    <w:rsid w:val="007728E3"/>
    <w:rsid w:val="00827747"/>
    <w:rsid w:val="008F7FAA"/>
    <w:rsid w:val="009F3596"/>
    <w:rsid w:val="00A66773"/>
    <w:rsid w:val="00A872B9"/>
    <w:rsid w:val="00B24290"/>
    <w:rsid w:val="00B5109C"/>
    <w:rsid w:val="00B92333"/>
    <w:rsid w:val="00BC4469"/>
    <w:rsid w:val="00C03283"/>
    <w:rsid w:val="00C30F84"/>
    <w:rsid w:val="00C55D0D"/>
    <w:rsid w:val="00C90EDE"/>
    <w:rsid w:val="00D247CC"/>
    <w:rsid w:val="00D545F1"/>
    <w:rsid w:val="00DB71EB"/>
    <w:rsid w:val="00DC3C84"/>
    <w:rsid w:val="00DE7D0B"/>
    <w:rsid w:val="00E13DF1"/>
    <w:rsid w:val="00E167ED"/>
    <w:rsid w:val="00EB0E82"/>
    <w:rsid w:val="00ED2D91"/>
    <w:rsid w:val="00F42711"/>
    <w:rsid w:val="00F6190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79E37E"/>
  <w15:docId w15:val="{152E8EA1-AB0F-4C2B-9C85-636026E52E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7338DB"/>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7338DB"/>
    <w:rPr>
      <w:rFonts w:ascii="Segoe UI" w:hAnsi="Segoe UI" w:cs="Segoe UI"/>
      <w:sz w:val="18"/>
      <w:szCs w:val="18"/>
    </w:rPr>
  </w:style>
  <w:style w:type="paragraph" w:styleId="Didascalia">
    <w:name w:val="caption"/>
    <w:basedOn w:val="Normale"/>
    <w:next w:val="Normale"/>
    <w:uiPriority w:val="35"/>
    <w:unhideWhenUsed/>
    <w:qFormat/>
    <w:rsid w:val="007338DB"/>
    <w:pPr>
      <w:spacing w:after="200" w:line="240" w:lineRule="auto"/>
    </w:pPr>
    <w:rPr>
      <w:i/>
      <w:iCs/>
      <w:color w:val="44546A" w:themeColor="text2"/>
      <w:sz w:val="18"/>
      <w:szCs w:val="18"/>
    </w:rPr>
  </w:style>
  <w:style w:type="paragraph" w:styleId="Intestazione">
    <w:name w:val="header"/>
    <w:basedOn w:val="Normale"/>
    <w:link w:val="IntestazioneCarattere"/>
    <w:uiPriority w:val="99"/>
    <w:unhideWhenUsed/>
    <w:rsid w:val="00D545F1"/>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D545F1"/>
  </w:style>
  <w:style w:type="paragraph" w:styleId="Pidipagina">
    <w:name w:val="footer"/>
    <w:basedOn w:val="Normale"/>
    <w:link w:val="PidipaginaCarattere"/>
    <w:uiPriority w:val="99"/>
    <w:unhideWhenUsed/>
    <w:rsid w:val="00D545F1"/>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D545F1"/>
  </w:style>
  <w:style w:type="character" w:styleId="Rimandocommento">
    <w:name w:val="annotation reference"/>
    <w:basedOn w:val="Carpredefinitoparagrafo"/>
    <w:uiPriority w:val="99"/>
    <w:semiHidden/>
    <w:unhideWhenUsed/>
    <w:rsid w:val="00D545F1"/>
    <w:rPr>
      <w:sz w:val="16"/>
      <w:szCs w:val="16"/>
    </w:rPr>
  </w:style>
  <w:style w:type="paragraph" w:styleId="Testocommento">
    <w:name w:val="annotation text"/>
    <w:basedOn w:val="Normale"/>
    <w:link w:val="TestocommentoCarattere"/>
    <w:uiPriority w:val="99"/>
    <w:semiHidden/>
    <w:unhideWhenUsed/>
    <w:rsid w:val="00D545F1"/>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D545F1"/>
    <w:rPr>
      <w:sz w:val="20"/>
      <w:szCs w:val="20"/>
    </w:rPr>
  </w:style>
  <w:style w:type="paragraph" w:styleId="Soggettocommento">
    <w:name w:val="annotation subject"/>
    <w:basedOn w:val="Testocommento"/>
    <w:next w:val="Testocommento"/>
    <w:link w:val="SoggettocommentoCarattere"/>
    <w:uiPriority w:val="99"/>
    <w:semiHidden/>
    <w:unhideWhenUsed/>
    <w:rsid w:val="00D545F1"/>
    <w:rPr>
      <w:b/>
      <w:bCs/>
    </w:rPr>
  </w:style>
  <w:style w:type="character" w:customStyle="1" w:styleId="SoggettocommentoCarattere">
    <w:name w:val="Soggetto commento Carattere"/>
    <w:basedOn w:val="TestocommentoCarattere"/>
    <w:link w:val="Soggettocommento"/>
    <w:uiPriority w:val="99"/>
    <w:semiHidden/>
    <w:rsid w:val="00D545F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gif"/><Relationship Id="rId3" Type="http://schemas.openxmlformats.org/officeDocument/2006/relationships/webSettings" Target="webSettings.xml"/><Relationship Id="rId7" Type="http://schemas.openxmlformats.org/officeDocument/2006/relationships/image" Target="media/image2.jp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gif"/><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237</Words>
  <Characters>1352</Characters>
  <Application>Microsoft Office Word</Application>
  <DocSecurity>0</DocSecurity>
  <Lines>11</Lines>
  <Paragraphs>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Alberto Terrin</dc:creator>
  <cp:lastModifiedBy>Pegoraro Elena</cp:lastModifiedBy>
  <cp:revision>2</cp:revision>
  <cp:lastPrinted>2021-11-10T07:03:00Z</cp:lastPrinted>
  <dcterms:created xsi:type="dcterms:W3CDTF">2021-11-10T07:09:00Z</dcterms:created>
  <dcterms:modified xsi:type="dcterms:W3CDTF">2021-11-10T07:09:00Z</dcterms:modified>
</cp:coreProperties>
</file>