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486C" w14:textId="77777777" w:rsidR="001A5CB8" w:rsidRPr="00040055" w:rsidRDefault="001A5CB8" w:rsidP="001A5CB8">
      <w:pPr>
        <w:adjustRightInd w:val="0"/>
        <w:snapToGrid w:val="0"/>
        <w:rPr>
          <w:rFonts w:ascii="Times New Roman" w:hAnsi="Times New Roman" w:cs="Times New Roman"/>
        </w:rPr>
      </w:pPr>
      <w:bookmarkStart w:id="0" w:name="_Toc6321356"/>
      <w:bookmarkStart w:id="1" w:name="_Toc11100776"/>
      <w:r w:rsidRPr="00040055">
        <w:rPr>
          <w:rStyle w:val="a7"/>
          <w:rFonts w:ascii="Times New Roman" w:eastAsia="新細明體" w:hAnsi="Times New Roman" w:cs="Times New Roman"/>
          <w:b/>
          <w:bCs/>
          <w:color w:val="auto"/>
        </w:rPr>
        <w:t xml:space="preserve">Supplementary </w:t>
      </w:r>
      <w:r w:rsidRPr="00040055">
        <w:rPr>
          <w:rFonts w:ascii="Times New Roman" w:hAnsi="Times New Roman" w:cs="Times New Roman"/>
          <w:b/>
          <w:bCs/>
        </w:rPr>
        <w:t xml:space="preserve">Table 1. </w:t>
      </w:r>
      <w:r w:rsidRPr="00040055">
        <w:rPr>
          <w:rFonts w:ascii="Times New Roman" w:hAnsi="Times New Roman" w:cs="Times New Roman"/>
        </w:rPr>
        <w:t xml:space="preserve">Comparison of short-term recurrence rates (&lt;6 and &lt;12 months) among female patients with </w:t>
      </w:r>
      <w:r w:rsidRPr="00040055">
        <w:rPr>
          <w:rStyle w:val="a7"/>
          <w:rFonts w:ascii="Times New Roman" w:eastAsia="新細明體" w:hAnsi="Times New Roman" w:cs="Times New Roman"/>
          <w:color w:val="auto"/>
        </w:rPr>
        <w:t>early-stage IDC receiving different treatments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1"/>
        <w:gridCol w:w="2658"/>
        <w:gridCol w:w="2658"/>
        <w:gridCol w:w="1329"/>
      </w:tblGrid>
      <w:tr w:rsidR="00040055" w:rsidRPr="00040055" w14:paraId="6271E8FA" w14:textId="77777777" w:rsidTr="001A297A">
        <w:trPr>
          <w:trHeight w:val="642"/>
        </w:trPr>
        <w:tc>
          <w:tcPr>
            <w:tcW w:w="16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6F43BA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Treatment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25863760" w14:textId="77777777" w:rsidR="001A5CB8" w:rsidRPr="00040055" w:rsidRDefault="001A5CB8" w:rsidP="001A297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&lt;6 months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071AA5" w14:textId="77777777" w:rsidR="001A5CB8" w:rsidRPr="00040055" w:rsidRDefault="001A5CB8" w:rsidP="001A297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&lt;12 months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14:paraId="1095EB55" w14:textId="77777777" w:rsidR="001A5CB8" w:rsidRPr="00040055" w:rsidRDefault="001A5CB8" w:rsidP="001A297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  <w:i/>
                <w:iCs/>
              </w:rPr>
              <w:t>p</w:t>
            </w:r>
            <w:r w:rsidRPr="00040055">
              <w:rPr>
                <w:rFonts w:ascii="Times New Roman" w:eastAsia="標楷體" w:hAnsi="Times New Roman" w:cs="Times New Roman"/>
              </w:rPr>
              <w:t>-value</w:t>
            </w:r>
          </w:p>
        </w:tc>
      </w:tr>
      <w:tr w:rsidR="00040055" w:rsidRPr="00040055" w14:paraId="587CE1FE" w14:textId="77777777" w:rsidTr="001A297A">
        <w:trPr>
          <w:trHeight w:val="504"/>
        </w:trPr>
        <w:tc>
          <w:tcPr>
            <w:tcW w:w="16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03BB80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BCT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center"/>
          </w:tcPr>
          <w:p w14:paraId="753D00ED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0.05%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985B9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0.07%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</w:tcBorders>
            <w:vAlign w:val="center"/>
          </w:tcPr>
          <w:p w14:paraId="456BED56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&lt;0.001</w:t>
            </w:r>
          </w:p>
        </w:tc>
      </w:tr>
      <w:tr w:rsidR="00040055" w:rsidRPr="00040055" w14:paraId="44EF2092" w14:textId="77777777" w:rsidTr="001A297A">
        <w:trPr>
          <w:trHeight w:val="504"/>
        </w:trPr>
        <w:tc>
          <w:tcPr>
            <w:tcW w:w="1661" w:type="dxa"/>
            <w:shd w:val="clear" w:color="auto" w:fill="auto"/>
            <w:vAlign w:val="center"/>
          </w:tcPr>
          <w:p w14:paraId="49F6C0BD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MAS</w:t>
            </w:r>
          </w:p>
        </w:tc>
        <w:tc>
          <w:tcPr>
            <w:tcW w:w="2658" w:type="dxa"/>
            <w:vAlign w:val="center"/>
          </w:tcPr>
          <w:p w14:paraId="1A4CE8FB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0.12%</w:t>
            </w:r>
          </w:p>
        </w:tc>
        <w:tc>
          <w:tcPr>
            <w:tcW w:w="2658" w:type="dxa"/>
            <w:shd w:val="clear" w:color="auto" w:fill="auto"/>
            <w:vAlign w:val="center"/>
          </w:tcPr>
          <w:p w14:paraId="1392A241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0.14%</w:t>
            </w:r>
          </w:p>
        </w:tc>
        <w:tc>
          <w:tcPr>
            <w:tcW w:w="1329" w:type="dxa"/>
            <w:vMerge/>
            <w:vAlign w:val="center"/>
          </w:tcPr>
          <w:p w14:paraId="7B674C82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40055" w:rsidRPr="00040055" w14:paraId="260A27F2" w14:textId="77777777" w:rsidTr="001A297A">
        <w:trPr>
          <w:trHeight w:val="401"/>
        </w:trPr>
        <w:tc>
          <w:tcPr>
            <w:tcW w:w="16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C158EF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MAS+RT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vAlign w:val="center"/>
          </w:tcPr>
          <w:p w14:paraId="287D7EC6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0.10%</w:t>
            </w: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754360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0.14%</w:t>
            </w:r>
          </w:p>
        </w:tc>
        <w:tc>
          <w:tcPr>
            <w:tcW w:w="1329" w:type="dxa"/>
            <w:vMerge/>
            <w:tcBorders>
              <w:bottom w:val="single" w:sz="4" w:space="0" w:color="auto"/>
            </w:tcBorders>
            <w:vAlign w:val="center"/>
          </w:tcPr>
          <w:p w14:paraId="3AA6A4B9" w14:textId="77777777" w:rsidR="001A5CB8" w:rsidRPr="00040055" w:rsidRDefault="001A5CB8" w:rsidP="001A297A">
            <w:pPr>
              <w:pStyle w:val="a3"/>
              <w:widowControl/>
              <w:adjustRightInd w:val="0"/>
              <w:snapToGrid w:val="0"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6EAB477A" w14:textId="53749618" w:rsidR="001A5CB8" w:rsidRPr="00040055" w:rsidRDefault="001A5CB8" w:rsidP="001A5CB8">
      <w:pPr>
        <w:adjustRightInd w:val="0"/>
        <w:snapToGrid w:val="0"/>
        <w:rPr>
          <w:rFonts w:ascii="Times New Roman" w:hAnsi="Times New Roman" w:cs="Times New Roman"/>
          <w:b/>
          <w:bCs/>
        </w:rPr>
        <w:sectPr w:rsidR="001A5CB8" w:rsidRPr="00040055" w:rsidSect="008A28E3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040055">
        <w:rPr>
          <w:rFonts w:ascii="Times New Roman" w:eastAsia="標楷體" w:hAnsi="Times New Roman" w:cs="Times New Roman"/>
        </w:rPr>
        <w:t xml:space="preserve">IDC, </w:t>
      </w:r>
      <w:r w:rsidRPr="00040055">
        <w:rPr>
          <w:rStyle w:val="a7"/>
          <w:rFonts w:ascii="Times New Roman" w:eastAsia="新細明體" w:hAnsi="Times New Roman" w:cs="Times New Roman"/>
          <w:color w:val="auto"/>
        </w:rPr>
        <w:t>invasive ductal carcinoma;</w:t>
      </w:r>
      <w:r w:rsidRPr="00040055">
        <w:rPr>
          <w:rFonts w:ascii="Times New Roman" w:eastAsia="標楷體" w:hAnsi="Times New Roman" w:cs="Times New Roman"/>
        </w:rPr>
        <w:t xml:space="preserve"> BCT, breast conservative treatment; MAS, mastectomy; RT, radiotherapy</w:t>
      </w:r>
      <w:r w:rsidR="00043E24" w:rsidRPr="00040055">
        <w:rPr>
          <w:rFonts w:ascii="Times New Roman" w:eastAsia="標楷體" w:hAnsi="Times New Roman" w:cs="Times New Roman"/>
        </w:rPr>
        <w:t>.</w:t>
      </w:r>
    </w:p>
    <w:p w14:paraId="3BE207FC" w14:textId="77777777" w:rsidR="001A5CB8" w:rsidRPr="00040055" w:rsidRDefault="001A5CB8" w:rsidP="001A5CB8">
      <w:pPr>
        <w:adjustRightInd w:val="0"/>
        <w:snapToGrid w:val="0"/>
        <w:rPr>
          <w:rStyle w:val="a7"/>
          <w:rFonts w:ascii="Times New Roman" w:eastAsia="新細明體" w:hAnsi="Times New Roman" w:cs="Times New Roman"/>
          <w:color w:val="auto"/>
        </w:rPr>
      </w:pPr>
      <w:bookmarkStart w:id="2" w:name="_Hlk66453474"/>
      <w:r w:rsidRPr="00040055">
        <w:rPr>
          <w:rStyle w:val="a7"/>
          <w:rFonts w:ascii="Times New Roman" w:eastAsia="新細明體" w:hAnsi="Times New Roman" w:cs="Times New Roman"/>
          <w:b/>
          <w:bCs/>
          <w:color w:val="auto"/>
        </w:rPr>
        <w:lastRenderedPageBreak/>
        <w:t xml:space="preserve">Supplementary </w:t>
      </w:r>
      <w:r w:rsidRPr="00040055">
        <w:rPr>
          <w:rFonts w:ascii="Times New Roman" w:hAnsi="Times New Roman" w:cs="Times New Roman"/>
          <w:b/>
          <w:bCs/>
        </w:rPr>
        <w:t xml:space="preserve">Table 2. </w:t>
      </w:r>
      <w:r w:rsidRPr="00040055">
        <w:rPr>
          <w:rFonts w:ascii="Times New Roman" w:hAnsi="Times New Roman" w:cs="Times New Roman"/>
        </w:rPr>
        <w:t xml:space="preserve">Comparison of long-term recurrence rates among female patients with </w:t>
      </w:r>
      <w:r w:rsidRPr="00040055">
        <w:rPr>
          <w:rStyle w:val="a7"/>
          <w:rFonts w:ascii="Times New Roman" w:eastAsia="新細明體" w:hAnsi="Times New Roman" w:cs="Times New Roman"/>
          <w:color w:val="auto"/>
        </w:rPr>
        <w:t>early-stage IDC receiving different treatments</w:t>
      </w:r>
    </w:p>
    <w:tbl>
      <w:tblPr>
        <w:tblW w:w="8647" w:type="dxa"/>
        <w:tblLook w:val="04A0" w:firstRow="1" w:lastRow="0" w:firstColumn="1" w:lastColumn="0" w:noHBand="0" w:noVBand="1"/>
      </w:tblPr>
      <w:tblGrid>
        <w:gridCol w:w="1194"/>
        <w:gridCol w:w="1236"/>
        <w:gridCol w:w="1213"/>
        <w:gridCol w:w="1212"/>
        <w:gridCol w:w="1213"/>
        <w:gridCol w:w="1213"/>
        <w:gridCol w:w="1366"/>
      </w:tblGrid>
      <w:tr w:rsidR="00040055" w:rsidRPr="00040055" w14:paraId="050E2C2A" w14:textId="77777777" w:rsidTr="001A297A">
        <w:trPr>
          <w:trHeight w:val="579"/>
        </w:trPr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bookmarkEnd w:id="2"/>
          <w:p w14:paraId="69592157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Treatment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1B60FBCC" w14:textId="77777777" w:rsidR="001A5CB8" w:rsidRPr="00040055" w:rsidRDefault="001A5CB8" w:rsidP="001A297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 year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72A877E1" w14:textId="77777777" w:rsidR="001A5CB8" w:rsidRPr="00040055" w:rsidRDefault="001A5CB8" w:rsidP="001A297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&lt;3 years</w:t>
            </w:r>
          </w:p>
        </w:tc>
        <w:tc>
          <w:tcPr>
            <w:tcW w:w="12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0BEA79" w14:textId="77777777" w:rsidR="001A5CB8" w:rsidRPr="00040055" w:rsidRDefault="001A5CB8" w:rsidP="001A297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&lt;5 years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2F07FD" w14:textId="77777777" w:rsidR="001A5CB8" w:rsidRPr="00040055" w:rsidRDefault="001A5CB8" w:rsidP="001A297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&lt;10 years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523B31" w14:textId="77777777" w:rsidR="001A5CB8" w:rsidRPr="00040055" w:rsidRDefault="001A5CB8" w:rsidP="001A297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&lt;15 years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vAlign w:val="center"/>
          </w:tcPr>
          <w:p w14:paraId="70B5AF2C" w14:textId="77777777" w:rsidR="001A5CB8" w:rsidRPr="00040055" w:rsidRDefault="001A5CB8" w:rsidP="001A297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  <w:i/>
                <w:iCs/>
              </w:rPr>
              <w:t>p</w:t>
            </w:r>
            <w:r w:rsidRPr="00040055">
              <w:rPr>
                <w:rFonts w:ascii="Times New Roman" w:eastAsia="標楷體" w:hAnsi="Times New Roman" w:cs="Times New Roman"/>
              </w:rPr>
              <w:t>-value</w:t>
            </w:r>
          </w:p>
        </w:tc>
      </w:tr>
      <w:tr w:rsidR="00040055" w:rsidRPr="00040055" w14:paraId="20CC18FC" w14:textId="77777777" w:rsidTr="001A297A">
        <w:trPr>
          <w:trHeight w:val="404"/>
        </w:trPr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C1006E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BCT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063A4625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0.07%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14:paraId="04A1A62D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0.12%</w:t>
            </w:r>
          </w:p>
        </w:tc>
        <w:tc>
          <w:tcPr>
            <w:tcW w:w="12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70D0AF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0.43%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02963A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2.01%</w:t>
            </w:r>
          </w:p>
        </w:tc>
        <w:tc>
          <w:tcPr>
            <w:tcW w:w="12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4A01F2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4.15%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</w:tcBorders>
            <w:vAlign w:val="center"/>
          </w:tcPr>
          <w:p w14:paraId="3B395058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&lt;0.001</w:t>
            </w:r>
          </w:p>
        </w:tc>
      </w:tr>
      <w:tr w:rsidR="00040055" w:rsidRPr="00040055" w14:paraId="4226C7D5" w14:textId="77777777" w:rsidTr="001A297A">
        <w:trPr>
          <w:trHeight w:val="435"/>
        </w:trPr>
        <w:tc>
          <w:tcPr>
            <w:tcW w:w="1194" w:type="dxa"/>
            <w:shd w:val="clear" w:color="auto" w:fill="auto"/>
            <w:vAlign w:val="center"/>
          </w:tcPr>
          <w:p w14:paraId="50E74D4B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MAS</w:t>
            </w:r>
          </w:p>
        </w:tc>
        <w:tc>
          <w:tcPr>
            <w:tcW w:w="1236" w:type="dxa"/>
            <w:vAlign w:val="center"/>
          </w:tcPr>
          <w:p w14:paraId="548D169A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0.14%</w:t>
            </w:r>
          </w:p>
        </w:tc>
        <w:tc>
          <w:tcPr>
            <w:tcW w:w="1213" w:type="dxa"/>
            <w:vAlign w:val="center"/>
          </w:tcPr>
          <w:p w14:paraId="43A9026A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0.20%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CE68A3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0.24%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A90FDAC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0.55%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7607BC3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0.81%</w:t>
            </w:r>
          </w:p>
        </w:tc>
        <w:tc>
          <w:tcPr>
            <w:tcW w:w="1366" w:type="dxa"/>
            <w:vMerge/>
            <w:vAlign w:val="center"/>
          </w:tcPr>
          <w:p w14:paraId="5B78BE3B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40055" w:rsidRPr="00040055" w14:paraId="6C8F78C4" w14:textId="77777777" w:rsidTr="001A297A"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CD0D85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MAS+RT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14:paraId="298C8AAC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0.14%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vAlign w:val="center"/>
          </w:tcPr>
          <w:p w14:paraId="0FB0BCC8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0.24%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70566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0.43%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A6CB22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0.68%</w:t>
            </w:r>
          </w:p>
        </w:tc>
        <w:tc>
          <w:tcPr>
            <w:tcW w:w="12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CBB037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  <w:r w:rsidRPr="00040055">
              <w:rPr>
                <w:rFonts w:ascii="Times New Roman" w:eastAsia="標楷體" w:hAnsi="Times New Roman"/>
                <w:szCs w:val="24"/>
              </w:rPr>
              <w:t>0.97%</w:t>
            </w:r>
          </w:p>
        </w:tc>
        <w:tc>
          <w:tcPr>
            <w:tcW w:w="1366" w:type="dxa"/>
            <w:vMerge/>
            <w:tcBorders>
              <w:bottom w:val="single" w:sz="4" w:space="0" w:color="auto"/>
            </w:tcBorders>
            <w:vAlign w:val="center"/>
          </w:tcPr>
          <w:p w14:paraId="5F341827" w14:textId="77777777" w:rsidR="001A5CB8" w:rsidRPr="00040055" w:rsidRDefault="001A5CB8" w:rsidP="001A297A">
            <w:pPr>
              <w:pStyle w:val="a3"/>
              <w:widowControl/>
              <w:spacing w:after="18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00D563EB" w14:textId="77777777" w:rsidR="00D162F4" w:rsidRPr="00040055" w:rsidRDefault="001A5CB8" w:rsidP="001A5CB8">
      <w:pPr>
        <w:adjustRightInd w:val="0"/>
        <w:snapToGrid w:val="0"/>
        <w:rPr>
          <w:rFonts w:ascii="Times New Roman" w:eastAsia="標楷體" w:hAnsi="Times New Roman" w:cs="Times New Roman"/>
        </w:rPr>
        <w:sectPr w:rsidR="00D162F4" w:rsidRPr="000400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bookmarkStart w:id="3" w:name="_Hlk66453488"/>
      <w:r w:rsidRPr="00040055">
        <w:rPr>
          <w:rFonts w:ascii="Times New Roman" w:eastAsia="標楷體" w:hAnsi="Times New Roman" w:cs="Times New Roman"/>
        </w:rPr>
        <w:t xml:space="preserve">IDC, </w:t>
      </w:r>
      <w:r w:rsidRPr="00040055">
        <w:rPr>
          <w:rStyle w:val="a7"/>
          <w:rFonts w:ascii="Times New Roman" w:eastAsia="新細明體" w:hAnsi="Times New Roman" w:cs="Times New Roman"/>
          <w:color w:val="auto"/>
        </w:rPr>
        <w:t>invasive ductal carcinoma;</w:t>
      </w:r>
      <w:r w:rsidRPr="00040055">
        <w:rPr>
          <w:rFonts w:ascii="Times New Roman" w:eastAsia="標楷體" w:hAnsi="Times New Roman" w:cs="Times New Roman"/>
        </w:rPr>
        <w:t xml:space="preserve"> BCT, breast conservative treatment; MAS, mastectomy; RT, radiotherapy</w:t>
      </w:r>
      <w:bookmarkEnd w:id="0"/>
      <w:bookmarkEnd w:id="1"/>
      <w:r w:rsidR="006E2544" w:rsidRPr="00040055">
        <w:rPr>
          <w:rFonts w:ascii="Times New Roman" w:eastAsia="標楷體" w:hAnsi="Times New Roman" w:cs="Times New Roman"/>
        </w:rPr>
        <w:t>.</w:t>
      </w:r>
    </w:p>
    <w:p w14:paraId="6AF88E10" w14:textId="5C6EF69E" w:rsidR="006A272F" w:rsidRPr="00040055" w:rsidRDefault="00D162F4" w:rsidP="001A5CB8">
      <w:pPr>
        <w:adjustRightInd w:val="0"/>
        <w:snapToGrid w:val="0"/>
        <w:rPr>
          <w:rFonts w:ascii="Times New Roman" w:hAnsi="Times New Roman" w:cs="Times New Roman"/>
        </w:rPr>
      </w:pPr>
      <w:r w:rsidRPr="00040055">
        <w:rPr>
          <w:rStyle w:val="a7"/>
          <w:rFonts w:ascii="Times New Roman" w:eastAsia="新細明體" w:hAnsi="Times New Roman" w:cs="Times New Roman"/>
          <w:b/>
          <w:bCs/>
          <w:color w:val="auto"/>
        </w:rPr>
        <w:lastRenderedPageBreak/>
        <w:t xml:space="preserve">Supplementary </w:t>
      </w:r>
      <w:r w:rsidRPr="00040055">
        <w:rPr>
          <w:rFonts w:ascii="Times New Roman" w:hAnsi="Times New Roman" w:cs="Times New Roman"/>
          <w:b/>
          <w:bCs/>
        </w:rPr>
        <w:t xml:space="preserve">Table 3. </w:t>
      </w:r>
      <w:r w:rsidRPr="00040055">
        <w:rPr>
          <w:rFonts w:ascii="Times New Roman" w:hAnsi="Times New Roman" w:cs="Times New Roman"/>
        </w:rPr>
        <w:t xml:space="preserve">Follow-up rates and numbers of subjects at risk at each follow-up time-points  </w:t>
      </w:r>
    </w:p>
    <w:tbl>
      <w:tblPr>
        <w:tblStyle w:val="a8"/>
        <w:tblW w:w="9640" w:type="dxa"/>
        <w:tblInd w:w="-4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251"/>
        <w:gridCol w:w="1037"/>
        <w:gridCol w:w="1114"/>
        <w:gridCol w:w="1276"/>
        <w:gridCol w:w="1275"/>
        <w:gridCol w:w="1276"/>
      </w:tblGrid>
      <w:tr w:rsidR="00040055" w:rsidRPr="00040055" w14:paraId="7434F92A" w14:textId="77777777" w:rsidTr="00D162F4"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616D2D9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Treatment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4A3A67F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N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nil"/>
            </w:tcBorders>
          </w:tcPr>
          <w:p w14:paraId="453743E8" w14:textId="4EBF5C0D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Number at risk (</w:t>
            </w:r>
            <w:r w:rsidR="00130599" w:rsidRPr="00040055">
              <w:rPr>
                <w:rFonts w:ascii="Times New Roman" w:eastAsia="標楷體" w:hAnsi="Times New Roman" w:cs="Times New Roman"/>
              </w:rPr>
              <w:t>f</w:t>
            </w:r>
            <w:r w:rsidRPr="00040055">
              <w:rPr>
                <w:rFonts w:ascii="Times New Roman" w:eastAsia="標楷體" w:hAnsi="Times New Roman" w:cs="Times New Roman"/>
              </w:rPr>
              <w:t>ollow-up rates)</w:t>
            </w:r>
          </w:p>
        </w:tc>
      </w:tr>
      <w:tr w:rsidR="00040055" w:rsidRPr="00040055" w14:paraId="4543144C" w14:textId="77777777" w:rsidTr="00D162F4"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F47B0F4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C5C3B4F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1" w:type="dxa"/>
            <w:tcBorders>
              <w:top w:val="nil"/>
              <w:bottom w:val="single" w:sz="4" w:space="0" w:color="auto"/>
            </w:tcBorders>
          </w:tcPr>
          <w:p w14:paraId="295C2828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&lt;6 months</w:t>
            </w:r>
          </w:p>
        </w:tc>
        <w:tc>
          <w:tcPr>
            <w:tcW w:w="1037" w:type="dxa"/>
            <w:tcBorders>
              <w:top w:val="nil"/>
              <w:bottom w:val="single" w:sz="4" w:space="0" w:color="auto"/>
            </w:tcBorders>
            <w:vAlign w:val="center"/>
          </w:tcPr>
          <w:p w14:paraId="4F7D5415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 year</w:t>
            </w:r>
          </w:p>
        </w:tc>
        <w:tc>
          <w:tcPr>
            <w:tcW w:w="1114" w:type="dxa"/>
            <w:tcBorders>
              <w:top w:val="nil"/>
              <w:bottom w:val="single" w:sz="4" w:space="0" w:color="auto"/>
            </w:tcBorders>
            <w:vAlign w:val="center"/>
          </w:tcPr>
          <w:p w14:paraId="160F8365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&lt;3 years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6C308464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&lt;5 years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14:paraId="1C53F434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&lt;10 years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5BCC3CBD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&lt;15 years</w:t>
            </w:r>
          </w:p>
        </w:tc>
      </w:tr>
      <w:tr w:rsidR="00040055" w:rsidRPr="00040055" w14:paraId="4866FF8E" w14:textId="77777777" w:rsidTr="00D162F4">
        <w:tc>
          <w:tcPr>
            <w:tcW w:w="1277" w:type="dxa"/>
            <w:vMerge w:val="restart"/>
            <w:tcBorders>
              <w:top w:val="single" w:sz="4" w:space="0" w:color="auto"/>
            </w:tcBorders>
            <w:vAlign w:val="center"/>
          </w:tcPr>
          <w:p w14:paraId="396E8831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BCT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06B9ECF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132,510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vAlign w:val="center"/>
          </w:tcPr>
          <w:p w14:paraId="1BB85154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127,435</w:t>
            </w:r>
          </w:p>
        </w:tc>
        <w:tc>
          <w:tcPr>
            <w:tcW w:w="1037" w:type="dxa"/>
            <w:tcBorders>
              <w:top w:val="single" w:sz="4" w:space="0" w:color="auto"/>
              <w:bottom w:val="nil"/>
            </w:tcBorders>
            <w:vAlign w:val="center"/>
          </w:tcPr>
          <w:p w14:paraId="0914CD19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121,220</w:t>
            </w:r>
          </w:p>
        </w:tc>
        <w:tc>
          <w:tcPr>
            <w:tcW w:w="1114" w:type="dxa"/>
            <w:tcBorders>
              <w:top w:val="single" w:sz="4" w:space="0" w:color="auto"/>
              <w:bottom w:val="nil"/>
            </w:tcBorders>
            <w:vAlign w:val="center"/>
          </w:tcPr>
          <w:p w14:paraId="7E0CF9CA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97,930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2D7C60C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75,976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vAlign w:val="center"/>
          </w:tcPr>
          <w:p w14:paraId="3AD5AA61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31,832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1F613EB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4,257</w:t>
            </w:r>
          </w:p>
        </w:tc>
      </w:tr>
      <w:tr w:rsidR="00040055" w:rsidRPr="00040055" w14:paraId="3EBBE923" w14:textId="77777777" w:rsidTr="00D162F4">
        <w:tc>
          <w:tcPr>
            <w:tcW w:w="1277" w:type="dxa"/>
            <w:vMerge/>
            <w:vAlign w:val="center"/>
          </w:tcPr>
          <w:p w14:paraId="3266B49E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292BD68F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1" w:type="dxa"/>
          </w:tcPr>
          <w:p w14:paraId="11D2F887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(96.2%)</w:t>
            </w:r>
          </w:p>
        </w:tc>
        <w:tc>
          <w:tcPr>
            <w:tcW w:w="1037" w:type="dxa"/>
            <w:tcBorders>
              <w:top w:val="nil"/>
            </w:tcBorders>
          </w:tcPr>
          <w:p w14:paraId="65951EF2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(91.5%)</w:t>
            </w:r>
          </w:p>
        </w:tc>
        <w:tc>
          <w:tcPr>
            <w:tcW w:w="1114" w:type="dxa"/>
            <w:tcBorders>
              <w:top w:val="nil"/>
            </w:tcBorders>
          </w:tcPr>
          <w:p w14:paraId="24D103D4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(73.9%)</w:t>
            </w:r>
          </w:p>
        </w:tc>
        <w:tc>
          <w:tcPr>
            <w:tcW w:w="1276" w:type="dxa"/>
            <w:tcBorders>
              <w:top w:val="nil"/>
            </w:tcBorders>
          </w:tcPr>
          <w:p w14:paraId="018CB4A9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(57.3%)</w:t>
            </w:r>
          </w:p>
        </w:tc>
        <w:tc>
          <w:tcPr>
            <w:tcW w:w="1275" w:type="dxa"/>
            <w:tcBorders>
              <w:top w:val="nil"/>
            </w:tcBorders>
          </w:tcPr>
          <w:p w14:paraId="0DFB664E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(24.0%)</w:t>
            </w:r>
          </w:p>
        </w:tc>
        <w:tc>
          <w:tcPr>
            <w:tcW w:w="1276" w:type="dxa"/>
            <w:tcBorders>
              <w:top w:val="nil"/>
            </w:tcBorders>
          </w:tcPr>
          <w:p w14:paraId="00906694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(3.2%)</w:t>
            </w:r>
          </w:p>
        </w:tc>
      </w:tr>
      <w:tr w:rsidR="00040055" w:rsidRPr="00040055" w14:paraId="6FCED6A9" w14:textId="77777777" w:rsidTr="00D162F4">
        <w:tc>
          <w:tcPr>
            <w:tcW w:w="1277" w:type="dxa"/>
            <w:vMerge w:val="restart"/>
            <w:vAlign w:val="center"/>
          </w:tcPr>
          <w:p w14:paraId="49EBA9BC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MAS</w:t>
            </w:r>
          </w:p>
        </w:tc>
        <w:tc>
          <w:tcPr>
            <w:tcW w:w="1134" w:type="dxa"/>
            <w:vMerge w:val="restart"/>
            <w:vAlign w:val="center"/>
          </w:tcPr>
          <w:p w14:paraId="70DB7FF7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46,580</w:t>
            </w:r>
          </w:p>
        </w:tc>
        <w:tc>
          <w:tcPr>
            <w:tcW w:w="1251" w:type="dxa"/>
            <w:vAlign w:val="center"/>
          </w:tcPr>
          <w:p w14:paraId="2FC90B6F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44,863</w:t>
            </w:r>
          </w:p>
        </w:tc>
        <w:tc>
          <w:tcPr>
            <w:tcW w:w="1037" w:type="dxa"/>
            <w:vAlign w:val="center"/>
          </w:tcPr>
          <w:p w14:paraId="4EC87FF5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42,975</w:t>
            </w:r>
          </w:p>
        </w:tc>
        <w:tc>
          <w:tcPr>
            <w:tcW w:w="1114" w:type="dxa"/>
            <w:vAlign w:val="center"/>
          </w:tcPr>
          <w:p w14:paraId="7CE1C3A6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35,029</w:t>
            </w:r>
          </w:p>
        </w:tc>
        <w:tc>
          <w:tcPr>
            <w:tcW w:w="1276" w:type="dxa"/>
            <w:vAlign w:val="center"/>
          </w:tcPr>
          <w:p w14:paraId="7C1BBBD9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27,248</w:t>
            </w:r>
          </w:p>
        </w:tc>
        <w:tc>
          <w:tcPr>
            <w:tcW w:w="1275" w:type="dxa"/>
            <w:vAlign w:val="center"/>
          </w:tcPr>
          <w:p w14:paraId="4F028079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11,355</w:t>
            </w:r>
          </w:p>
        </w:tc>
        <w:tc>
          <w:tcPr>
            <w:tcW w:w="1276" w:type="dxa"/>
            <w:vAlign w:val="center"/>
          </w:tcPr>
          <w:p w14:paraId="2E07798D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1,413</w:t>
            </w:r>
          </w:p>
        </w:tc>
      </w:tr>
      <w:tr w:rsidR="00040055" w:rsidRPr="00040055" w14:paraId="68B96323" w14:textId="77777777" w:rsidTr="00D162F4">
        <w:tc>
          <w:tcPr>
            <w:tcW w:w="1277" w:type="dxa"/>
            <w:vMerge/>
            <w:vAlign w:val="center"/>
          </w:tcPr>
          <w:p w14:paraId="6D0DF353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4B3CA093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1" w:type="dxa"/>
          </w:tcPr>
          <w:p w14:paraId="6FE9171E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(96.3%)</w:t>
            </w:r>
          </w:p>
        </w:tc>
        <w:tc>
          <w:tcPr>
            <w:tcW w:w="1037" w:type="dxa"/>
          </w:tcPr>
          <w:p w14:paraId="5C28D36E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(92.3%)</w:t>
            </w:r>
          </w:p>
        </w:tc>
        <w:tc>
          <w:tcPr>
            <w:tcW w:w="1114" w:type="dxa"/>
          </w:tcPr>
          <w:p w14:paraId="254414C7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(75.2%)</w:t>
            </w:r>
          </w:p>
        </w:tc>
        <w:tc>
          <w:tcPr>
            <w:tcW w:w="1276" w:type="dxa"/>
          </w:tcPr>
          <w:p w14:paraId="3FDDECC3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(58.5%)</w:t>
            </w:r>
          </w:p>
        </w:tc>
        <w:tc>
          <w:tcPr>
            <w:tcW w:w="1275" w:type="dxa"/>
          </w:tcPr>
          <w:p w14:paraId="3FD0BFD8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(24.4%)</w:t>
            </w:r>
          </w:p>
        </w:tc>
        <w:tc>
          <w:tcPr>
            <w:tcW w:w="1276" w:type="dxa"/>
          </w:tcPr>
          <w:p w14:paraId="465C947D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(3.0%)</w:t>
            </w:r>
          </w:p>
        </w:tc>
      </w:tr>
      <w:tr w:rsidR="00040055" w:rsidRPr="00040055" w14:paraId="67532F0C" w14:textId="77777777" w:rsidTr="00D162F4">
        <w:tc>
          <w:tcPr>
            <w:tcW w:w="1277" w:type="dxa"/>
            <w:vMerge w:val="restart"/>
            <w:vAlign w:val="center"/>
          </w:tcPr>
          <w:p w14:paraId="2B1D2CDA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MAS+RT</w:t>
            </w:r>
          </w:p>
        </w:tc>
        <w:tc>
          <w:tcPr>
            <w:tcW w:w="1134" w:type="dxa"/>
            <w:vMerge w:val="restart"/>
            <w:vAlign w:val="center"/>
          </w:tcPr>
          <w:p w14:paraId="194E79B2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5,874</w:t>
            </w:r>
          </w:p>
        </w:tc>
        <w:tc>
          <w:tcPr>
            <w:tcW w:w="1251" w:type="dxa"/>
            <w:vAlign w:val="center"/>
          </w:tcPr>
          <w:p w14:paraId="729F549D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5,693</w:t>
            </w:r>
          </w:p>
        </w:tc>
        <w:tc>
          <w:tcPr>
            <w:tcW w:w="1037" w:type="dxa"/>
            <w:vAlign w:val="center"/>
          </w:tcPr>
          <w:p w14:paraId="657DF8A7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5,425</w:t>
            </w:r>
          </w:p>
        </w:tc>
        <w:tc>
          <w:tcPr>
            <w:tcW w:w="1114" w:type="dxa"/>
            <w:vAlign w:val="center"/>
          </w:tcPr>
          <w:p w14:paraId="2CB914FB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4,303</w:t>
            </w:r>
          </w:p>
        </w:tc>
        <w:tc>
          <w:tcPr>
            <w:tcW w:w="1276" w:type="dxa"/>
            <w:vAlign w:val="center"/>
          </w:tcPr>
          <w:p w14:paraId="5366B3C1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3,196</w:t>
            </w:r>
          </w:p>
        </w:tc>
        <w:tc>
          <w:tcPr>
            <w:tcW w:w="1275" w:type="dxa"/>
            <w:vAlign w:val="center"/>
          </w:tcPr>
          <w:p w14:paraId="260AD366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1,237</w:t>
            </w:r>
          </w:p>
        </w:tc>
        <w:tc>
          <w:tcPr>
            <w:tcW w:w="1276" w:type="dxa"/>
            <w:vAlign w:val="center"/>
          </w:tcPr>
          <w:p w14:paraId="085CB332" w14:textId="77777777" w:rsidR="00D162F4" w:rsidRPr="00040055" w:rsidRDefault="00D162F4" w:rsidP="00D162F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187</w:t>
            </w:r>
          </w:p>
        </w:tc>
      </w:tr>
      <w:tr w:rsidR="00040055" w:rsidRPr="00040055" w14:paraId="0BA3DC59" w14:textId="77777777" w:rsidTr="00D162F4">
        <w:tc>
          <w:tcPr>
            <w:tcW w:w="1277" w:type="dxa"/>
            <w:vMerge/>
            <w:vAlign w:val="center"/>
          </w:tcPr>
          <w:p w14:paraId="7D40CDCD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3A2427A3" w14:textId="77777777" w:rsidR="00D162F4" w:rsidRPr="00040055" w:rsidRDefault="00D162F4" w:rsidP="00AA121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51" w:type="dxa"/>
          </w:tcPr>
          <w:p w14:paraId="18115CED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(96.9%)</w:t>
            </w:r>
          </w:p>
        </w:tc>
        <w:tc>
          <w:tcPr>
            <w:tcW w:w="1037" w:type="dxa"/>
          </w:tcPr>
          <w:p w14:paraId="6D26B93A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(92.4%)</w:t>
            </w:r>
          </w:p>
        </w:tc>
        <w:tc>
          <w:tcPr>
            <w:tcW w:w="1114" w:type="dxa"/>
          </w:tcPr>
          <w:p w14:paraId="019CCAB4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(73.3%)</w:t>
            </w:r>
          </w:p>
        </w:tc>
        <w:tc>
          <w:tcPr>
            <w:tcW w:w="1276" w:type="dxa"/>
          </w:tcPr>
          <w:p w14:paraId="77190CC4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(54.4%)</w:t>
            </w:r>
          </w:p>
        </w:tc>
        <w:tc>
          <w:tcPr>
            <w:tcW w:w="1275" w:type="dxa"/>
          </w:tcPr>
          <w:p w14:paraId="170BAFF2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(21.1%)</w:t>
            </w:r>
          </w:p>
        </w:tc>
        <w:tc>
          <w:tcPr>
            <w:tcW w:w="1276" w:type="dxa"/>
          </w:tcPr>
          <w:p w14:paraId="366995C8" w14:textId="77777777" w:rsidR="00D162F4" w:rsidRPr="00040055" w:rsidRDefault="00D162F4" w:rsidP="00D162F4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/>
              </w:rPr>
              <w:t>(3.2%)</w:t>
            </w:r>
          </w:p>
        </w:tc>
      </w:tr>
    </w:tbl>
    <w:p w14:paraId="27F80083" w14:textId="7483CE01" w:rsidR="00D162F4" w:rsidRPr="00040055" w:rsidRDefault="00D162F4" w:rsidP="001A5CB8">
      <w:pPr>
        <w:adjustRightInd w:val="0"/>
        <w:snapToGrid w:val="0"/>
        <w:rPr>
          <w:rFonts w:ascii="Times New Roman" w:hAnsi="Times New Roman" w:cs="Times New Roman"/>
        </w:rPr>
      </w:pPr>
      <w:r w:rsidRPr="00040055">
        <w:rPr>
          <w:rFonts w:ascii="Times New Roman" w:eastAsia="標楷體" w:hAnsi="Times New Roman" w:cs="Times New Roman"/>
        </w:rPr>
        <w:t>BCT, breast conservative treatment; MAS, mastectomy; RT, radiotherapy.</w:t>
      </w:r>
    </w:p>
    <w:p w14:paraId="61A5EA32" w14:textId="7ADF7E2D" w:rsidR="00D162F4" w:rsidRPr="00040055" w:rsidRDefault="00D162F4" w:rsidP="001A5CB8">
      <w:pPr>
        <w:adjustRightInd w:val="0"/>
        <w:snapToGrid w:val="0"/>
        <w:rPr>
          <w:rFonts w:ascii="Times New Roman" w:eastAsia="標楷體" w:hAnsi="Times New Roman" w:cs="Times New Roman"/>
        </w:rPr>
        <w:sectPr w:rsidR="00D162F4" w:rsidRPr="000400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765A0589" w14:textId="150D0CCC" w:rsidR="006A272F" w:rsidRPr="00040055" w:rsidRDefault="006A272F" w:rsidP="006A272F">
      <w:pPr>
        <w:rPr>
          <w:rFonts w:ascii="Times New Roman" w:eastAsia="標楷體" w:hAnsi="Times New Roman" w:cs="Times New Roman"/>
        </w:rPr>
      </w:pPr>
      <w:r w:rsidRPr="00040055">
        <w:rPr>
          <w:rFonts w:ascii="Times New Roman" w:eastAsia="標楷體" w:hAnsi="Times New Roman" w:cs="Times New Roman"/>
          <w:b/>
          <w:bCs/>
        </w:rPr>
        <w:lastRenderedPageBreak/>
        <w:t xml:space="preserve">Supplementary Table </w:t>
      </w:r>
      <w:r w:rsidR="008C3412" w:rsidRPr="00040055">
        <w:rPr>
          <w:rFonts w:ascii="Times New Roman" w:eastAsia="標楷體" w:hAnsi="Times New Roman" w:cs="Times New Roman"/>
          <w:b/>
          <w:bCs/>
        </w:rPr>
        <w:t>4</w:t>
      </w:r>
      <w:r w:rsidRPr="00040055">
        <w:rPr>
          <w:rFonts w:ascii="Times New Roman" w:eastAsia="標楷體" w:hAnsi="Times New Roman" w:cs="Times New Roman"/>
          <w:b/>
          <w:bCs/>
        </w:rPr>
        <w:t>.</w:t>
      </w:r>
      <w:r w:rsidRPr="00040055">
        <w:rPr>
          <w:rFonts w:ascii="Times New Roman" w:eastAsia="標楷體" w:hAnsi="Times New Roman" w:cs="Times New Roman"/>
        </w:rPr>
        <w:t xml:space="preserve"> The 1-yr, 3-yr, 5-yr cumulative recurrence rates and 95% </w:t>
      </w:r>
      <w:r w:rsidR="005A5972" w:rsidRPr="00040055">
        <w:rPr>
          <w:rFonts w:ascii="Times New Roman" w:eastAsia="標楷體" w:hAnsi="Times New Roman" w:cs="Times New Roman"/>
        </w:rPr>
        <w:t>confidence interval</w:t>
      </w:r>
      <w:r w:rsidRPr="00040055">
        <w:rPr>
          <w:rFonts w:ascii="Times New Roman" w:eastAsia="標楷體" w:hAnsi="Times New Roman" w:cs="Times New Roman"/>
        </w:rPr>
        <w:t xml:space="preserve">s of </w:t>
      </w:r>
      <w:r w:rsidR="005A5972" w:rsidRPr="00040055">
        <w:rPr>
          <w:rFonts w:ascii="Times New Roman" w:eastAsia="標楷體" w:hAnsi="Times New Roman" w:cs="Times New Roman"/>
        </w:rPr>
        <w:t xml:space="preserve">the </w:t>
      </w:r>
      <w:r w:rsidRPr="00040055">
        <w:rPr>
          <w:rFonts w:ascii="Times New Roman" w:eastAsia="標楷體" w:hAnsi="Times New Roman" w:cs="Times New Roman"/>
        </w:rPr>
        <w:t>three treatment groups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2775"/>
        <w:gridCol w:w="2552"/>
        <w:gridCol w:w="2551"/>
      </w:tblGrid>
      <w:tr w:rsidR="00040055" w:rsidRPr="00040055" w14:paraId="76C5DDD4" w14:textId="77777777" w:rsidTr="005A5972">
        <w:trPr>
          <w:trHeight w:val="418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933FF1" w14:textId="77777777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Treatment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90567" w14:textId="77777777" w:rsidR="006A272F" w:rsidRPr="00040055" w:rsidRDefault="006A272F" w:rsidP="000846B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&lt;1 year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0F5D8" w14:textId="77777777" w:rsidR="006A272F" w:rsidRPr="00040055" w:rsidRDefault="006A272F" w:rsidP="000846B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&lt;3 year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42680" w14:textId="77777777" w:rsidR="006A272F" w:rsidRPr="00040055" w:rsidRDefault="006A272F" w:rsidP="000846B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eastAsia="標楷體" w:hAnsi="Times New Roman" w:cs="Times New Roman"/>
              </w:rPr>
              <w:t>&lt;5 year</w:t>
            </w:r>
          </w:p>
        </w:tc>
      </w:tr>
      <w:tr w:rsidR="00040055" w:rsidRPr="00040055" w14:paraId="30980A99" w14:textId="77777777" w:rsidTr="005A5972">
        <w:trPr>
          <w:trHeight w:val="529"/>
        </w:trPr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DC0C59" w14:textId="77777777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BCT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center"/>
          </w:tcPr>
          <w:p w14:paraId="57D26F66" w14:textId="35F63651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0.07%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(0.06%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0.09%)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F087751" w14:textId="231CD2B8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0.20%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(0.18%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0.23%)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D64168" w14:textId="3B32D0D1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0.43%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(0.39%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0.47%)</w:t>
            </w:r>
          </w:p>
        </w:tc>
      </w:tr>
      <w:tr w:rsidR="00040055" w:rsidRPr="00040055" w14:paraId="53AD59BB" w14:textId="77777777" w:rsidTr="005A5972">
        <w:trPr>
          <w:trHeight w:val="529"/>
        </w:trPr>
        <w:tc>
          <w:tcPr>
            <w:tcW w:w="1194" w:type="dxa"/>
            <w:shd w:val="clear" w:color="auto" w:fill="auto"/>
            <w:vAlign w:val="center"/>
          </w:tcPr>
          <w:p w14:paraId="53DB64ED" w14:textId="77777777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MAS</w:t>
            </w:r>
          </w:p>
        </w:tc>
        <w:tc>
          <w:tcPr>
            <w:tcW w:w="2775" w:type="dxa"/>
            <w:vAlign w:val="center"/>
          </w:tcPr>
          <w:p w14:paraId="22BBADAB" w14:textId="4D289203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0.14%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(0.11%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0.18%)</w:t>
            </w:r>
          </w:p>
        </w:tc>
        <w:tc>
          <w:tcPr>
            <w:tcW w:w="2552" w:type="dxa"/>
            <w:vAlign w:val="center"/>
          </w:tcPr>
          <w:p w14:paraId="15023D3C" w14:textId="05B56861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0.20%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(0.16%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0.25%)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1F3DE8C" w14:textId="6FBB80F0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0.24%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(0.20%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0.29%)</w:t>
            </w:r>
          </w:p>
        </w:tc>
      </w:tr>
      <w:tr w:rsidR="00040055" w:rsidRPr="00040055" w14:paraId="23F901E3" w14:textId="77777777" w:rsidTr="005A5972">
        <w:trPr>
          <w:trHeight w:val="529"/>
        </w:trPr>
        <w:tc>
          <w:tcPr>
            <w:tcW w:w="1194" w:type="dxa"/>
            <w:shd w:val="clear" w:color="auto" w:fill="auto"/>
            <w:vAlign w:val="center"/>
          </w:tcPr>
          <w:p w14:paraId="3C582F9A" w14:textId="77777777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MAS+RT</w:t>
            </w:r>
          </w:p>
        </w:tc>
        <w:tc>
          <w:tcPr>
            <w:tcW w:w="2775" w:type="dxa"/>
            <w:vAlign w:val="center"/>
          </w:tcPr>
          <w:p w14:paraId="1E270A87" w14:textId="74AABA71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0.14%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(0.07%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0.28%)</w:t>
            </w:r>
          </w:p>
        </w:tc>
        <w:tc>
          <w:tcPr>
            <w:tcW w:w="2552" w:type="dxa"/>
            <w:vAlign w:val="center"/>
          </w:tcPr>
          <w:p w14:paraId="5ACB9FE1" w14:textId="29C1B40D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0.24%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(0.14%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0.41%)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C1557A" w14:textId="4575E567" w:rsidR="006A272F" w:rsidRPr="00040055" w:rsidRDefault="006A272F" w:rsidP="000846BF">
            <w:pPr>
              <w:pStyle w:val="a3"/>
              <w:widowControl/>
              <w:spacing w:after="50"/>
              <w:ind w:leftChars="0" w:left="0"/>
              <w:jc w:val="center"/>
              <w:textAlignment w:val="baseline"/>
              <w:rPr>
                <w:rFonts w:ascii="Times New Roman" w:eastAsia="標楷體" w:hAnsi="Times New Roman"/>
              </w:rPr>
            </w:pPr>
            <w:r w:rsidRPr="00040055">
              <w:rPr>
                <w:rFonts w:ascii="Times New Roman" w:eastAsia="標楷體" w:hAnsi="Times New Roman"/>
              </w:rPr>
              <w:t>0.43%</w:t>
            </w:r>
            <w:r w:rsidR="00F27AD5" w:rsidRPr="00040055">
              <w:rPr>
                <w:rFonts w:ascii="Times New Roman" w:eastAsia="標楷體" w:hAnsi="Times New Roman"/>
              </w:rPr>
              <w:t xml:space="preserve"> </w:t>
            </w:r>
            <w:r w:rsidRPr="00040055">
              <w:rPr>
                <w:rFonts w:ascii="Times New Roman" w:eastAsia="標楷體" w:hAnsi="Times New Roman"/>
              </w:rPr>
              <w:t>(0.27%</w:t>
            </w:r>
            <w:r w:rsidR="00F27AD5" w:rsidRPr="00040055">
              <w:rPr>
                <w:rFonts w:ascii="Times New Roman" w:eastAsia="標楷體" w:hAnsi="Times New Roman"/>
              </w:rPr>
              <w:t>−</w:t>
            </w:r>
            <w:r w:rsidRPr="00040055">
              <w:rPr>
                <w:rFonts w:ascii="Times New Roman" w:eastAsia="標楷體" w:hAnsi="Times New Roman"/>
              </w:rPr>
              <w:t>0.67%)</w:t>
            </w:r>
          </w:p>
        </w:tc>
      </w:tr>
    </w:tbl>
    <w:p w14:paraId="22CA2FC4" w14:textId="77777777" w:rsidR="006A272F" w:rsidRPr="00040055" w:rsidRDefault="006A272F" w:rsidP="006A272F">
      <w:pPr>
        <w:rPr>
          <w:rFonts w:ascii="Times New Roman" w:eastAsia="標楷體" w:hAnsi="Times New Roman" w:cs="Times New Roman"/>
        </w:rPr>
      </w:pPr>
      <w:r w:rsidRPr="00040055">
        <w:rPr>
          <w:rFonts w:ascii="Times New Roman" w:eastAsia="標楷體" w:hAnsi="Times New Roman" w:cs="Times New Roman"/>
        </w:rPr>
        <w:t>BCT, breast conservative treatment; MAS, mastectomy; RT, radiotherapy</w:t>
      </w:r>
    </w:p>
    <w:p w14:paraId="11EC43C4" w14:textId="77777777" w:rsidR="006A272F" w:rsidRPr="00040055" w:rsidRDefault="006A272F" w:rsidP="006A272F">
      <w:pPr>
        <w:rPr>
          <w:rFonts w:ascii="Times New Roman" w:hAnsi="Times New Roman" w:cs="Times New Roman"/>
          <w:b/>
          <w:bCs/>
        </w:rPr>
      </w:pPr>
    </w:p>
    <w:p w14:paraId="5E9A8B72" w14:textId="77777777" w:rsidR="006A272F" w:rsidRPr="00040055" w:rsidRDefault="006A272F" w:rsidP="006A272F">
      <w:pPr>
        <w:rPr>
          <w:rFonts w:ascii="Times New Roman" w:hAnsi="Times New Roman" w:cs="Times New Roman"/>
          <w:b/>
          <w:bCs/>
        </w:rPr>
      </w:pPr>
    </w:p>
    <w:p w14:paraId="5718E6EC" w14:textId="02CBC6E9" w:rsidR="006A272F" w:rsidRPr="00040055" w:rsidRDefault="006A272F" w:rsidP="006A272F">
      <w:pPr>
        <w:rPr>
          <w:rFonts w:ascii="Times New Roman" w:hAnsi="Times New Roman" w:cs="Times New Roman"/>
        </w:rPr>
        <w:sectPr w:rsidR="006A272F" w:rsidRPr="000400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715FBEFA" w14:textId="77777777" w:rsidR="001A5CB8" w:rsidRPr="00040055" w:rsidRDefault="001A5CB8" w:rsidP="001A5CB8">
      <w:pPr>
        <w:rPr>
          <w:rFonts w:ascii="Times New Roman" w:hAnsi="Times New Roman" w:cs="Times New Roman"/>
        </w:rPr>
      </w:pPr>
      <w:bookmarkStart w:id="4" w:name="_Hlk66453509"/>
      <w:bookmarkEnd w:id="3"/>
      <w:r w:rsidRPr="00040055">
        <w:rPr>
          <w:rFonts w:ascii="Times New Roman" w:hAnsi="Times New Roman" w:cs="Times New Roman"/>
          <w:b/>
          <w:bCs/>
        </w:rPr>
        <w:lastRenderedPageBreak/>
        <w:t>Supplementary Figure 1.</w:t>
      </w:r>
      <w:r w:rsidRPr="00040055">
        <w:rPr>
          <w:rFonts w:ascii="Times New Roman" w:hAnsi="Times New Roman" w:cs="Times New Roman"/>
        </w:rPr>
        <w:t xml:space="preserve"> Comparison of short-term recurrence rates among female patients with invasive ductal carcinoma receiving different treatments. </w:t>
      </w:r>
      <w:r w:rsidRPr="00040055">
        <w:rPr>
          <w:rFonts w:ascii="Times New Roman" w:eastAsia="標楷體" w:hAnsi="Times New Roman" w:cs="Times New Roman"/>
        </w:rPr>
        <w:t>BCT, breast conservative treatment; MAS, mastectomy; RT, radiotherapy</w:t>
      </w:r>
      <w:bookmarkEnd w:id="4"/>
    </w:p>
    <w:p w14:paraId="012E7576" w14:textId="77777777" w:rsidR="001A5CB8" w:rsidRPr="00040055" w:rsidRDefault="001A5CB8" w:rsidP="001A5CB8">
      <w:pPr>
        <w:rPr>
          <w:rFonts w:ascii="Times New Roman" w:hAnsi="Times New Roman" w:cs="Times New Roman"/>
        </w:rPr>
        <w:sectPr w:rsidR="001A5CB8" w:rsidRPr="000400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040055">
        <w:rPr>
          <w:rFonts w:ascii="Times New Roman" w:eastAsia="標楷體" w:hAnsi="Times New Roman" w:cs="Times New Roman"/>
          <w:noProof/>
        </w:rPr>
        <w:drawing>
          <wp:inline distT="0" distB="0" distL="0" distR="0" wp14:anchorId="6A341EE4" wp14:editId="6C91F7C7">
            <wp:extent cx="4363116" cy="3193473"/>
            <wp:effectExtent l="0" t="0" r="0" b="6985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290" cy="319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5CCE10" w14:textId="77777777" w:rsidR="001A5CB8" w:rsidRPr="00040055" w:rsidRDefault="001A5CB8" w:rsidP="001A5CB8">
      <w:pPr>
        <w:rPr>
          <w:rFonts w:ascii="Times New Roman" w:hAnsi="Times New Roman" w:cs="Times New Roman"/>
        </w:rPr>
      </w:pPr>
      <w:bookmarkStart w:id="5" w:name="_Hlk66453537"/>
      <w:r w:rsidRPr="00040055">
        <w:rPr>
          <w:rFonts w:ascii="Times New Roman" w:hAnsi="Times New Roman" w:cs="Times New Roman"/>
          <w:b/>
          <w:bCs/>
        </w:rPr>
        <w:lastRenderedPageBreak/>
        <w:t>Supplementary Figure 2.</w:t>
      </w:r>
      <w:r w:rsidRPr="00040055">
        <w:rPr>
          <w:rFonts w:ascii="Times New Roman" w:hAnsi="Times New Roman" w:cs="Times New Roman"/>
        </w:rPr>
        <w:t xml:space="preserve"> Comparison of long-term recurrence rates among female patients with invasive ductal carcinoma receiving different treatments. </w:t>
      </w:r>
      <w:r w:rsidRPr="00040055">
        <w:rPr>
          <w:rFonts w:ascii="Times New Roman" w:eastAsia="標楷體" w:hAnsi="Times New Roman" w:cs="Times New Roman"/>
        </w:rPr>
        <w:t>BCT, breast conservative treatment; MAS, mastectomy; RT, radiotherapy</w:t>
      </w:r>
      <w:bookmarkEnd w:id="5"/>
    </w:p>
    <w:p w14:paraId="795A1D5E" w14:textId="77777777" w:rsidR="001A5CB8" w:rsidRPr="00040055" w:rsidRDefault="001A5CB8" w:rsidP="001A5CB8">
      <w:pPr>
        <w:rPr>
          <w:rFonts w:ascii="Times New Roman" w:hAnsi="Times New Roman" w:cs="Times New Roman"/>
        </w:rPr>
      </w:pPr>
      <w:r w:rsidRPr="00040055">
        <w:rPr>
          <w:rFonts w:ascii="Times New Roman" w:eastAsia="標楷體" w:hAnsi="Times New Roman" w:cs="Times New Roman"/>
          <w:noProof/>
        </w:rPr>
        <w:drawing>
          <wp:inline distT="0" distB="0" distL="0" distR="0" wp14:anchorId="36DB7D29" wp14:editId="1D5D6F14">
            <wp:extent cx="4717473" cy="3447980"/>
            <wp:effectExtent l="0" t="0" r="6985" b="635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179" cy="3452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59790" w14:textId="77777777" w:rsidR="001A5CB8" w:rsidRPr="00040055" w:rsidRDefault="001A5CB8" w:rsidP="001A5CB8">
      <w:pPr>
        <w:pStyle w:val="p1"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0DE716AC" w14:textId="77777777" w:rsidR="00BE3801" w:rsidRPr="00040055" w:rsidRDefault="00BE3801">
      <w:pPr>
        <w:sectPr w:rsidR="00BE3801" w:rsidRPr="0004005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5AF2BACE" w14:textId="0280FB49" w:rsidR="007D7899" w:rsidRPr="00040055" w:rsidRDefault="00BE3801">
      <w:pPr>
        <w:rPr>
          <w:rFonts w:ascii="Times New Roman" w:hAnsi="Times New Roman" w:cs="Times New Roman"/>
        </w:rPr>
      </w:pPr>
      <w:r w:rsidRPr="00040055">
        <w:rPr>
          <w:rFonts w:ascii="Times New Roman" w:hAnsi="Times New Roman" w:cs="Times New Roman"/>
          <w:b/>
          <w:bCs/>
        </w:rPr>
        <w:lastRenderedPageBreak/>
        <w:t xml:space="preserve">Supplementary Figure 3. </w:t>
      </w:r>
      <w:r w:rsidRPr="00040055">
        <w:rPr>
          <w:rFonts w:ascii="Times New Roman" w:hAnsi="Times New Roman" w:cs="Times New Roman"/>
        </w:rPr>
        <w:t>Log minus Log Plot for checking the proportionality assumption of Cox proportional hazard model</w:t>
      </w:r>
    </w:p>
    <w:p w14:paraId="78097D81" w14:textId="1F20A93D" w:rsidR="00BE3801" w:rsidRPr="00040055" w:rsidRDefault="00BE3801">
      <w:pPr>
        <w:rPr>
          <w:rFonts w:ascii="Times New Roman" w:hAnsi="Times New Roman" w:cs="Times New Roman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6"/>
        <w:gridCol w:w="4150"/>
      </w:tblGrid>
      <w:tr w:rsidR="00040055" w:rsidRPr="00040055" w14:paraId="3B25FFE0" w14:textId="77777777" w:rsidTr="00BE3801">
        <w:trPr>
          <w:trHeight w:val="308"/>
        </w:trPr>
        <w:tc>
          <w:tcPr>
            <w:tcW w:w="4146" w:type="dxa"/>
          </w:tcPr>
          <w:p w14:paraId="69CAC132" w14:textId="77777777" w:rsidR="00BE3801" w:rsidRPr="00040055" w:rsidRDefault="00BE3801" w:rsidP="005A34DA">
            <w:pPr>
              <w:jc w:val="center"/>
              <w:rPr>
                <w:rFonts w:ascii="Times New Roman" w:hAnsi="Times New Roman" w:cs="Times New Roman"/>
              </w:rPr>
            </w:pPr>
            <w:r w:rsidRPr="00040055">
              <w:rPr>
                <w:rFonts w:ascii="Times New Roman" w:hAnsi="Times New Roman" w:cs="Times New Roman" w:hint="eastAsia"/>
                <w:highlight w:val="lightGray"/>
              </w:rPr>
              <w:t xml:space="preserve">(1) </w:t>
            </w:r>
            <w:r w:rsidRPr="00040055">
              <w:rPr>
                <w:rFonts w:ascii="Times New Roman" w:hAnsi="Times New Roman" w:cs="Times New Roman"/>
                <w:highlight w:val="lightGray"/>
              </w:rPr>
              <w:t>short-term recurrence</w:t>
            </w:r>
          </w:p>
        </w:tc>
        <w:tc>
          <w:tcPr>
            <w:tcW w:w="4150" w:type="dxa"/>
          </w:tcPr>
          <w:p w14:paraId="22629620" w14:textId="77777777" w:rsidR="00BE3801" w:rsidRPr="00040055" w:rsidRDefault="00BE3801" w:rsidP="005A34D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40055">
              <w:rPr>
                <w:rFonts w:ascii="Times New Roman" w:hAnsi="Times New Roman" w:cs="Times New Roman" w:hint="eastAsia"/>
                <w:highlight w:val="lightGray"/>
              </w:rPr>
              <w:t>(</w:t>
            </w:r>
            <w:r w:rsidRPr="00040055">
              <w:rPr>
                <w:rFonts w:ascii="Times New Roman" w:hAnsi="Times New Roman" w:cs="Times New Roman"/>
                <w:highlight w:val="lightGray"/>
              </w:rPr>
              <w:t>2</w:t>
            </w:r>
            <w:r w:rsidRPr="00040055">
              <w:rPr>
                <w:rFonts w:ascii="Times New Roman" w:hAnsi="Times New Roman" w:cs="Times New Roman" w:hint="eastAsia"/>
                <w:highlight w:val="lightGray"/>
              </w:rPr>
              <w:t>) l</w:t>
            </w:r>
            <w:r w:rsidRPr="00040055">
              <w:rPr>
                <w:rFonts w:ascii="Times New Roman" w:hAnsi="Times New Roman" w:cs="Times New Roman"/>
                <w:highlight w:val="lightGray"/>
              </w:rPr>
              <w:t>ong-term recurrence</w:t>
            </w:r>
          </w:p>
        </w:tc>
      </w:tr>
      <w:tr w:rsidR="00BE3801" w:rsidRPr="00040055" w14:paraId="7A1D149B" w14:textId="77777777" w:rsidTr="00BE3801">
        <w:trPr>
          <w:trHeight w:val="3788"/>
        </w:trPr>
        <w:tc>
          <w:tcPr>
            <w:tcW w:w="4146" w:type="dxa"/>
          </w:tcPr>
          <w:p w14:paraId="3BD5FB55" w14:textId="77777777" w:rsidR="00BE3801" w:rsidRPr="00040055" w:rsidRDefault="00BE3801" w:rsidP="005A34DA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04005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AC8794" wp14:editId="1DDA099E">
                  <wp:extent cx="2510853" cy="2284493"/>
                  <wp:effectExtent l="0" t="0" r="3810" b="1905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012"/>
                          <a:stretch/>
                        </pic:blipFill>
                        <pic:spPr bwMode="auto">
                          <a:xfrm>
                            <a:off x="0" y="0"/>
                            <a:ext cx="2641255" cy="2403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0" w:type="dxa"/>
          </w:tcPr>
          <w:p w14:paraId="1B17C63F" w14:textId="77777777" w:rsidR="00BE3801" w:rsidRPr="00040055" w:rsidRDefault="00BE3801" w:rsidP="005A34DA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040055">
              <w:rPr>
                <w:noProof/>
              </w:rPr>
              <w:drawing>
                <wp:inline distT="0" distB="0" distL="0" distR="0" wp14:anchorId="50AFA580" wp14:editId="7D6CF4B1">
                  <wp:extent cx="2517368" cy="2263515"/>
                  <wp:effectExtent l="0" t="0" r="0" b="381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980" cy="2335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0947E0" w14:textId="77777777" w:rsidR="00BE3801" w:rsidRPr="00040055" w:rsidRDefault="00BE3801"/>
    <w:sectPr w:rsidR="00BE3801" w:rsidRPr="000400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B8"/>
    <w:rsid w:val="00031DAD"/>
    <w:rsid w:val="00040055"/>
    <w:rsid w:val="00043E24"/>
    <w:rsid w:val="00130599"/>
    <w:rsid w:val="00194811"/>
    <w:rsid w:val="001A5CB8"/>
    <w:rsid w:val="004A14CB"/>
    <w:rsid w:val="005A5972"/>
    <w:rsid w:val="005D4A8D"/>
    <w:rsid w:val="006A272F"/>
    <w:rsid w:val="006E2544"/>
    <w:rsid w:val="007D7899"/>
    <w:rsid w:val="008C3412"/>
    <w:rsid w:val="00984A19"/>
    <w:rsid w:val="00BE3801"/>
    <w:rsid w:val="00D162F4"/>
    <w:rsid w:val="00F2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D253B"/>
  <w15:chartTrackingRefBased/>
  <w15:docId w15:val="{B7C338A6-FB58-4170-A842-054B1D84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CB8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1A5CB8"/>
    <w:rPr>
      <w:rFonts w:ascii="Helvetica" w:eastAsiaTheme="minorEastAsia" w:hAnsi="Helvetica" w:cs="Times New Roman"/>
      <w:sz w:val="18"/>
      <w:szCs w:val="18"/>
    </w:rPr>
  </w:style>
  <w:style w:type="paragraph" w:styleId="a3">
    <w:name w:val="List Paragraph"/>
    <w:basedOn w:val="a"/>
    <w:link w:val="a4"/>
    <w:uiPriority w:val="34"/>
    <w:qFormat/>
    <w:rsid w:val="001A5CB8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paragraph" w:customStyle="1" w:styleId="a5">
    <w:name w:val="表目錄"/>
    <w:basedOn w:val="a6"/>
    <w:link w:val="a7"/>
    <w:qFormat/>
    <w:rsid w:val="001A5CB8"/>
    <w:pPr>
      <w:spacing w:line="276" w:lineRule="auto"/>
    </w:pPr>
    <w:rPr>
      <w:rFonts w:ascii="Arial" w:eastAsia="Times New Roman" w:hAnsi="Arial" w:cs="Arial"/>
      <w:color w:val="000000"/>
      <w:sz w:val="24"/>
    </w:rPr>
  </w:style>
  <w:style w:type="character" w:customStyle="1" w:styleId="a7">
    <w:name w:val="表目錄 字元"/>
    <w:link w:val="a5"/>
    <w:rsid w:val="001A5CB8"/>
    <w:rPr>
      <w:rFonts w:ascii="Arial" w:eastAsia="Times New Roman" w:hAnsi="Arial" w:cs="Arial"/>
      <w:color w:val="000000"/>
      <w:kern w:val="0"/>
      <w:szCs w:val="20"/>
    </w:rPr>
  </w:style>
  <w:style w:type="character" w:customStyle="1" w:styleId="a4">
    <w:name w:val="清單段落 字元"/>
    <w:link w:val="a3"/>
    <w:uiPriority w:val="34"/>
    <w:rsid w:val="001A5CB8"/>
    <w:rPr>
      <w:rFonts w:ascii="Calibri" w:eastAsia="新細明體" w:hAnsi="Calibri" w:cs="Times New Roman"/>
    </w:rPr>
  </w:style>
  <w:style w:type="paragraph" w:styleId="a6">
    <w:name w:val="caption"/>
    <w:basedOn w:val="a"/>
    <w:next w:val="a"/>
    <w:uiPriority w:val="35"/>
    <w:semiHidden/>
    <w:unhideWhenUsed/>
    <w:qFormat/>
    <w:rsid w:val="001A5CB8"/>
    <w:rPr>
      <w:sz w:val="20"/>
      <w:szCs w:val="20"/>
    </w:rPr>
  </w:style>
  <w:style w:type="table" w:styleId="a8">
    <w:name w:val="Table Grid"/>
    <w:basedOn w:val="a1"/>
    <w:uiPriority w:val="59"/>
    <w:rsid w:val="00BE3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 Huang</dc:creator>
  <cp:keywords/>
  <dc:description/>
  <cp:lastModifiedBy>黃建程</cp:lastModifiedBy>
  <cp:revision>3</cp:revision>
  <dcterms:created xsi:type="dcterms:W3CDTF">2022-01-05T03:32:00Z</dcterms:created>
  <dcterms:modified xsi:type="dcterms:W3CDTF">2022-01-07T23:57:00Z</dcterms:modified>
</cp:coreProperties>
</file>