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6E5F" w14:textId="77777777" w:rsidR="00821606" w:rsidRPr="003F3182" w:rsidRDefault="00821606" w:rsidP="00821606">
      <w:pPr>
        <w:pStyle w:val="BATitle"/>
        <w:spacing w:before="0" w:after="0" w:line="360" w:lineRule="auto"/>
        <w:contextualSpacing/>
        <w:outlineLvl w:val="0"/>
        <w:rPr>
          <w:rFonts w:asciiTheme="minorHAnsi" w:hAnsiTheme="minorHAnsi" w:cstheme="minorHAnsi"/>
          <w:sz w:val="40"/>
          <w:szCs w:val="40"/>
        </w:rPr>
      </w:pPr>
      <w:r w:rsidRPr="003F3182">
        <w:rPr>
          <w:rFonts w:asciiTheme="minorHAnsi" w:hAnsiTheme="minorHAnsi" w:cstheme="minorHAnsi"/>
          <w:sz w:val="40"/>
          <w:szCs w:val="40"/>
        </w:rPr>
        <w:t>Supporting Information</w:t>
      </w:r>
    </w:p>
    <w:p w14:paraId="79ED109E" w14:textId="77777777" w:rsidR="00821606" w:rsidRPr="009A4C2A" w:rsidRDefault="00821606" w:rsidP="00821606">
      <w:pPr>
        <w:pStyle w:val="BATitle"/>
        <w:shd w:val="clear" w:color="auto" w:fill="FFFFFF" w:themeFill="background1"/>
        <w:spacing w:before="480" w:after="120" w:line="360" w:lineRule="auto"/>
        <w:ind w:left="720" w:hanging="720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 xml:space="preserve">Improved Calibration of </w:t>
      </w:r>
      <w:r w:rsidRPr="009A4C2A">
        <w:rPr>
          <w:rFonts w:asciiTheme="minorHAnsi" w:hAnsiTheme="minorHAnsi" w:cstheme="minorHAnsi"/>
          <w:sz w:val="40"/>
          <w:szCs w:val="40"/>
        </w:rPr>
        <w:t>Electrochemical Aptamer</w:t>
      </w:r>
      <w:r>
        <w:rPr>
          <w:rFonts w:asciiTheme="minorHAnsi" w:hAnsiTheme="minorHAnsi" w:cstheme="minorHAnsi"/>
          <w:sz w:val="40"/>
          <w:szCs w:val="40"/>
        </w:rPr>
        <w:t>-</w:t>
      </w:r>
      <w:r w:rsidRPr="009A4C2A">
        <w:rPr>
          <w:rFonts w:asciiTheme="minorHAnsi" w:hAnsiTheme="minorHAnsi" w:cstheme="minorHAnsi"/>
          <w:sz w:val="40"/>
          <w:szCs w:val="40"/>
        </w:rPr>
        <w:t>Based Sensor</w:t>
      </w:r>
      <w:r>
        <w:rPr>
          <w:rFonts w:asciiTheme="minorHAnsi" w:hAnsiTheme="minorHAnsi" w:cstheme="minorHAnsi"/>
          <w:sz w:val="40"/>
          <w:szCs w:val="40"/>
        </w:rPr>
        <w:t>s</w:t>
      </w:r>
      <w:r w:rsidRPr="009A4C2A">
        <w:rPr>
          <w:rFonts w:asciiTheme="minorHAnsi" w:hAnsiTheme="minorHAnsi" w:cstheme="minorHAnsi"/>
          <w:sz w:val="40"/>
          <w:szCs w:val="40"/>
        </w:rPr>
        <w:t xml:space="preserve"> </w:t>
      </w:r>
    </w:p>
    <w:p w14:paraId="16A38300" w14:textId="77777777" w:rsidR="00821606" w:rsidRPr="009A4C2A" w:rsidRDefault="00821606" w:rsidP="00821606">
      <w:pPr>
        <w:pStyle w:val="BBAuthorName"/>
        <w:shd w:val="clear" w:color="auto" w:fill="FFFFFF" w:themeFill="background1"/>
        <w:spacing w:line="360" w:lineRule="auto"/>
        <w:rPr>
          <w:rFonts w:asciiTheme="minorHAnsi" w:hAnsiTheme="minorHAnsi" w:cstheme="minorHAnsi"/>
        </w:rPr>
      </w:pPr>
      <w:r w:rsidRPr="009A4C2A">
        <w:rPr>
          <w:rFonts w:asciiTheme="minorHAnsi" w:hAnsiTheme="minorHAnsi" w:cstheme="minorHAnsi"/>
        </w:rPr>
        <w:t>Alex M. Downs</w:t>
      </w:r>
      <w:r w:rsidRPr="009A4C2A">
        <w:rPr>
          <w:rFonts w:asciiTheme="minorHAnsi" w:hAnsiTheme="minorHAnsi" w:cstheme="minorHAnsi"/>
          <w:vertAlign w:val="superscript"/>
        </w:rPr>
        <w:t>1,2</w:t>
      </w:r>
      <w:r w:rsidRPr="009A4C2A">
        <w:rPr>
          <w:rFonts w:asciiTheme="minorHAnsi" w:hAnsiTheme="minorHAnsi" w:cstheme="minorHAnsi"/>
        </w:rPr>
        <w:t>, Julian Gerson</w:t>
      </w:r>
      <w:r w:rsidRPr="009A4C2A">
        <w:rPr>
          <w:rFonts w:asciiTheme="minorHAnsi" w:hAnsiTheme="minorHAnsi" w:cstheme="minorHAnsi"/>
          <w:vertAlign w:val="superscript"/>
        </w:rPr>
        <w:t>3</w:t>
      </w:r>
      <w:r w:rsidRPr="009A4C2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Kaylyn K. Leung</w:t>
      </w:r>
      <w:r>
        <w:rPr>
          <w:rFonts w:asciiTheme="minorHAnsi" w:hAnsiTheme="minorHAnsi" w:cstheme="minorHAnsi"/>
          <w:vertAlign w:val="superscript"/>
        </w:rPr>
        <w:t>2,5</w:t>
      </w:r>
      <w:r>
        <w:rPr>
          <w:rFonts w:asciiTheme="minorHAnsi" w:hAnsiTheme="minorHAnsi" w:cstheme="minorHAnsi"/>
        </w:rPr>
        <w:t xml:space="preserve">, </w:t>
      </w:r>
      <w:r w:rsidRPr="009A4C2A">
        <w:rPr>
          <w:rFonts w:asciiTheme="minorHAnsi" w:hAnsiTheme="minorHAnsi" w:cstheme="minorHAnsi"/>
        </w:rPr>
        <w:t xml:space="preserve">Kevin </w:t>
      </w:r>
      <w:r>
        <w:rPr>
          <w:rFonts w:asciiTheme="minorHAnsi" w:hAnsiTheme="minorHAnsi" w:cstheme="minorHAnsi"/>
        </w:rPr>
        <w:t xml:space="preserve">M. </w:t>
      </w:r>
      <w:r w:rsidRPr="009A4C2A">
        <w:rPr>
          <w:rFonts w:asciiTheme="minorHAnsi" w:hAnsiTheme="minorHAnsi" w:cstheme="minorHAnsi"/>
        </w:rPr>
        <w:t>Honeywell</w:t>
      </w:r>
      <w:r w:rsidRPr="009A4C2A">
        <w:rPr>
          <w:rFonts w:asciiTheme="minorHAnsi" w:hAnsiTheme="minorHAnsi" w:cstheme="minorHAnsi"/>
          <w:vertAlign w:val="superscript"/>
        </w:rPr>
        <w:t>3</w:t>
      </w:r>
      <w:r w:rsidRPr="009A4C2A">
        <w:rPr>
          <w:rFonts w:asciiTheme="minorHAnsi" w:hAnsiTheme="minorHAnsi" w:cstheme="minorHAnsi"/>
        </w:rPr>
        <w:t>, Tod Kippin</w:t>
      </w:r>
      <w:r w:rsidRPr="009A4C2A">
        <w:rPr>
          <w:rFonts w:asciiTheme="minorHAnsi" w:hAnsiTheme="minorHAnsi" w:cstheme="minorHAnsi"/>
          <w:vertAlign w:val="superscript"/>
        </w:rPr>
        <w:t>3,4</w:t>
      </w:r>
      <w:r w:rsidRPr="009A4C2A">
        <w:rPr>
          <w:rFonts w:asciiTheme="minorHAnsi" w:hAnsiTheme="minorHAnsi" w:cstheme="minorHAnsi"/>
        </w:rPr>
        <w:t>, and Kevin W. Plaxco</w:t>
      </w:r>
      <w:r w:rsidRPr="009A4C2A">
        <w:rPr>
          <w:rFonts w:asciiTheme="minorHAnsi" w:hAnsiTheme="minorHAnsi" w:cstheme="minorHAnsi"/>
          <w:vertAlign w:val="superscript"/>
        </w:rPr>
        <w:t>1,2,5*</w:t>
      </w:r>
    </w:p>
    <w:p w14:paraId="19E54562" w14:textId="77777777" w:rsidR="00821606" w:rsidRPr="009A4C2A" w:rsidRDefault="00821606" w:rsidP="00821606">
      <w:pPr>
        <w:pStyle w:val="BCAuthorAddress"/>
        <w:shd w:val="clear" w:color="auto" w:fill="FFFFFF" w:themeFill="background1"/>
        <w:spacing w:after="0" w:line="360" w:lineRule="auto"/>
        <w:jc w:val="left"/>
        <w:rPr>
          <w:rFonts w:asciiTheme="minorHAnsi" w:hAnsiTheme="minorHAnsi" w:cstheme="minorHAnsi"/>
        </w:rPr>
      </w:pPr>
      <w:r w:rsidRPr="009A4C2A">
        <w:rPr>
          <w:rFonts w:asciiTheme="minorHAnsi" w:hAnsiTheme="minorHAnsi" w:cstheme="minorHAnsi"/>
          <w:vertAlign w:val="superscript"/>
        </w:rPr>
        <w:t>1</w:t>
      </w:r>
      <w:r w:rsidRPr="009A4C2A">
        <w:rPr>
          <w:rFonts w:asciiTheme="minorHAnsi" w:hAnsiTheme="minorHAnsi" w:cstheme="minorHAnsi"/>
        </w:rPr>
        <w:t xml:space="preserve">Department of Mechanical Engineering, University of California Santa Barbara, Santa Barbara, CA 93106, USA. </w:t>
      </w:r>
    </w:p>
    <w:p w14:paraId="0BA384CA" w14:textId="77777777" w:rsidR="00821606" w:rsidRPr="009A4C2A" w:rsidRDefault="00821606" w:rsidP="00821606">
      <w:pPr>
        <w:pStyle w:val="BCAuthorAddress"/>
        <w:shd w:val="clear" w:color="auto" w:fill="FFFFFF" w:themeFill="background1"/>
        <w:spacing w:after="0" w:line="360" w:lineRule="auto"/>
        <w:jc w:val="left"/>
        <w:rPr>
          <w:rFonts w:asciiTheme="minorHAnsi" w:hAnsiTheme="minorHAnsi" w:cstheme="minorHAnsi"/>
        </w:rPr>
      </w:pPr>
      <w:r w:rsidRPr="009A4C2A">
        <w:rPr>
          <w:rFonts w:asciiTheme="minorHAnsi" w:hAnsiTheme="minorHAnsi" w:cstheme="minorHAnsi"/>
          <w:vertAlign w:val="superscript"/>
        </w:rPr>
        <w:t>2</w:t>
      </w:r>
      <w:r w:rsidRPr="009A4C2A">
        <w:rPr>
          <w:rFonts w:asciiTheme="minorHAnsi" w:hAnsiTheme="minorHAnsi" w:cstheme="minorHAnsi"/>
        </w:rPr>
        <w:t>Center for Bioengineering, University of California Santa Barbara, Santa Barbara, CA 93106, USA.</w:t>
      </w:r>
    </w:p>
    <w:p w14:paraId="1B29F81A" w14:textId="77777777" w:rsidR="00821606" w:rsidRPr="009A4C2A" w:rsidRDefault="00821606" w:rsidP="00821606">
      <w:pPr>
        <w:pStyle w:val="BCAuthorAddress"/>
        <w:shd w:val="clear" w:color="auto" w:fill="FFFFFF" w:themeFill="background1"/>
        <w:spacing w:after="0" w:line="360" w:lineRule="auto"/>
        <w:jc w:val="left"/>
        <w:rPr>
          <w:rFonts w:asciiTheme="minorHAnsi" w:hAnsiTheme="minorHAnsi" w:cstheme="minorHAnsi"/>
        </w:rPr>
      </w:pPr>
      <w:r w:rsidRPr="009A4C2A">
        <w:rPr>
          <w:rFonts w:asciiTheme="minorHAnsi" w:hAnsiTheme="minorHAnsi" w:cstheme="minorHAnsi"/>
          <w:vertAlign w:val="superscript"/>
        </w:rPr>
        <w:t>3</w:t>
      </w:r>
      <w:r w:rsidRPr="009A4C2A">
        <w:rPr>
          <w:rFonts w:asciiTheme="minorHAnsi" w:hAnsiTheme="minorHAnsi" w:cstheme="minorHAnsi"/>
        </w:rPr>
        <w:t>Department of Psychological and Brain Sciences, University of California Santa Barbara, Santa Barbara, CA 93106, USA.</w:t>
      </w:r>
    </w:p>
    <w:p w14:paraId="341FB232" w14:textId="77777777" w:rsidR="00821606" w:rsidRPr="009A4C2A" w:rsidRDefault="00821606" w:rsidP="00821606">
      <w:pPr>
        <w:pStyle w:val="BIEmailAddress"/>
        <w:spacing w:line="360" w:lineRule="auto"/>
        <w:rPr>
          <w:rFonts w:asciiTheme="minorHAnsi" w:hAnsiTheme="minorHAnsi" w:cstheme="minorHAnsi"/>
        </w:rPr>
      </w:pPr>
      <w:r w:rsidRPr="009A4C2A">
        <w:rPr>
          <w:rFonts w:asciiTheme="minorHAnsi" w:hAnsiTheme="minorHAnsi" w:cstheme="minorHAnsi"/>
          <w:vertAlign w:val="superscript"/>
        </w:rPr>
        <w:t>4</w:t>
      </w:r>
      <w:r w:rsidRPr="009A4C2A">
        <w:rPr>
          <w:rFonts w:asciiTheme="minorHAnsi" w:hAnsiTheme="minorHAnsi" w:cstheme="minorHAnsi"/>
        </w:rPr>
        <w:t>The Neuroscience Research Institute and Department of Molecular Cellular and Developmental Biology, University of California Santa Barbara, Santa Barbara, California 93106, United States</w:t>
      </w:r>
    </w:p>
    <w:p w14:paraId="3F03FD35" w14:textId="77777777" w:rsidR="00821606" w:rsidRPr="009A4C2A" w:rsidRDefault="00821606" w:rsidP="00821606">
      <w:pPr>
        <w:pStyle w:val="BIEmailAddress"/>
        <w:rPr>
          <w:rFonts w:asciiTheme="minorHAnsi" w:hAnsiTheme="minorHAnsi" w:cstheme="minorHAnsi"/>
        </w:rPr>
      </w:pPr>
      <w:r w:rsidRPr="009A4C2A">
        <w:rPr>
          <w:rFonts w:asciiTheme="minorHAnsi" w:hAnsiTheme="minorHAnsi" w:cstheme="minorHAnsi"/>
          <w:vertAlign w:val="superscript"/>
        </w:rPr>
        <w:t>5</w:t>
      </w:r>
      <w:r w:rsidRPr="009A4C2A">
        <w:rPr>
          <w:rFonts w:asciiTheme="minorHAnsi" w:hAnsiTheme="minorHAnsi" w:cstheme="minorHAnsi"/>
        </w:rPr>
        <w:t>Department of Chemistry and Biochemistry, University of California Santa Barbara, Santa Barbara, CA 93106, USA.</w:t>
      </w:r>
    </w:p>
    <w:p w14:paraId="1715BA51" w14:textId="77777777" w:rsidR="00821606" w:rsidRPr="009A4C2A" w:rsidRDefault="00821606" w:rsidP="00821606">
      <w:pPr>
        <w:rPr>
          <w:rFonts w:cstheme="minorHAnsi"/>
        </w:rPr>
      </w:pPr>
    </w:p>
    <w:p w14:paraId="379963A8" w14:textId="77777777" w:rsidR="00821606" w:rsidRPr="009A4C2A" w:rsidRDefault="00821606" w:rsidP="00821606">
      <w:pPr>
        <w:shd w:val="clear" w:color="auto" w:fill="FFFFFF" w:themeFill="background1"/>
        <w:spacing w:line="360" w:lineRule="auto"/>
        <w:contextualSpacing/>
        <w:rPr>
          <w:rFonts w:cstheme="minorHAnsi"/>
        </w:rPr>
      </w:pPr>
      <w:r w:rsidRPr="009A4C2A">
        <w:rPr>
          <w:rFonts w:cstheme="minorHAnsi"/>
        </w:rPr>
        <w:t xml:space="preserve">*Corresponding author: </w:t>
      </w:r>
      <w:hyperlink r:id="rId4" w:history="1">
        <w:r w:rsidRPr="009A4C2A">
          <w:rPr>
            <w:rStyle w:val="Hyperlink"/>
            <w:rFonts w:cstheme="minorHAnsi"/>
          </w:rPr>
          <w:t>kwp@ucsb.edu</w:t>
        </w:r>
      </w:hyperlink>
      <w:r w:rsidRPr="009A4C2A">
        <w:rPr>
          <w:rFonts w:cstheme="minorHAnsi"/>
        </w:rPr>
        <w:t xml:space="preserve"> </w:t>
      </w:r>
    </w:p>
    <w:p w14:paraId="129100A5" w14:textId="77777777" w:rsidR="00821606" w:rsidRDefault="00821606" w:rsidP="00821606">
      <w:pPr>
        <w:rPr>
          <w:rFonts w:cstheme="minorHAnsi"/>
        </w:rPr>
      </w:pPr>
    </w:p>
    <w:p w14:paraId="5FD280E6" w14:textId="77777777" w:rsidR="00821606" w:rsidRDefault="00821606" w:rsidP="00821606"/>
    <w:p w14:paraId="29A7D1EB" w14:textId="77777777" w:rsidR="00821606" w:rsidRDefault="00821606" w:rsidP="00821606"/>
    <w:p w14:paraId="262D0076" w14:textId="77777777" w:rsidR="00821606" w:rsidRDefault="00821606" w:rsidP="00821606"/>
    <w:p w14:paraId="27776B69" w14:textId="77777777" w:rsidR="00821606" w:rsidRDefault="00821606" w:rsidP="00821606"/>
    <w:p w14:paraId="2314B6ED" w14:textId="77777777" w:rsidR="00821606" w:rsidRDefault="00821606" w:rsidP="00821606">
      <w:pPr>
        <w:rPr>
          <w:rFonts w:cstheme="minorHAnsi"/>
          <w:b/>
          <w:bCs/>
          <w:sz w:val="20"/>
          <w:szCs w:val="20"/>
        </w:rPr>
      </w:pPr>
    </w:p>
    <w:p w14:paraId="52EF34D1" w14:textId="77777777" w:rsidR="00821606" w:rsidRPr="008013BA" w:rsidRDefault="00821606" w:rsidP="00821606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 xml:space="preserve">Table S1: </w:t>
      </w:r>
      <w:r>
        <w:rPr>
          <w:rFonts w:cstheme="minorHAnsi"/>
          <w:sz w:val="20"/>
          <w:szCs w:val="20"/>
        </w:rPr>
        <w:t>Employing</w:t>
      </w:r>
      <w:r w:rsidRPr="009A4C2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“out of dataset” calibration curves </w:t>
      </w:r>
      <w:proofErr w:type="gramStart"/>
      <w:r>
        <w:rPr>
          <w:rFonts w:cstheme="minorHAnsi"/>
          <w:sz w:val="20"/>
          <w:szCs w:val="20"/>
        </w:rPr>
        <w:t>does</w:t>
      </w:r>
      <w:proofErr w:type="gramEnd"/>
      <w:r>
        <w:rPr>
          <w:rFonts w:cstheme="minorHAnsi"/>
          <w:sz w:val="20"/>
          <w:szCs w:val="20"/>
        </w:rPr>
        <w:t xml:space="preserve"> not significantly</w:t>
      </w:r>
      <w:r w:rsidRPr="009A4C2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reduce</w:t>
      </w:r>
      <w:r w:rsidRPr="009A4C2A">
        <w:rPr>
          <w:rFonts w:cstheme="minorHAnsi"/>
          <w:sz w:val="20"/>
          <w:szCs w:val="20"/>
        </w:rPr>
        <w:t xml:space="preserve"> accuracy</w:t>
      </w:r>
      <w:r>
        <w:rPr>
          <w:rFonts w:cstheme="minorHAnsi"/>
          <w:sz w:val="20"/>
          <w:szCs w:val="20"/>
        </w:rPr>
        <w:t xml:space="preserve"> over the clinically relevant target concentration range. Here, we challenged four sensors, in each case using the average</w:t>
      </w:r>
      <w:r w:rsidRPr="009A4C2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calibration curve of the other three sensors. </w:t>
      </w:r>
    </w:p>
    <w:p w14:paraId="3DCA2A24" w14:textId="77777777" w:rsidR="00821606" w:rsidRPr="00D14E70" w:rsidRDefault="00821606" w:rsidP="00821606">
      <w:pPr>
        <w:jc w:val="center"/>
        <w:rPr>
          <w:rFonts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3EF04A80" wp14:editId="2366E6D2">
            <wp:extent cx="5861685" cy="2360930"/>
            <wp:effectExtent l="0" t="0" r="5715" b="1270"/>
            <wp:docPr id="14" name="Picture 14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,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F765B" w14:textId="77777777" w:rsidR="00821606" w:rsidRDefault="00821606" w:rsidP="00821606">
      <w:pPr>
        <w:jc w:val="both"/>
        <w:rPr>
          <w:rFonts w:cstheme="minorHAnsi"/>
          <w:b/>
          <w:bCs/>
          <w:sz w:val="20"/>
          <w:szCs w:val="20"/>
        </w:rPr>
      </w:pPr>
    </w:p>
    <w:p w14:paraId="3F2C3B47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Table S2: </w:t>
      </w:r>
      <w:r>
        <w:rPr>
          <w:rFonts w:cstheme="minorHAnsi"/>
          <w:sz w:val="20"/>
          <w:szCs w:val="20"/>
        </w:rPr>
        <w:t>Calibrating each</w:t>
      </w:r>
      <w:r w:rsidRPr="009A4C2A">
        <w:rPr>
          <w:rFonts w:cstheme="minorHAnsi"/>
          <w:sz w:val="20"/>
          <w:szCs w:val="20"/>
        </w:rPr>
        <w:t xml:space="preserve"> individual </w:t>
      </w:r>
      <w:r>
        <w:rPr>
          <w:rFonts w:cstheme="minorHAnsi"/>
          <w:sz w:val="20"/>
          <w:szCs w:val="20"/>
        </w:rPr>
        <w:t>sensor does not significantly</w:t>
      </w:r>
      <w:r w:rsidRPr="009A4C2A">
        <w:rPr>
          <w:rFonts w:cstheme="minorHAnsi"/>
          <w:sz w:val="20"/>
          <w:szCs w:val="20"/>
        </w:rPr>
        <w:t xml:space="preserve"> improve accuracy</w:t>
      </w:r>
      <w:r>
        <w:rPr>
          <w:rFonts w:cstheme="minorHAnsi"/>
          <w:sz w:val="20"/>
          <w:szCs w:val="20"/>
        </w:rPr>
        <w:t xml:space="preserve"> over the clinically relevant target concentration range</w:t>
      </w:r>
      <w:r w:rsidRPr="009A4C2A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  <w:r w:rsidRPr="009A4C2A">
        <w:rPr>
          <w:rFonts w:cstheme="minorHAnsi"/>
          <w:sz w:val="20"/>
          <w:szCs w:val="20"/>
        </w:rPr>
        <w:t xml:space="preserve">To </w:t>
      </w:r>
      <w:r>
        <w:rPr>
          <w:rFonts w:cstheme="minorHAnsi"/>
          <w:sz w:val="20"/>
          <w:szCs w:val="20"/>
        </w:rPr>
        <w:t>show this,</w:t>
      </w:r>
      <w:r w:rsidRPr="009A4C2A">
        <w:rPr>
          <w:rFonts w:cstheme="minorHAnsi"/>
          <w:sz w:val="20"/>
          <w:szCs w:val="20"/>
        </w:rPr>
        <w:t xml:space="preserve"> we </w:t>
      </w:r>
      <w:r>
        <w:rPr>
          <w:rFonts w:cstheme="minorHAnsi"/>
          <w:sz w:val="20"/>
          <w:szCs w:val="20"/>
        </w:rPr>
        <w:t>used the</w:t>
      </w:r>
      <w:r w:rsidRPr="009A4C2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Hill-L</w:t>
      </w:r>
      <w:r w:rsidRPr="009A4C2A">
        <w:rPr>
          <w:rFonts w:cstheme="minorHAnsi"/>
          <w:sz w:val="20"/>
          <w:szCs w:val="20"/>
        </w:rPr>
        <w:t>angmuir isotherm</w:t>
      </w:r>
      <w:r>
        <w:rPr>
          <w:rFonts w:cstheme="minorHAnsi"/>
          <w:sz w:val="20"/>
          <w:szCs w:val="20"/>
        </w:rPr>
        <w:t xml:space="preserve"> calibration curve</w:t>
      </w:r>
      <w:r w:rsidRPr="009A4C2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of</w:t>
      </w:r>
      <w:r w:rsidRPr="009A4C2A">
        <w:rPr>
          <w:rFonts w:cstheme="minorHAnsi"/>
          <w:sz w:val="20"/>
          <w:szCs w:val="20"/>
        </w:rPr>
        <w:t xml:space="preserve"> each individual electrode </w:t>
      </w:r>
      <w:r>
        <w:rPr>
          <w:rFonts w:cstheme="minorHAnsi"/>
          <w:sz w:val="20"/>
          <w:szCs w:val="20"/>
        </w:rPr>
        <w:t>to produce concentration estimates using that same electrode when challenged with</w:t>
      </w:r>
      <w:r w:rsidRPr="009A4C2A">
        <w:rPr>
          <w:rFonts w:cstheme="minorHAnsi"/>
          <w:sz w:val="20"/>
          <w:szCs w:val="20"/>
        </w:rPr>
        <w:t xml:space="preserve"> a series of vancomycin additions </w:t>
      </w:r>
      <w:r>
        <w:rPr>
          <w:rFonts w:cstheme="minorHAnsi"/>
          <w:sz w:val="20"/>
          <w:szCs w:val="20"/>
        </w:rPr>
        <w:t>in</w:t>
      </w:r>
      <w:r w:rsidRPr="009A4C2A">
        <w:rPr>
          <w:rFonts w:cstheme="minorHAnsi"/>
          <w:sz w:val="20"/>
          <w:szCs w:val="20"/>
        </w:rPr>
        <w:t xml:space="preserve"> 37</w:t>
      </w:r>
      <w:r w:rsidRPr="00815B31">
        <w:rPr>
          <w:rFonts w:cstheme="minorHAnsi"/>
          <w:sz w:val="20"/>
          <w:szCs w:val="20"/>
        </w:rPr>
        <w:t>°</w:t>
      </w:r>
      <w:r w:rsidRPr="009A4C2A">
        <w:rPr>
          <w:rFonts w:cstheme="minorHAnsi"/>
          <w:sz w:val="20"/>
          <w:szCs w:val="20"/>
        </w:rPr>
        <w:t xml:space="preserve">C fresh rat blood. </w:t>
      </w:r>
    </w:p>
    <w:p w14:paraId="1EEAF1CE" w14:textId="77777777" w:rsidR="00821606" w:rsidRDefault="00821606" w:rsidP="00821606">
      <w:pPr>
        <w:jc w:val="center"/>
        <w:rPr>
          <w:rFonts w:cstheme="minorHAns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DB1C35B" wp14:editId="67A05552">
            <wp:extent cx="5861685" cy="2360930"/>
            <wp:effectExtent l="0" t="0" r="5715" b="1270"/>
            <wp:docPr id="16" name="Picture 16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,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B2B9A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7CD47C86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7EBA08C0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41EEB97E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7E4EE778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3412D87C" w14:textId="77777777" w:rsidR="00821606" w:rsidRPr="009C40AD" w:rsidRDefault="00821606" w:rsidP="00821606">
      <w:pPr>
        <w:jc w:val="both"/>
        <w:rPr>
          <w:rFonts w:cstheme="minorHAnsi"/>
          <w:color w:val="000000" w:themeColor="text1"/>
          <w:sz w:val="20"/>
          <w:szCs w:val="20"/>
        </w:rPr>
      </w:pPr>
      <w:r w:rsidRPr="009C40AD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 xml:space="preserve">Table S3: </w:t>
      </w:r>
      <w:r w:rsidRPr="009C40AD">
        <w:rPr>
          <w:rFonts w:cstheme="minorHAnsi"/>
          <w:color w:val="000000" w:themeColor="text1"/>
          <w:sz w:val="20"/>
          <w:szCs w:val="20"/>
        </w:rPr>
        <w:t xml:space="preserve">Hill-Langmuir parameters for the media conditions presented (rat blood, bovine blood, Ringer’s buffer with bovine serum albumin, phosphate buffered saline, and phosphate buffered saline with bovine serum albumin, </w:t>
      </w:r>
    </w:p>
    <w:p w14:paraId="5207EA7B" w14:textId="77777777" w:rsidR="00821606" w:rsidRPr="009A4C2A" w:rsidRDefault="00821606" w:rsidP="00821606">
      <w:pPr>
        <w:jc w:val="both"/>
        <w:rPr>
          <w:rFonts w:ascii="Arial" w:hAnsi="Arial" w:cs="Arial"/>
          <w:sz w:val="24"/>
          <w:szCs w:val="24"/>
        </w:rPr>
      </w:pPr>
      <w:r w:rsidRPr="00705E9A">
        <w:rPr>
          <w:noProof/>
          <w:color w:val="FF0000"/>
        </w:rPr>
        <w:drawing>
          <wp:inline distT="0" distB="0" distL="0" distR="0" wp14:anchorId="0CF60DC6" wp14:editId="567B1662">
            <wp:extent cx="5943600" cy="4405630"/>
            <wp:effectExtent l="0" t="0" r="0" b="0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B5DEF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730F46DA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2C1E1FC5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1AB584BD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40B1F4AB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06040BD5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B1682F2" wp14:editId="39AA537C">
            <wp:extent cx="2999105" cy="2121535"/>
            <wp:effectExtent l="0" t="0" r="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69756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  <w:r w:rsidRPr="00CE0B3E">
        <w:rPr>
          <w:rFonts w:cstheme="minorHAnsi"/>
          <w:b/>
          <w:bCs/>
          <w:sz w:val="20"/>
          <w:szCs w:val="20"/>
        </w:rPr>
        <w:t>Figure S</w:t>
      </w:r>
      <w:r>
        <w:rPr>
          <w:rFonts w:cstheme="minorHAnsi"/>
          <w:b/>
          <w:bCs/>
          <w:sz w:val="20"/>
          <w:szCs w:val="20"/>
        </w:rPr>
        <w:t>1</w:t>
      </w:r>
      <w:r w:rsidRPr="00CE0B3E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sz w:val="20"/>
          <w:szCs w:val="20"/>
        </w:rPr>
        <w:t>B</w:t>
      </w:r>
      <w:r w:rsidRPr="009A4C2A">
        <w:rPr>
          <w:rFonts w:cstheme="minorHAnsi"/>
          <w:sz w:val="20"/>
          <w:szCs w:val="20"/>
        </w:rPr>
        <w:t xml:space="preserve">etween room temperature (black) and body temperature (blue), </w:t>
      </w:r>
      <w:r>
        <w:rPr>
          <w:rFonts w:cstheme="minorHAnsi"/>
          <w:sz w:val="20"/>
          <w:szCs w:val="20"/>
        </w:rPr>
        <w:t xml:space="preserve">peak </w:t>
      </w:r>
      <w:r w:rsidRPr="009A4C2A">
        <w:rPr>
          <w:rFonts w:cstheme="minorHAnsi"/>
          <w:sz w:val="20"/>
          <w:szCs w:val="20"/>
        </w:rPr>
        <w:t xml:space="preserve">charge transfer shifts </w:t>
      </w:r>
      <w:r>
        <w:rPr>
          <w:rFonts w:cstheme="minorHAnsi"/>
          <w:sz w:val="20"/>
          <w:szCs w:val="20"/>
        </w:rPr>
        <w:t>toward higher frequencies, indicating an increase in electron transfer rate. Shown are plots of</w:t>
      </w:r>
      <w:r w:rsidRPr="009A4C2A">
        <w:rPr>
          <w:rFonts w:cstheme="minorHAnsi"/>
          <w:sz w:val="20"/>
          <w:szCs w:val="20"/>
        </w:rPr>
        <w:t xml:space="preserve"> charge transfer versus </w:t>
      </w:r>
      <w:r>
        <w:rPr>
          <w:rFonts w:cstheme="minorHAnsi"/>
          <w:sz w:val="20"/>
          <w:szCs w:val="20"/>
        </w:rPr>
        <w:t xml:space="preserve">square-wave </w:t>
      </w:r>
      <w:r w:rsidRPr="009A4C2A">
        <w:rPr>
          <w:rFonts w:cstheme="minorHAnsi"/>
          <w:sz w:val="20"/>
          <w:szCs w:val="20"/>
        </w:rPr>
        <w:t xml:space="preserve">frequency </w:t>
      </w:r>
      <w:r>
        <w:rPr>
          <w:rFonts w:cstheme="minorHAnsi"/>
          <w:sz w:val="20"/>
          <w:szCs w:val="20"/>
        </w:rPr>
        <w:t xml:space="preserve">for eight sensors. Note that variation in ethe total charge transferred occurs due to differences in electrode gold surface area, which changes the number of methylene blue redox reporters for a given sensor. </w:t>
      </w:r>
    </w:p>
    <w:p w14:paraId="0328977C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</w:p>
    <w:p w14:paraId="47483056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56518028" wp14:editId="0FAE5CA5">
            <wp:extent cx="3291840" cy="2508885"/>
            <wp:effectExtent l="0" t="0" r="3810" b="5715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3273D" w14:textId="77777777" w:rsidR="00821606" w:rsidRPr="00CE0B3E" w:rsidRDefault="00821606" w:rsidP="00821606">
      <w:pPr>
        <w:jc w:val="both"/>
        <w:rPr>
          <w:rFonts w:cstheme="minorHAnsi"/>
          <w:b/>
          <w:bCs/>
          <w:sz w:val="20"/>
          <w:szCs w:val="20"/>
        </w:rPr>
      </w:pPr>
      <w:r w:rsidRPr="00CE0B3E">
        <w:rPr>
          <w:rFonts w:cstheme="minorHAnsi"/>
          <w:b/>
          <w:bCs/>
          <w:sz w:val="20"/>
          <w:szCs w:val="20"/>
        </w:rPr>
        <w:t>Figure S</w:t>
      </w:r>
      <w:r>
        <w:rPr>
          <w:rFonts w:cstheme="minorHAnsi"/>
          <w:b/>
          <w:bCs/>
          <w:sz w:val="20"/>
          <w:szCs w:val="20"/>
        </w:rPr>
        <w:t>2</w:t>
      </w:r>
      <w:r w:rsidRPr="00CE0B3E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sz w:val="20"/>
          <w:szCs w:val="20"/>
        </w:rPr>
        <w:t xml:space="preserve">Calibrating EAB sensor data collected at body temperature with a calibration curve collected at room temperature fails produces substantial under-estimates of vancomycin concentration at 10 and 20 </w:t>
      </w:r>
      <w:r w:rsidRPr="00815B31">
        <w:rPr>
          <w:rFonts w:cstheme="minorHAnsi"/>
          <w:sz w:val="20"/>
          <w:szCs w:val="20"/>
        </w:rPr>
        <w:t>µ</w:t>
      </w:r>
      <w:r w:rsidRPr="009A4C2A">
        <w:rPr>
          <w:rFonts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 xml:space="preserve"> doses. Doses at 100 and 300 </w:t>
      </w:r>
      <w:r w:rsidRPr="00815B31">
        <w:rPr>
          <w:rFonts w:cstheme="minorHAnsi"/>
          <w:sz w:val="20"/>
          <w:szCs w:val="20"/>
        </w:rPr>
        <w:t>µ</w:t>
      </w:r>
      <w:r w:rsidRPr="009A4C2A">
        <w:rPr>
          <w:rFonts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 xml:space="preserve"> are not shown because, due to differences in the observed KDM values, the room temperature calibration curve fail to quantify at these concentrations. </w:t>
      </w:r>
    </w:p>
    <w:p w14:paraId="57B53164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</w:p>
    <w:p w14:paraId="5D34A830" w14:textId="77777777" w:rsidR="00821606" w:rsidRPr="001B485B" w:rsidRDefault="00821606" w:rsidP="00821606">
      <w:pPr>
        <w:jc w:val="both"/>
        <w:rPr>
          <w:rFonts w:cstheme="minorHAnsi"/>
          <w:sz w:val="20"/>
          <w:szCs w:val="20"/>
        </w:rPr>
      </w:pPr>
    </w:p>
    <w:p w14:paraId="482511A1" w14:textId="77777777" w:rsidR="00821606" w:rsidRPr="00CE0B3E" w:rsidRDefault="00821606" w:rsidP="00821606">
      <w:pPr>
        <w:jc w:val="center"/>
        <w:rPr>
          <w:rFonts w:cstheme="minorHAnsi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F24DED0" wp14:editId="3484A63C">
            <wp:extent cx="3314065" cy="2179955"/>
            <wp:effectExtent l="0" t="0" r="635" b="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21F4F" w14:textId="77777777" w:rsidR="00821606" w:rsidRPr="00CE0B3E" w:rsidRDefault="00821606" w:rsidP="00821606">
      <w:pPr>
        <w:jc w:val="both"/>
        <w:rPr>
          <w:rFonts w:cstheme="minorHAnsi"/>
          <w:b/>
          <w:bCs/>
          <w:sz w:val="20"/>
          <w:szCs w:val="20"/>
        </w:rPr>
      </w:pPr>
      <w:r w:rsidRPr="00CE0B3E">
        <w:rPr>
          <w:rFonts w:cstheme="minorHAnsi"/>
          <w:b/>
          <w:bCs/>
          <w:sz w:val="20"/>
          <w:szCs w:val="20"/>
        </w:rPr>
        <w:t>Figure S</w:t>
      </w:r>
      <w:r>
        <w:rPr>
          <w:rFonts w:cstheme="minorHAnsi"/>
          <w:b/>
          <w:bCs/>
          <w:sz w:val="20"/>
          <w:szCs w:val="20"/>
        </w:rPr>
        <w:t>3</w:t>
      </w:r>
      <w:r w:rsidRPr="00CE0B3E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sz w:val="20"/>
          <w:szCs w:val="20"/>
        </w:rPr>
        <w:t>EAB sensor response is sufficiently</w:t>
      </w:r>
      <w:r w:rsidRPr="009A4C2A">
        <w:rPr>
          <w:rFonts w:cstheme="minorHAnsi"/>
          <w:sz w:val="20"/>
          <w:szCs w:val="20"/>
        </w:rPr>
        <w:t xml:space="preserve"> temperature </w:t>
      </w:r>
      <w:r>
        <w:rPr>
          <w:rFonts w:cstheme="minorHAnsi"/>
          <w:sz w:val="20"/>
          <w:szCs w:val="20"/>
        </w:rPr>
        <w:t>dependent that the change in signaling between room and body temperature is substantial</w:t>
      </w:r>
      <w:r w:rsidRPr="009A4C2A">
        <w:rPr>
          <w:rFonts w:cstheme="minorHAnsi"/>
          <w:sz w:val="20"/>
          <w:szCs w:val="20"/>
        </w:rPr>
        <w:t>. Here, we</w:t>
      </w:r>
      <w:r>
        <w:rPr>
          <w:rFonts w:cstheme="minorHAnsi"/>
          <w:sz w:val="20"/>
          <w:szCs w:val="20"/>
        </w:rPr>
        <w:t xml:space="preserve"> compare titrations in </w:t>
      </w:r>
      <w:r w:rsidRPr="009A4C2A">
        <w:rPr>
          <w:rFonts w:cstheme="minorHAnsi"/>
          <w:sz w:val="20"/>
          <w:szCs w:val="20"/>
        </w:rPr>
        <w:t>freshly collected rat blood at 2</w:t>
      </w:r>
      <w:r>
        <w:rPr>
          <w:rFonts w:cstheme="minorHAnsi"/>
          <w:sz w:val="20"/>
          <w:szCs w:val="20"/>
        </w:rPr>
        <w:t>1</w:t>
      </w:r>
      <w:r w:rsidRPr="00815B31">
        <w:rPr>
          <w:rFonts w:cstheme="minorHAnsi"/>
          <w:sz w:val="20"/>
          <w:szCs w:val="20"/>
        </w:rPr>
        <w:t>°</w:t>
      </w:r>
      <w:r w:rsidRPr="009A4C2A">
        <w:rPr>
          <w:rFonts w:cstheme="minorHAnsi"/>
          <w:sz w:val="20"/>
          <w:szCs w:val="20"/>
        </w:rPr>
        <w:t>C and 37</w:t>
      </w:r>
      <w:r w:rsidRPr="00815B31">
        <w:rPr>
          <w:rFonts w:cstheme="minorHAnsi"/>
          <w:sz w:val="20"/>
          <w:szCs w:val="20"/>
        </w:rPr>
        <w:t>°</w:t>
      </w:r>
      <w:r w:rsidRPr="009A4C2A">
        <w:rPr>
          <w:rFonts w:cstheme="minorHAnsi"/>
          <w:sz w:val="20"/>
          <w:szCs w:val="20"/>
        </w:rPr>
        <w:t>C.</w:t>
      </w:r>
      <w:r w:rsidRPr="009A4C2A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Calibration curves collected at 10 and 300 Hz </w:t>
      </w:r>
      <w:r w:rsidRPr="009A4C2A">
        <w:rPr>
          <w:rFonts w:cstheme="minorHAnsi"/>
          <w:sz w:val="20"/>
          <w:szCs w:val="20"/>
        </w:rPr>
        <w:t>at 2</w:t>
      </w:r>
      <w:r>
        <w:rPr>
          <w:rFonts w:cstheme="minorHAnsi"/>
          <w:sz w:val="20"/>
          <w:szCs w:val="20"/>
        </w:rPr>
        <w:t>1</w:t>
      </w:r>
      <w:r w:rsidRPr="00815B31">
        <w:rPr>
          <w:rFonts w:cstheme="minorHAnsi"/>
          <w:sz w:val="20"/>
          <w:szCs w:val="20"/>
        </w:rPr>
        <w:t>°</w:t>
      </w:r>
      <w:r w:rsidRPr="009A4C2A">
        <w:rPr>
          <w:rFonts w:cstheme="minorHAnsi"/>
          <w:sz w:val="20"/>
          <w:szCs w:val="20"/>
        </w:rPr>
        <w:t>C (black</w:t>
      </w:r>
      <w:r>
        <w:rPr>
          <w:rFonts w:cstheme="minorHAnsi"/>
          <w:sz w:val="20"/>
          <w:szCs w:val="20"/>
        </w:rPr>
        <w:t xml:space="preserve">, n = 4 sensors, </w:t>
      </w:r>
      <w:r w:rsidRPr="003D5208">
        <w:rPr>
          <w:rFonts w:cstheme="minorHAnsi"/>
          <w:sz w:val="20"/>
          <w:szCs w:val="20"/>
        </w:rPr>
        <w:t>K</w:t>
      </w:r>
      <w:r w:rsidRPr="003D5208">
        <w:rPr>
          <w:rFonts w:cstheme="minorHAnsi"/>
          <w:sz w:val="20"/>
          <w:szCs w:val="20"/>
          <w:vertAlign w:val="subscript"/>
        </w:rPr>
        <w:t>1/</w:t>
      </w:r>
      <w:proofErr w:type="gramStart"/>
      <w:r w:rsidRPr="003D5208">
        <w:rPr>
          <w:rFonts w:cstheme="minorHAnsi"/>
          <w:sz w:val="20"/>
          <w:szCs w:val="20"/>
          <w:vertAlign w:val="subscript"/>
        </w:rPr>
        <w:t>2</w:t>
      </w:r>
      <w:r w:rsidRPr="003D520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=</w:t>
      </w:r>
      <w:proofErr w:type="gramEnd"/>
      <w:r>
        <w:rPr>
          <w:rFonts w:cstheme="minorHAnsi"/>
          <w:sz w:val="20"/>
          <w:szCs w:val="20"/>
        </w:rPr>
        <w:t xml:space="preserve"> 175 </w:t>
      </w:r>
      <w:r>
        <w:t>±</w:t>
      </w:r>
      <w:r>
        <w:rPr>
          <w:rFonts w:cstheme="minorHAnsi"/>
          <w:sz w:val="20"/>
          <w:szCs w:val="20"/>
        </w:rPr>
        <w:t xml:space="preserve"> 1 </w:t>
      </w:r>
      <w:r w:rsidRPr="00815B31">
        <w:rPr>
          <w:rFonts w:cstheme="minorHAnsi"/>
          <w:sz w:val="20"/>
          <w:szCs w:val="20"/>
        </w:rPr>
        <w:t>µ</w:t>
      </w:r>
      <w:r w:rsidRPr="009A4C2A">
        <w:rPr>
          <w:rFonts w:cstheme="minorHAnsi"/>
          <w:sz w:val="20"/>
          <w:szCs w:val="20"/>
        </w:rPr>
        <w:t>M) and 37</w:t>
      </w:r>
      <w:r w:rsidRPr="00815B31">
        <w:rPr>
          <w:rFonts w:cstheme="minorHAnsi"/>
          <w:sz w:val="20"/>
          <w:szCs w:val="20"/>
        </w:rPr>
        <w:t>°</w:t>
      </w:r>
      <w:r w:rsidRPr="009A4C2A">
        <w:rPr>
          <w:rFonts w:cstheme="minorHAnsi"/>
          <w:sz w:val="20"/>
          <w:szCs w:val="20"/>
        </w:rPr>
        <w:t>C (blue</w:t>
      </w:r>
      <w:r>
        <w:rPr>
          <w:rFonts w:cstheme="minorHAnsi"/>
          <w:sz w:val="20"/>
          <w:szCs w:val="20"/>
        </w:rPr>
        <w:t xml:space="preserve">, n = 4 sensors, </w:t>
      </w:r>
      <w:r w:rsidRPr="003D5208">
        <w:rPr>
          <w:rFonts w:cstheme="minorHAnsi"/>
          <w:sz w:val="20"/>
          <w:szCs w:val="20"/>
        </w:rPr>
        <w:t>K</w:t>
      </w:r>
      <w:r w:rsidRPr="003D5208">
        <w:rPr>
          <w:rFonts w:cstheme="minorHAnsi"/>
          <w:sz w:val="20"/>
          <w:szCs w:val="20"/>
          <w:vertAlign w:val="subscript"/>
        </w:rPr>
        <w:t>1/2</w:t>
      </w:r>
      <w:r w:rsidRPr="003D520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= 499 </w:t>
      </w:r>
      <w:r>
        <w:t>±</w:t>
      </w:r>
      <w:r>
        <w:rPr>
          <w:rFonts w:cstheme="minorHAnsi"/>
          <w:sz w:val="20"/>
          <w:szCs w:val="20"/>
        </w:rPr>
        <w:t xml:space="preserve"> 8 </w:t>
      </w:r>
      <w:r w:rsidRPr="00815B31">
        <w:rPr>
          <w:rFonts w:cstheme="minorHAnsi"/>
          <w:sz w:val="20"/>
          <w:szCs w:val="20"/>
        </w:rPr>
        <w:t>µ</w:t>
      </w:r>
      <w:r w:rsidRPr="009A4C2A">
        <w:rPr>
          <w:rFonts w:cstheme="minorHAnsi"/>
          <w:sz w:val="20"/>
          <w:szCs w:val="20"/>
        </w:rPr>
        <w:t>M) yield</w:t>
      </w:r>
      <w:r>
        <w:rPr>
          <w:rFonts w:cstheme="minorHAnsi"/>
          <w:sz w:val="20"/>
          <w:szCs w:val="20"/>
        </w:rPr>
        <w:t xml:space="preserve"> a 20 to 25 % difference in clinical range</w:t>
      </w:r>
      <w:r w:rsidRPr="009A4C2A">
        <w:rPr>
          <w:rFonts w:cstheme="minorHAnsi"/>
          <w:sz w:val="20"/>
          <w:szCs w:val="20"/>
        </w:rPr>
        <w:t xml:space="preserve"> response magnitude</w:t>
      </w:r>
      <w:r>
        <w:rPr>
          <w:rFonts w:cstheme="minorHAnsi"/>
          <w:sz w:val="20"/>
          <w:szCs w:val="20"/>
        </w:rPr>
        <w:t>s.</w:t>
      </w:r>
      <w:r w:rsidRPr="009A4C2A">
        <w:rPr>
          <w:rFonts w:cstheme="minorHAnsi"/>
          <w:b/>
          <w:bCs/>
          <w:sz w:val="20"/>
          <w:szCs w:val="20"/>
        </w:rPr>
        <w:t xml:space="preserve"> </w:t>
      </w:r>
    </w:p>
    <w:p w14:paraId="25180107" w14:textId="77777777" w:rsidR="00821606" w:rsidRPr="009A4C2A" w:rsidRDefault="00821606" w:rsidP="00821606">
      <w:pPr>
        <w:jc w:val="both"/>
        <w:rPr>
          <w:rFonts w:cstheme="minorHAnsi"/>
          <w:b/>
          <w:bCs/>
          <w:sz w:val="28"/>
          <w:szCs w:val="28"/>
        </w:rPr>
      </w:pPr>
    </w:p>
    <w:p w14:paraId="24EC2F87" w14:textId="77777777" w:rsidR="00821606" w:rsidRPr="009A4C2A" w:rsidRDefault="00821606" w:rsidP="00821606">
      <w:pPr>
        <w:jc w:val="center"/>
        <w:rPr>
          <w:rFonts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5FEA0903" wp14:editId="3068A14A">
            <wp:extent cx="5762625" cy="2686050"/>
            <wp:effectExtent l="0" t="0" r="9525" b="0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81A8C" w14:textId="77777777" w:rsidR="00821606" w:rsidRPr="00B72E40" w:rsidRDefault="00821606" w:rsidP="00821606">
      <w:pPr>
        <w:jc w:val="both"/>
        <w:rPr>
          <w:rFonts w:cstheme="minorHAnsi"/>
          <w:sz w:val="20"/>
          <w:szCs w:val="20"/>
        </w:rPr>
      </w:pPr>
      <w:r w:rsidRPr="00B72E40">
        <w:rPr>
          <w:rFonts w:cstheme="minorHAnsi"/>
          <w:b/>
          <w:bCs/>
          <w:sz w:val="20"/>
          <w:szCs w:val="20"/>
        </w:rPr>
        <w:t>Figure S</w:t>
      </w:r>
      <w:r>
        <w:rPr>
          <w:rFonts w:cstheme="minorHAnsi"/>
          <w:b/>
          <w:bCs/>
          <w:sz w:val="20"/>
          <w:szCs w:val="20"/>
        </w:rPr>
        <w:t>4</w:t>
      </w:r>
      <w:r w:rsidRPr="00B72E40">
        <w:rPr>
          <w:rFonts w:cstheme="minorHAnsi"/>
          <w:b/>
          <w:bCs/>
          <w:sz w:val="20"/>
          <w:szCs w:val="20"/>
        </w:rPr>
        <w:t xml:space="preserve">: </w:t>
      </w:r>
      <w:r w:rsidRPr="00B72E40">
        <w:rPr>
          <w:rFonts w:cstheme="minorHAnsi"/>
          <w:sz w:val="20"/>
          <w:szCs w:val="20"/>
        </w:rPr>
        <w:t xml:space="preserve">For an aptamer responding to </w:t>
      </w:r>
      <w:r w:rsidRPr="00452D9D">
        <w:rPr>
          <w:rFonts w:cstheme="minorHAnsi"/>
          <w:sz w:val="20"/>
          <w:szCs w:val="20"/>
        </w:rPr>
        <w:t xml:space="preserve">the protein target, </w:t>
      </w:r>
      <w:proofErr w:type="spellStart"/>
      <w:r w:rsidRPr="00452D9D">
        <w:rPr>
          <w:rFonts w:cstheme="minorHAnsi"/>
          <w:sz w:val="20"/>
          <w:szCs w:val="20"/>
        </w:rPr>
        <w:t>Ngal</w:t>
      </w:r>
      <w:proofErr w:type="spellEnd"/>
      <w:r w:rsidRPr="00B72E40">
        <w:rPr>
          <w:rFonts w:cstheme="minorHAnsi"/>
          <w:sz w:val="20"/>
          <w:szCs w:val="20"/>
        </w:rPr>
        <w:t>, electron transfer changes substantially between room (20</w:t>
      </w:r>
      <w:r>
        <w:rPr>
          <w:rFonts w:cstheme="minorHAnsi"/>
          <w:sz w:val="20"/>
          <w:szCs w:val="20"/>
        </w:rPr>
        <w:t>˚</w:t>
      </w:r>
      <w:r w:rsidRPr="00B72E40">
        <w:rPr>
          <w:rFonts w:cstheme="minorHAnsi"/>
          <w:sz w:val="20"/>
          <w:szCs w:val="20"/>
        </w:rPr>
        <w:t>C) and body (37</w:t>
      </w:r>
      <w:r>
        <w:rPr>
          <w:rFonts w:cstheme="minorHAnsi"/>
          <w:sz w:val="20"/>
          <w:szCs w:val="20"/>
        </w:rPr>
        <w:t>˚</w:t>
      </w:r>
      <w:r w:rsidRPr="00B72E40">
        <w:rPr>
          <w:rFonts w:cstheme="minorHAnsi"/>
          <w:sz w:val="20"/>
          <w:szCs w:val="20"/>
        </w:rPr>
        <w:t>C) temperature.</w:t>
      </w:r>
      <w:r w:rsidRPr="00B72E40">
        <w:rPr>
          <w:rFonts w:cstheme="minorHAnsi"/>
          <w:b/>
          <w:bCs/>
          <w:sz w:val="20"/>
          <w:szCs w:val="20"/>
        </w:rPr>
        <w:t xml:space="preserve"> (A) </w:t>
      </w:r>
      <w:r w:rsidRPr="00B72E40">
        <w:rPr>
          <w:rFonts w:cstheme="minorHAnsi"/>
          <w:sz w:val="20"/>
          <w:szCs w:val="20"/>
        </w:rPr>
        <w:t xml:space="preserve">In phosphate buffered saline, the peak charge transfer shifts by 30 Hz (from a frequency of approximately 10 </w:t>
      </w:r>
      <w:r>
        <w:rPr>
          <w:rFonts w:cstheme="minorHAnsi"/>
          <w:sz w:val="20"/>
          <w:szCs w:val="20"/>
        </w:rPr>
        <w:t>H</w:t>
      </w:r>
      <w:r w:rsidRPr="00B72E40">
        <w:rPr>
          <w:rFonts w:cstheme="minorHAnsi"/>
          <w:sz w:val="20"/>
          <w:szCs w:val="20"/>
        </w:rPr>
        <w:t xml:space="preserve">z to 40 </w:t>
      </w:r>
      <w:r>
        <w:rPr>
          <w:rFonts w:cstheme="minorHAnsi"/>
          <w:sz w:val="20"/>
          <w:szCs w:val="20"/>
        </w:rPr>
        <w:t>H</w:t>
      </w:r>
      <w:r w:rsidRPr="00B72E40">
        <w:rPr>
          <w:rFonts w:cstheme="minorHAnsi"/>
          <w:sz w:val="20"/>
          <w:szCs w:val="20"/>
        </w:rPr>
        <w:t>z).</w:t>
      </w:r>
      <w:r w:rsidRPr="00B72E40">
        <w:rPr>
          <w:rFonts w:cstheme="minorHAnsi"/>
          <w:b/>
          <w:bCs/>
          <w:sz w:val="20"/>
          <w:szCs w:val="20"/>
        </w:rPr>
        <w:t xml:space="preserve"> (B) </w:t>
      </w:r>
      <w:r w:rsidRPr="00B72E40">
        <w:rPr>
          <w:rFonts w:cstheme="minorHAnsi"/>
          <w:sz w:val="20"/>
          <w:szCs w:val="20"/>
        </w:rPr>
        <w:t xml:space="preserve">In whole bovine blood, the peak location shifts by 10 Hz (from approximately 5 </w:t>
      </w:r>
      <w:r>
        <w:rPr>
          <w:rFonts w:cstheme="minorHAnsi"/>
          <w:sz w:val="20"/>
          <w:szCs w:val="20"/>
        </w:rPr>
        <w:t>H</w:t>
      </w:r>
      <w:r w:rsidRPr="00B72E40">
        <w:rPr>
          <w:rFonts w:cstheme="minorHAnsi"/>
          <w:sz w:val="20"/>
          <w:szCs w:val="20"/>
        </w:rPr>
        <w:t xml:space="preserve">z to 15 </w:t>
      </w:r>
      <w:r>
        <w:rPr>
          <w:rFonts w:cstheme="minorHAnsi"/>
          <w:sz w:val="20"/>
          <w:szCs w:val="20"/>
        </w:rPr>
        <w:t>H</w:t>
      </w:r>
      <w:r w:rsidRPr="00B72E40">
        <w:rPr>
          <w:rFonts w:cstheme="minorHAnsi"/>
          <w:sz w:val="20"/>
          <w:szCs w:val="20"/>
        </w:rPr>
        <w:t xml:space="preserve">z). </w:t>
      </w:r>
    </w:p>
    <w:p w14:paraId="4A4F31CB" w14:textId="77777777" w:rsidR="00821606" w:rsidRPr="009A4C2A" w:rsidRDefault="00821606" w:rsidP="00821606">
      <w:pPr>
        <w:jc w:val="both"/>
        <w:rPr>
          <w:rFonts w:cstheme="minorHAnsi"/>
          <w:sz w:val="20"/>
          <w:szCs w:val="20"/>
        </w:rPr>
      </w:pPr>
    </w:p>
    <w:p w14:paraId="5B3616C8" w14:textId="77777777" w:rsidR="00821606" w:rsidRPr="009A4C2A" w:rsidRDefault="00821606" w:rsidP="00821606">
      <w:pPr>
        <w:jc w:val="both"/>
        <w:rPr>
          <w:rFonts w:cstheme="minorHAnsi"/>
          <w:sz w:val="20"/>
          <w:szCs w:val="20"/>
        </w:rPr>
      </w:pPr>
    </w:p>
    <w:p w14:paraId="4514CEEC" w14:textId="77777777" w:rsidR="00821606" w:rsidRPr="009A4C2A" w:rsidRDefault="00821606" w:rsidP="00821606">
      <w:pPr>
        <w:jc w:val="both"/>
        <w:rPr>
          <w:rFonts w:cstheme="minorHAnsi"/>
          <w:sz w:val="20"/>
          <w:szCs w:val="20"/>
        </w:rPr>
      </w:pPr>
    </w:p>
    <w:p w14:paraId="4A530C86" w14:textId="77777777" w:rsidR="00821606" w:rsidRPr="009A4C2A" w:rsidRDefault="00821606" w:rsidP="00821606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lastRenderedPageBreak/>
        <w:drawing>
          <wp:inline distT="0" distB="0" distL="0" distR="0" wp14:anchorId="39006E9F" wp14:editId="60A0A253">
            <wp:extent cx="5829300" cy="2724150"/>
            <wp:effectExtent l="0" t="0" r="0" b="0"/>
            <wp:docPr id="17" name="Picture 1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453E2" w14:textId="77777777" w:rsidR="00821606" w:rsidRPr="00B72E40" w:rsidRDefault="00821606" w:rsidP="00821606">
      <w:pPr>
        <w:jc w:val="both"/>
        <w:rPr>
          <w:rFonts w:cstheme="minorHAnsi"/>
          <w:sz w:val="20"/>
          <w:szCs w:val="20"/>
        </w:rPr>
      </w:pPr>
      <w:r w:rsidRPr="00B72E40">
        <w:rPr>
          <w:rFonts w:cstheme="minorHAnsi"/>
          <w:b/>
          <w:bCs/>
          <w:sz w:val="20"/>
          <w:szCs w:val="20"/>
        </w:rPr>
        <w:t>Figure S</w:t>
      </w:r>
      <w:r>
        <w:rPr>
          <w:rFonts w:cstheme="minorHAnsi"/>
          <w:b/>
          <w:bCs/>
          <w:sz w:val="20"/>
          <w:szCs w:val="20"/>
        </w:rPr>
        <w:t>5</w:t>
      </w:r>
      <w:r w:rsidRPr="00B72E40">
        <w:rPr>
          <w:rFonts w:cstheme="minorHAnsi"/>
          <w:b/>
          <w:bCs/>
          <w:sz w:val="20"/>
          <w:szCs w:val="20"/>
        </w:rPr>
        <w:t xml:space="preserve">: </w:t>
      </w:r>
      <w:r w:rsidRPr="00B72E40">
        <w:rPr>
          <w:rFonts w:cstheme="minorHAnsi"/>
          <w:sz w:val="20"/>
          <w:szCs w:val="20"/>
        </w:rPr>
        <w:t xml:space="preserve">For an aptamer responding to the amino acid target, </w:t>
      </w:r>
      <w:r w:rsidRPr="00452D9D">
        <w:rPr>
          <w:rFonts w:cstheme="minorHAnsi"/>
          <w:sz w:val="20"/>
          <w:szCs w:val="20"/>
        </w:rPr>
        <w:t>phenylalanine</w:t>
      </w:r>
      <w:r w:rsidRPr="00B72E40">
        <w:rPr>
          <w:rFonts w:cstheme="minorHAnsi"/>
          <w:sz w:val="20"/>
          <w:szCs w:val="20"/>
        </w:rPr>
        <w:t>, electron transfer changes slightly between room (20</w:t>
      </w:r>
      <w:r>
        <w:rPr>
          <w:rFonts w:cstheme="minorHAnsi"/>
          <w:sz w:val="20"/>
          <w:szCs w:val="20"/>
        </w:rPr>
        <w:t>˚</w:t>
      </w:r>
      <w:r w:rsidRPr="00B72E40">
        <w:rPr>
          <w:rFonts w:cstheme="minorHAnsi"/>
          <w:sz w:val="20"/>
          <w:szCs w:val="20"/>
        </w:rPr>
        <w:t>C) and body (37</w:t>
      </w:r>
      <w:r>
        <w:rPr>
          <w:rFonts w:cstheme="minorHAnsi"/>
          <w:sz w:val="20"/>
          <w:szCs w:val="20"/>
        </w:rPr>
        <w:t>˚</w:t>
      </w:r>
      <w:r w:rsidRPr="00B72E40">
        <w:rPr>
          <w:rFonts w:cstheme="minorHAnsi"/>
          <w:sz w:val="20"/>
          <w:szCs w:val="20"/>
        </w:rPr>
        <w:t>C) temperature.</w:t>
      </w:r>
      <w:r w:rsidRPr="00B72E40">
        <w:rPr>
          <w:rFonts w:cstheme="minorHAnsi"/>
          <w:b/>
          <w:bCs/>
          <w:sz w:val="20"/>
          <w:szCs w:val="20"/>
        </w:rPr>
        <w:t xml:space="preserve"> (A) </w:t>
      </w:r>
      <w:r w:rsidRPr="00B72E40">
        <w:rPr>
          <w:rFonts w:cstheme="minorHAnsi"/>
          <w:sz w:val="20"/>
          <w:szCs w:val="20"/>
        </w:rPr>
        <w:t xml:space="preserve">In phosphate buffered saline, the peak charge transfer shifts by approximately 10 Hz (from 30-40 </w:t>
      </w:r>
      <w:r>
        <w:rPr>
          <w:rFonts w:cstheme="minorHAnsi"/>
          <w:sz w:val="20"/>
          <w:szCs w:val="20"/>
        </w:rPr>
        <w:t>H</w:t>
      </w:r>
      <w:r w:rsidRPr="00B72E40">
        <w:rPr>
          <w:rFonts w:cstheme="minorHAnsi"/>
          <w:sz w:val="20"/>
          <w:szCs w:val="20"/>
        </w:rPr>
        <w:t xml:space="preserve">z to 40-50 </w:t>
      </w:r>
      <w:r>
        <w:rPr>
          <w:rFonts w:cstheme="minorHAnsi"/>
          <w:sz w:val="20"/>
          <w:szCs w:val="20"/>
        </w:rPr>
        <w:t>H</w:t>
      </w:r>
      <w:r w:rsidRPr="00B72E40">
        <w:rPr>
          <w:rFonts w:cstheme="minorHAnsi"/>
          <w:sz w:val="20"/>
          <w:szCs w:val="20"/>
        </w:rPr>
        <w:t>z).</w:t>
      </w:r>
      <w:r w:rsidRPr="00B72E40">
        <w:rPr>
          <w:rFonts w:cstheme="minorHAnsi"/>
          <w:b/>
          <w:bCs/>
          <w:sz w:val="20"/>
          <w:szCs w:val="20"/>
        </w:rPr>
        <w:t xml:space="preserve"> (B) </w:t>
      </w:r>
      <w:r w:rsidRPr="00B72E40">
        <w:rPr>
          <w:rFonts w:cstheme="minorHAnsi"/>
          <w:sz w:val="20"/>
          <w:szCs w:val="20"/>
        </w:rPr>
        <w:t xml:space="preserve">In whole bovine blood, the peak broadens, and a slight secondary peak appears at frequencies near 10 </w:t>
      </w:r>
      <w:r>
        <w:rPr>
          <w:rFonts w:cstheme="minorHAnsi"/>
          <w:sz w:val="20"/>
          <w:szCs w:val="20"/>
        </w:rPr>
        <w:t>H</w:t>
      </w:r>
      <w:r w:rsidRPr="00B72E40">
        <w:rPr>
          <w:rFonts w:cstheme="minorHAnsi"/>
          <w:sz w:val="20"/>
          <w:szCs w:val="20"/>
        </w:rPr>
        <w:t xml:space="preserve">z. </w:t>
      </w:r>
    </w:p>
    <w:p w14:paraId="79E2F1D2" w14:textId="77777777" w:rsidR="00821606" w:rsidRPr="009A4C2A" w:rsidRDefault="00821606" w:rsidP="00821606">
      <w:pPr>
        <w:jc w:val="both"/>
        <w:rPr>
          <w:rFonts w:cstheme="minorHAnsi"/>
          <w:sz w:val="20"/>
          <w:szCs w:val="20"/>
        </w:rPr>
      </w:pPr>
    </w:p>
    <w:p w14:paraId="1263F4B6" w14:textId="77777777" w:rsidR="00821606" w:rsidRPr="009A4C2A" w:rsidRDefault="00821606" w:rsidP="00821606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0D803ED2" wp14:editId="0BF6AAA6">
            <wp:extent cx="5886450" cy="2695575"/>
            <wp:effectExtent l="0" t="0" r="0" b="9525"/>
            <wp:docPr id="21" name="Picture 2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FA17E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  <w:r w:rsidRPr="00B72E40">
        <w:rPr>
          <w:rFonts w:cstheme="minorHAnsi"/>
          <w:b/>
          <w:bCs/>
          <w:sz w:val="20"/>
          <w:szCs w:val="20"/>
        </w:rPr>
        <w:t>Figure S</w:t>
      </w:r>
      <w:r>
        <w:rPr>
          <w:rFonts w:cstheme="minorHAnsi"/>
          <w:b/>
          <w:bCs/>
          <w:sz w:val="20"/>
          <w:szCs w:val="20"/>
        </w:rPr>
        <w:t>6</w:t>
      </w:r>
      <w:r w:rsidRPr="00B72E40">
        <w:rPr>
          <w:rFonts w:cstheme="minorHAnsi"/>
          <w:b/>
          <w:bCs/>
          <w:sz w:val="20"/>
          <w:szCs w:val="20"/>
        </w:rPr>
        <w:t xml:space="preserve">: </w:t>
      </w:r>
      <w:r w:rsidRPr="00B72E40">
        <w:rPr>
          <w:rFonts w:cstheme="minorHAnsi"/>
          <w:sz w:val="20"/>
          <w:szCs w:val="20"/>
        </w:rPr>
        <w:t xml:space="preserve">For an aptamer responding to </w:t>
      </w:r>
      <w:r w:rsidRPr="00452D9D">
        <w:rPr>
          <w:rFonts w:cstheme="minorHAnsi"/>
          <w:sz w:val="20"/>
          <w:szCs w:val="20"/>
        </w:rPr>
        <w:t>aminoglycoside antibiotics</w:t>
      </w:r>
      <w:r w:rsidRPr="00B72E40">
        <w:rPr>
          <w:rFonts w:cstheme="minorHAnsi"/>
          <w:sz w:val="20"/>
          <w:szCs w:val="20"/>
        </w:rPr>
        <w:t>, electron transfer changes substantially between room (20</w:t>
      </w:r>
      <w:r>
        <w:rPr>
          <w:rFonts w:cstheme="minorHAnsi"/>
          <w:sz w:val="20"/>
          <w:szCs w:val="20"/>
        </w:rPr>
        <w:t>˚</w:t>
      </w:r>
      <w:r w:rsidRPr="00B72E40">
        <w:rPr>
          <w:rFonts w:cstheme="minorHAnsi"/>
          <w:sz w:val="20"/>
          <w:szCs w:val="20"/>
        </w:rPr>
        <w:t>C) and body (37</w:t>
      </w:r>
      <w:r>
        <w:rPr>
          <w:rFonts w:cstheme="minorHAnsi"/>
          <w:sz w:val="20"/>
          <w:szCs w:val="20"/>
        </w:rPr>
        <w:t>˚</w:t>
      </w:r>
      <w:r w:rsidRPr="00B72E40">
        <w:rPr>
          <w:rFonts w:cstheme="minorHAnsi"/>
          <w:sz w:val="20"/>
          <w:szCs w:val="20"/>
        </w:rPr>
        <w:t xml:space="preserve">C) temperature. This occurs in both </w:t>
      </w:r>
      <w:r w:rsidRPr="00B72E40">
        <w:rPr>
          <w:rFonts w:cstheme="minorHAnsi"/>
          <w:b/>
          <w:bCs/>
          <w:sz w:val="20"/>
          <w:szCs w:val="20"/>
        </w:rPr>
        <w:t xml:space="preserve">(A) </w:t>
      </w:r>
      <w:r w:rsidRPr="00B72E40">
        <w:rPr>
          <w:rFonts w:cstheme="minorHAnsi"/>
          <w:sz w:val="20"/>
          <w:szCs w:val="20"/>
        </w:rPr>
        <w:t xml:space="preserve">phosphate buffered saline and </w:t>
      </w:r>
      <w:r w:rsidRPr="00B72E40">
        <w:rPr>
          <w:rFonts w:cstheme="minorHAnsi"/>
          <w:b/>
          <w:bCs/>
          <w:sz w:val="20"/>
          <w:szCs w:val="20"/>
        </w:rPr>
        <w:t xml:space="preserve">(B) </w:t>
      </w:r>
      <w:r w:rsidRPr="00B72E40">
        <w:rPr>
          <w:rFonts w:cstheme="minorHAnsi"/>
          <w:sz w:val="20"/>
          <w:szCs w:val="20"/>
        </w:rPr>
        <w:t xml:space="preserve">undiluted bovine blood. </w:t>
      </w:r>
    </w:p>
    <w:p w14:paraId="2FD31B2B" w14:textId="77777777" w:rsidR="00821606" w:rsidRPr="007773EB" w:rsidRDefault="00821606" w:rsidP="00821606">
      <w:pPr>
        <w:jc w:val="center"/>
        <w:rPr>
          <w:rFonts w:cstheme="minorHAnsi"/>
          <w:sz w:val="20"/>
          <w:szCs w:val="20"/>
          <w:vertAlign w:val="subscript"/>
        </w:rPr>
      </w:pPr>
      <w:r>
        <w:rPr>
          <w:noProof/>
        </w:rPr>
        <w:lastRenderedPageBreak/>
        <w:drawing>
          <wp:inline distT="0" distB="0" distL="0" distR="0" wp14:anchorId="10FD6A2A" wp14:editId="64DE8826">
            <wp:extent cx="3490595" cy="2616200"/>
            <wp:effectExtent l="0" t="0" r="0" b="0"/>
            <wp:docPr id="23" name="Picture 2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60388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  <w:r w:rsidRPr="00B72E40">
        <w:rPr>
          <w:rFonts w:cstheme="minorHAnsi"/>
          <w:b/>
          <w:bCs/>
          <w:sz w:val="20"/>
          <w:szCs w:val="20"/>
        </w:rPr>
        <w:t>Figure S</w:t>
      </w:r>
      <w:r>
        <w:rPr>
          <w:rFonts w:cstheme="minorHAnsi"/>
          <w:b/>
          <w:bCs/>
          <w:sz w:val="20"/>
          <w:szCs w:val="20"/>
        </w:rPr>
        <w:t>7</w:t>
      </w:r>
      <w:r w:rsidRPr="00B72E40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sz w:val="20"/>
          <w:szCs w:val="20"/>
        </w:rPr>
        <w:t xml:space="preserve">Between room temperature (black) and body temperature (blue) the normalized peak signal observed at 25 Hz changes from a weak signal-on response to a clear signal-off response. </w:t>
      </w:r>
    </w:p>
    <w:p w14:paraId="57825A1D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</w:p>
    <w:p w14:paraId="3EC7DEFB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481A112A" wp14:editId="2B115FA9">
            <wp:extent cx="3408883" cy="2540395"/>
            <wp:effectExtent l="0" t="0" r="1270" b="0"/>
            <wp:docPr id="18" name="Picture 18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751" cy="254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0"/>
          <w:szCs w:val="20"/>
        </w:rPr>
        <w:softHyphen/>
      </w:r>
    </w:p>
    <w:p w14:paraId="14C211DC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Figure S8: </w:t>
      </w:r>
      <w:r w:rsidRPr="009A4C2A">
        <w:rPr>
          <w:rFonts w:cstheme="minorHAnsi"/>
          <w:sz w:val="20"/>
          <w:szCs w:val="20"/>
        </w:rPr>
        <w:t xml:space="preserve">We </w:t>
      </w:r>
      <w:r>
        <w:rPr>
          <w:rFonts w:cstheme="minorHAnsi"/>
          <w:sz w:val="20"/>
          <w:szCs w:val="20"/>
        </w:rPr>
        <w:t>calibrate the response of our sensors in body temperature rat blood using a titration curve collected in body temperature PBS with 2 mM MgCl</w:t>
      </w:r>
      <w:r w:rsidRPr="00F764CF">
        <w:rPr>
          <w:rFonts w:cstheme="minorHAnsi"/>
          <w:sz w:val="20"/>
          <w:szCs w:val="20"/>
          <w:vertAlign w:val="subscript"/>
        </w:rPr>
        <w:t>2</w:t>
      </w:r>
      <w:r>
        <w:rPr>
          <w:rFonts w:cstheme="minorHAnsi"/>
          <w:sz w:val="20"/>
          <w:szCs w:val="20"/>
        </w:rPr>
        <w:t xml:space="preserve"> and 30 mg/mL BSA </w:t>
      </w:r>
      <w:r w:rsidRPr="009A4C2A">
        <w:rPr>
          <w:rFonts w:cstheme="minorHAnsi"/>
          <w:sz w:val="20"/>
          <w:szCs w:val="20"/>
        </w:rPr>
        <w:t xml:space="preserve">(dotted lines indicating 10, 20, 50, 100, and 300 </w:t>
      </w:r>
      <w:r w:rsidRPr="00815B31">
        <w:rPr>
          <w:rFonts w:cstheme="minorHAnsi"/>
          <w:sz w:val="20"/>
          <w:szCs w:val="20"/>
        </w:rPr>
        <w:t>µ</w:t>
      </w:r>
      <w:r w:rsidRPr="009A4C2A">
        <w:rPr>
          <w:rFonts w:cstheme="minorHAnsi"/>
          <w:sz w:val="20"/>
          <w:szCs w:val="20"/>
        </w:rPr>
        <w:t>M vancomycin</w:t>
      </w:r>
      <w:r>
        <w:rPr>
          <w:rFonts w:cstheme="minorHAnsi"/>
          <w:sz w:val="20"/>
          <w:szCs w:val="20"/>
        </w:rPr>
        <w:t>, grey area indicated clinical range)</w:t>
      </w:r>
    </w:p>
    <w:p w14:paraId="7433F41E" w14:textId="48E84D81" w:rsidR="00821606" w:rsidRDefault="00821606" w:rsidP="00821606">
      <w:pPr>
        <w:jc w:val="both"/>
        <w:rPr>
          <w:rFonts w:cstheme="minorHAnsi"/>
          <w:sz w:val="20"/>
          <w:szCs w:val="20"/>
        </w:rPr>
      </w:pPr>
    </w:p>
    <w:p w14:paraId="12F225D5" w14:textId="6EA2194B" w:rsidR="00821606" w:rsidRDefault="00821606" w:rsidP="00821606">
      <w:pPr>
        <w:jc w:val="both"/>
        <w:rPr>
          <w:rFonts w:cstheme="minorHAnsi"/>
          <w:sz w:val="20"/>
          <w:szCs w:val="20"/>
        </w:rPr>
      </w:pPr>
    </w:p>
    <w:p w14:paraId="5BB145EF" w14:textId="3AD4CD0C" w:rsidR="00821606" w:rsidRDefault="00821606" w:rsidP="00821606">
      <w:pPr>
        <w:jc w:val="both"/>
        <w:rPr>
          <w:rFonts w:cstheme="minorHAnsi"/>
          <w:sz w:val="20"/>
          <w:szCs w:val="20"/>
        </w:rPr>
      </w:pPr>
    </w:p>
    <w:p w14:paraId="10CB1C6E" w14:textId="5B0E5DFC" w:rsidR="00821606" w:rsidRDefault="00821606" w:rsidP="00821606">
      <w:pPr>
        <w:jc w:val="both"/>
        <w:rPr>
          <w:rFonts w:cstheme="minorHAnsi"/>
          <w:sz w:val="20"/>
          <w:szCs w:val="20"/>
        </w:rPr>
      </w:pPr>
    </w:p>
    <w:p w14:paraId="513864F6" w14:textId="7B861817" w:rsidR="00821606" w:rsidRDefault="00821606" w:rsidP="00821606">
      <w:pPr>
        <w:jc w:val="both"/>
        <w:rPr>
          <w:rFonts w:cstheme="minorHAnsi"/>
          <w:sz w:val="20"/>
          <w:szCs w:val="20"/>
        </w:rPr>
      </w:pPr>
    </w:p>
    <w:p w14:paraId="62572BAE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</w:p>
    <w:p w14:paraId="082922E1" w14:textId="77777777" w:rsidR="00821606" w:rsidRDefault="00821606" w:rsidP="00821606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 xml:space="preserve">Table S4: </w:t>
      </w:r>
      <w:r>
        <w:rPr>
          <w:rFonts w:cstheme="minorHAnsi"/>
          <w:sz w:val="20"/>
          <w:szCs w:val="20"/>
        </w:rPr>
        <w:t>Calibrating each</w:t>
      </w:r>
      <w:r w:rsidRPr="009A4C2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data collected in body temperature rat blood with a calibration curve collected in body temperature PBS with 2 mM MgCl</w:t>
      </w:r>
      <w:r w:rsidRPr="00F764CF">
        <w:rPr>
          <w:rFonts w:cstheme="minorHAnsi"/>
          <w:sz w:val="20"/>
          <w:szCs w:val="20"/>
          <w:vertAlign w:val="subscript"/>
        </w:rPr>
        <w:t>2</w:t>
      </w:r>
      <w:r>
        <w:rPr>
          <w:rFonts w:cstheme="minorHAnsi"/>
          <w:sz w:val="20"/>
          <w:szCs w:val="20"/>
        </w:rPr>
        <w:t xml:space="preserve"> and 30 mg/mL BSA produces measurement accuracy of greater than 35%.</w:t>
      </w:r>
    </w:p>
    <w:p w14:paraId="2D2BCE82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548FA358" wp14:editId="257A55B7">
            <wp:extent cx="5861050" cy="2362200"/>
            <wp:effectExtent l="0" t="0" r="6350" b="0"/>
            <wp:docPr id="25" name="Picture 2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E109F" w14:textId="77777777" w:rsidR="00821606" w:rsidRDefault="00821606" w:rsidP="00821606">
      <w:pPr>
        <w:jc w:val="center"/>
        <w:rPr>
          <w:rFonts w:cstheme="minorHAnsi"/>
          <w:sz w:val="20"/>
          <w:szCs w:val="20"/>
        </w:rPr>
      </w:pPr>
    </w:p>
    <w:p w14:paraId="75BDC158" w14:textId="77777777" w:rsidR="00821606" w:rsidRDefault="00821606"/>
    <w:sectPr w:rsidR="00821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06"/>
    <w:rsid w:val="00821606"/>
    <w:rsid w:val="009C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C8A2D"/>
  <w15:chartTrackingRefBased/>
  <w15:docId w15:val="{17F31BB3-8209-4A9C-A8DF-21A88904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1606"/>
    <w:rPr>
      <w:color w:val="0563C1" w:themeColor="hyperlink"/>
      <w:u w:val="single"/>
    </w:rPr>
  </w:style>
  <w:style w:type="paragraph" w:customStyle="1" w:styleId="BATitle">
    <w:name w:val="BA_Title"/>
    <w:basedOn w:val="Normal"/>
    <w:next w:val="BBAuthorName"/>
    <w:rsid w:val="00821606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BBAuthorName">
    <w:name w:val="BB_Author_Name"/>
    <w:basedOn w:val="Normal"/>
    <w:next w:val="BCAuthorAddress"/>
    <w:rsid w:val="00821606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4"/>
    </w:rPr>
  </w:style>
  <w:style w:type="paragraph" w:customStyle="1" w:styleId="BCAuthorAddress">
    <w:name w:val="BC_Author_Address"/>
    <w:basedOn w:val="Normal"/>
    <w:next w:val="BIEmailAddress"/>
    <w:rsid w:val="00821606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BIEmailAddress">
    <w:name w:val="BI_Email_Address"/>
    <w:basedOn w:val="Normal"/>
    <w:next w:val="Normal"/>
    <w:rsid w:val="00821606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kwp@ucsb.ed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am_downs@outlook.com</dc:creator>
  <cp:keywords/>
  <dc:description/>
  <cp:lastModifiedBy>am_downs@outlook.com</cp:lastModifiedBy>
  <cp:revision>2</cp:revision>
  <dcterms:created xsi:type="dcterms:W3CDTF">2021-12-03T16:18:00Z</dcterms:created>
  <dcterms:modified xsi:type="dcterms:W3CDTF">2021-12-15T18:00:00Z</dcterms:modified>
</cp:coreProperties>
</file>