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3D935" w14:textId="6989BA5F" w:rsidR="00566BFC" w:rsidRDefault="00566BFC" w:rsidP="00566BFC">
      <w:pPr>
        <w:pStyle w:val="Head"/>
        <w:spacing w:after="0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Supplementary Information</w:t>
      </w:r>
    </w:p>
    <w:p w14:paraId="64AA695B" w14:textId="77777777" w:rsidR="00566BFC" w:rsidRDefault="00566BFC" w:rsidP="00566BFC">
      <w:pPr>
        <w:pStyle w:val="Head"/>
        <w:spacing w:after="0"/>
        <w:rPr>
          <w:rFonts w:asciiTheme="minorBidi" w:hAnsiTheme="minorBidi" w:cstheme="minorBidi"/>
        </w:rPr>
      </w:pPr>
    </w:p>
    <w:p w14:paraId="67622C9A" w14:textId="77777777" w:rsidR="0072600C" w:rsidRPr="005669F9" w:rsidRDefault="0072600C" w:rsidP="0072600C">
      <w:pPr>
        <w:pStyle w:val="Head"/>
        <w:spacing w:after="0"/>
        <w:rPr>
          <w:rFonts w:asciiTheme="minorBidi" w:hAnsiTheme="minorBidi" w:cstheme="minorBidi"/>
        </w:rPr>
      </w:pPr>
      <w:r w:rsidRPr="005669F9">
        <w:rPr>
          <w:rFonts w:asciiTheme="minorBidi" w:hAnsiTheme="minorBidi" w:cstheme="minorBidi"/>
        </w:rPr>
        <w:t xml:space="preserve">Title: Collateral Responses to </w:t>
      </w:r>
      <w:r>
        <w:rPr>
          <w:rFonts w:asciiTheme="minorBidi" w:hAnsiTheme="minorBidi" w:cstheme="minorBidi"/>
        </w:rPr>
        <w:t>Classical</w:t>
      </w:r>
      <w:r w:rsidRPr="005669F9">
        <w:rPr>
          <w:rFonts w:asciiTheme="minorBidi" w:hAnsiTheme="minorBidi" w:cstheme="minorBidi"/>
        </w:rPr>
        <w:t xml:space="preserve"> Cytotoxic Chemotherapies are Heterogeneous and Sensitivities are Sparse</w:t>
      </w:r>
    </w:p>
    <w:p w14:paraId="540D2EFD" w14:textId="77777777" w:rsidR="00566BFC" w:rsidRDefault="00566BFC" w:rsidP="00566BFC">
      <w:pPr>
        <w:spacing w:before="120"/>
        <w:rPr>
          <w:rFonts w:asciiTheme="minorBidi" w:hAnsiTheme="minorBidi" w:cstheme="minorBidi"/>
          <w:b/>
          <w:sz w:val="24"/>
          <w:szCs w:val="24"/>
        </w:rPr>
      </w:pPr>
    </w:p>
    <w:p w14:paraId="18D0873D" w14:textId="1DD5A0E8" w:rsidR="00566BFC" w:rsidRPr="005669F9" w:rsidRDefault="00566BFC" w:rsidP="00566BFC">
      <w:pPr>
        <w:spacing w:before="120"/>
        <w:rPr>
          <w:rFonts w:asciiTheme="minorBidi" w:hAnsiTheme="minorBidi" w:cstheme="minorBidi"/>
          <w:sz w:val="24"/>
          <w:szCs w:val="24"/>
          <w:vertAlign w:val="superscript"/>
        </w:rPr>
      </w:pPr>
      <w:r w:rsidRPr="005669F9">
        <w:rPr>
          <w:rFonts w:asciiTheme="minorBidi" w:hAnsiTheme="minorBidi" w:cstheme="minorBidi"/>
          <w:b/>
          <w:sz w:val="24"/>
          <w:szCs w:val="24"/>
        </w:rPr>
        <w:t>Authors:</w:t>
      </w:r>
      <w:r w:rsidRPr="005669F9">
        <w:rPr>
          <w:rFonts w:asciiTheme="minorBidi" w:hAnsiTheme="minorBidi" w:cstheme="minorBidi"/>
          <w:sz w:val="24"/>
          <w:szCs w:val="24"/>
        </w:rPr>
        <w:t xml:space="preserve"> Simona Dalin</w:t>
      </w:r>
      <w:r w:rsidRPr="005669F9">
        <w:rPr>
          <w:rFonts w:asciiTheme="minorBidi" w:hAnsiTheme="minorBidi" w:cstheme="minorBidi"/>
          <w:sz w:val="24"/>
          <w:szCs w:val="24"/>
          <w:vertAlign w:val="superscript"/>
        </w:rPr>
        <w:t>1,2</w:t>
      </w:r>
      <w:r w:rsidR="00593D69" w:rsidRPr="00594853">
        <w:rPr>
          <w:rFonts w:asciiTheme="minorBidi" w:hAnsiTheme="minorBidi" w:cstheme="minorBidi"/>
          <w:sz w:val="24"/>
          <w:szCs w:val="24"/>
        </w:rPr>
        <w:t xml:space="preserve">, </w:t>
      </w:r>
      <w:r w:rsidR="00593D69" w:rsidRPr="00594853">
        <w:rPr>
          <w:rFonts w:asciiTheme="minorBidi" w:hAnsiTheme="minorBidi"/>
          <w:sz w:val="24"/>
          <w:szCs w:val="24"/>
        </w:rPr>
        <w:t>Beatrice Grauman-Boss</w:t>
      </w:r>
      <w:r w:rsidR="00593D69" w:rsidRPr="00594853">
        <w:rPr>
          <w:rFonts w:asciiTheme="minorBidi" w:hAnsiTheme="minorBidi"/>
          <w:sz w:val="24"/>
          <w:szCs w:val="24"/>
          <w:vertAlign w:val="superscript"/>
        </w:rPr>
        <w:t>1,2</w:t>
      </w:r>
      <w:r w:rsidRPr="005669F9">
        <w:rPr>
          <w:rFonts w:asciiTheme="minorBidi" w:hAnsiTheme="minorBidi" w:cstheme="minorBidi"/>
          <w:sz w:val="24"/>
          <w:szCs w:val="24"/>
        </w:rPr>
        <w:t>, Douglas A. Lauffenburger</w:t>
      </w:r>
      <w:r w:rsidRPr="005669F9">
        <w:rPr>
          <w:rFonts w:asciiTheme="minorBidi" w:hAnsiTheme="minorBidi" w:cstheme="minorBidi"/>
          <w:sz w:val="24"/>
          <w:szCs w:val="24"/>
          <w:vertAlign w:val="superscript"/>
        </w:rPr>
        <w:t>1,</w:t>
      </w:r>
      <w:proofErr w:type="gramStart"/>
      <w:r w:rsidRPr="005669F9">
        <w:rPr>
          <w:rFonts w:asciiTheme="minorBidi" w:hAnsiTheme="minorBidi" w:cstheme="minorBidi"/>
          <w:sz w:val="24"/>
          <w:szCs w:val="24"/>
          <w:vertAlign w:val="superscript"/>
        </w:rPr>
        <w:t>3</w:t>
      </w:r>
      <w:r>
        <w:rPr>
          <w:rFonts w:asciiTheme="minorBidi" w:hAnsiTheme="minorBidi" w:cstheme="minorBidi"/>
          <w:sz w:val="24"/>
          <w:szCs w:val="24"/>
          <w:vertAlign w:val="superscript"/>
        </w:rPr>
        <w:t>,</w:t>
      </w:r>
      <w:r w:rsidRPr="005669F9">
        <w:rPr>
          <w:rFonts w:asciiTheme="minorBidi" w:hAnsiTheme="minorBidi" w:cstheme="minorBidi"/>
          <w:sz w:val="24"/>
          <w:szCs w:val="24"/>
          <w:vertAlign w:val="superscript"/>
        </w:rPr>
        <w:t>*</w:t>
      </w:r>
      <w:proofErr w:type="gramEnd"/>
      <w:r w:rsidRPr="005669F9">
        <w:rPr>
          <w:rFonts w:asciiTheme="minorBidi" w:hAnsiTheme="minorBidi" w:cstheme="minorBidi"/>
          <w:sz w:val="24"/>
          <w:szCs w:val="24"/>
        </w:rPr>
        <w:t>, Michael T. Hemann</w:t>
      </w:r>
      <w:r w:rsidRPr="005669F9">
        <w:rPr>
          <w:rFonts w:asciiTheme="minorBidi" w:hAnsiTheme="minorBidi" w:cstheme="minorBidi"/>
          <w:sz w:val="24"/>
          <w:szCs w:val="24"/>
          <w:vertAlign w:val="superscript"/>
        </w:rPr>
        <w:t>1,2,*</w:t>
      </w:r>
    </w:p>
    <w:p w14:paraId="12E0F525" w14:textId="77777777" w:rsidR="00566BFC" w:rsidRDefault="00566BFC" w:rsidP="00566BFC">
      <w:pPr>
        <w:pStyle w:val="Paragraph"/>
        <w:ind w:firstLine="0"/>
        <w:rPr>
          <w:rFonts w:asciiTheme="minorBidi" w:hAnsiTheme="minorBidi" w:cstheme="minorBidi"/>
          <w:b/>
        </w:rPr>
      </w:pPr>
    </w:p>
    <w:p w14:paraId="5B2958F1" w14:textId="77777777" w:rsidR="00566BFC" w:rsidRPr="005669F9" w:rsidRDefault="00566BFC" w:rsidP="00566BFC">
      <w:pPr>
        <w:pStyle w:val="Paragraph"/>
        <w:ind w:firstLine="0"/>
        <w:rPr>
          <w:rFonts w:asciiTheme="minorBidi" w:hAnsiTheme="minorBidi" w:cstheme="minorBidi"/>
          <w:b/>
        </w:rPr>
      </w:pPr>
      <w:r w:rsidRPr="005669F9">
        <w:rPr>
          <w:rFonts w:asciiTheme="minorBidi" w:hAnsiTheme="minorBidi" w:cstheme="minorBidi"/>
          <w:b/>
        </w:rPr>
        <w:t>Affiliations:</w:t>
      </w:r>
    </w:p>
    <w:p w14:paraId="5C4600D9" w14:textId="77777777" w:rsidR="00566BFC" w:rsidRPr="005669F9" w:rsidRDefault="00566BFC" w:rsidP="00566BFC">
      <w:pPr>
        <w:spacing w:before="120"/>
        <w:rPr>
          <w:rFonts w:asciiTheme="minorBidi" w:hAnsiTheme="minorBidi" w:cstheme="minorBidi"/>
          <w:sz w:val="24"/>
          <w:szCs w:val="24"/>
        </w:rPr>
      </w:pPr>
      <w:r w:rsidRPr="005669F9">
        <w:rPr>
          <w:rFonts w:asciiTheme="minorBidi" w:hAnsiTheme="minorBidi" w:cstheme="minorBidi"/>
          <w:sz w:val="24"/>
          <w:szCs w:val="24"/>
          <w:vertAlign w:val="superscript"/>
        </w:rPr>
        <w:t>1</w:t>
      </w:r>
      <w:r w:rsidRPr="005669F9">
        <w:rPr>
          <w:rFonts w:asciiTheme="minorBidi" w:hAnsiTheme="minorBidi" w:cstheme="minorBidi"/>
          <w:sz w:val="24"/>
          <w:szCs w:val="24"/>
        </w:rPr>
        <w:t>Department of Biology, Massachusetts Institute of Technology, Cambridge, MA.</w:t>
      </w:r>
    </w:p>
    <w:p w14:paraId="049B62DF" w14:textId="77777777" w:rsidR="00566BFC" w:rsidRPr="005669F9" w:rsidRDefault="00566BFC" w:rsidP="00566BFC">
      <w:pPr>
        <w:spacing w:before="120"/>
        <w:rPr>
          <w:rFonts w:asciiTheme="minorBidi" w:hAnsiTheme="minorBidi" w:cstheme="minorBidi"/>
          <w:sz w:val="24"/>
          <w:szCs w:val="24"/>
        </w:rPr>
      </w:pPr>
      <w:r w:rsidRPr="005669F9">
        <w:rPr>
          <w:rFonts w:asciiTheme="minorBidi" w:hAnsiTheme="minorBidi" w:cstheme="minorBidi"/>
          <w:sz w:val="24"/>
          <w:szCs w:val="24"/>
          <w:vertAlign w:val="superscript"/>
        </w:rPr>
        <w:t>2</w:t>
      </w:r>
      <w:r w:rsidRPr="005669F9">
        <w:rPr>
          <w:rFonts w:asciiTheme="minorBidi" w:hAnsiTheme="minorBidi" w:cstheme="minorBidi"/>
          <w:sz w:val="24"/>
          <w:szCs w:val="24"/>
        </w:rPr>
        <w:t>Koch Institute for Integrative Cancer Research, Massachusetts Institute of Technology, Cambridge, MA.</w:t>
      </w:r>
    </w:p>
    <w:p w14:paraId="582CB6EA" w14:textId="77777777" w:rsidR="00566BFC" w:rsidRPr="005669F9" w:rsidRDefault="00566BFC" w:rsidP="00566BFC">
      <w:pPr>
        <w:spacing w:before="120"/>
        <w:rPr>
          <w:rFonts w:asciiTheme="minorBidi" w:hAnsiTheme="minorBidi" w:cstheme="minorBidi"/>
          <w:sz w:val="24"/>
          <w:szCs w:val="24"/>
        </w:rPr>
      </w:pPr>
      <w:r w:rsidRPr="005669F9">
        <w:rPr>
          <w:rFonts w:asciiTheme="minorBidi" w:hAnsiTheme="minorBidi" w:cstheme="minorBidi"/>
          <w:sz w:val="24"/>
          <w:szCs w:val="24"/>
          <w:vertAlign w:val="superscript"/>
        </w:rPr>
        <w:t>3</w:t>
      </w:r>
      <w:r w:rsidRPr="005669F9">
        <w:rPr>
          <w:rFonts w:asciiTheme="minorBidi" w:hAnsiTheme="minorBidi" w:cstheme="minorBidi"/>
          <w:sz w:val="24"/>
          <w:szCs w:val="24"/>
        </w:rPr>
        <w:t>Department of Biological Engineering, Massachusetts Institute of Technology, Cambridge, MA.</w:t>
      </w:r>
    </w:p>
    <w:p w14:paraId="467207CC" w14:textId="77777777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1FA20051" w14:textId="77777777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  <w:r w:rsidRPr="00CA088C">
        <w:rPr>
          <w:rFonts w:asciiTheme="minorBidi" w:hAnsiTheme="minorBidi" w:cstheme="minorBidi"/>
          <w:sz w:val="24"/>
          <w:szCs w:val="24"/>
        </w:rPr>
        <w:t xml:space="preserve">* To whom correspondence should be addressed: </w:t>
      </w:r>
    </w:p>
    <w:p w14:paraId="24F2E9C9" w14:textId="77777777" w:rsidR="00566BFC" w:rsidRDefault="00566BFC" w:rsidP="00566BFC">
      <w:pPr>
        <w:ind w:left="720" w:hanging="720"/>
        <w:rPr>
          <w:rFonts w:asciiTheme="minorBidi" w:hAnsiTheme="minorBidi" w:cstheme="minorBidi"/>
          <w:sz w:val="24"/>
          <w:szCs w:val="24"/>
        </w:rPr>
      </w:pPr>
      <w:r w:rsidRPr="00CA088C">
        <w:rPr>
          <w:rFonts w:asciiTheme="minorBidi" w:hAnsiTheme="minorBidi" w:cstheme="minorBidi"/>
          <w:sz w:val="24"/>
          <w:szCs w:val="24"/>
        </w:rPr>
        <w:t xml:space="preserve">Michael T. Hemann, Koch Institute, Massachusetts Institute of Technology, 77 Massachusetts Ave., Building 76 Rm 361, Cambridge, MA 02139. Phone: (617) 324-1964; Fax: (617) 258-6172; E-mail: </w:t>
      </w:r>
      <w:hyperlink r:id="rId8" w:history="1">
        <w:r w:rsidRPr="00CA088C">
          <w:rPr>
            <w:rStyle w:val="Hyperlink"/>
            <w:rFonts w:asciiTheme="minorBidi" w:hAnsiTheme="minorBidi" w:cstheme="minorBidi"/>
            <w:sz w:val="24"/>
            <w:szCs w:val="24"/>
          </w:rPr>
          <w:t>hemann@mit.edu</w:t>
        </w:r>
      </w:hyperlink>
      <w:r w:rsidRPr="00CA088C">
        <w:rPr>
          <w:rFonts w:asciiTheme="minorBidi" w:hAnsiTheme="minorBidi" w:cstheme="minorBidi"/>
          <w:sz w:val="24"/>
          <w:szCs w:val="24"/>
        </w:rPr>
        <w:t xml:space="preserve">. </w:t>
      </w:r>
    </w:p>
    <w:p w14:paraId="06EDE4D4" w14:textId="7987D542" w:rsidR="00566BFC" w:rsidRDefault="00566BFC" w:rsidP="00566BFC">
      <w:pPr>
        <w:ind w:left="720" w:hanging="720"/>
        <w:rPr>
          <w:rFonts w:asciiTheme="minorBidi" w:hAnsiTheme="minorBidi" w:cstheme="minorBidi"/>
          <w:sz w:val="24"/>
          <w:szCs w:val="24"/>
        </w:rPr>
      </w:pPr>
      <w:r w:rsidRPr="00CA088C">
        <w:rPr>
          <w:rFonts w:asciiTheme="minorBidi" w:hAnsiTheme="minorBidi" w:cstheme="minorBidi"/>
          <w:sz w:val="24"/>
          <w:szCs w:val="24"/>
        </w:rPr>
        <w:t>Douglas A. Lauffenburger, Department of Biological Engineering, Massachusetts Institute of Technology, Room: 16-343, Cambridge MA 02139. Phone: (617) 252-1629; Fax: (617) 258-0204; E-mail:</w:t>
      </w:r>
      <w:r w:rsidRPr="00CA088C">
        <w:rPr>
          <w:rStyle w:val="Hyperlink"/>
          <w:rFonts w:asciiTheme="minorBidi" w:hAnsiTheme="minorBidi" w:cstheme="minorBidi"/>
          <w:sz w:val="24"/>
          <w:szCs w:val="24"/>
        </w:rPr>
        <w:t xml:space="preserve"> lauffen@mit.edu</w:t>
      </w:r>
      <w:r w:rsidRPr="00CA088C">
        <w:rPr>
          <w:rFonts w:asciiTheme="minorBidi" w:hAnsiTheme="minorBidi" w:cstheme="minorBidi"/>
          <w:sz w:val="24"/>
          <w:szCs w:val="24"/>
        </w:rPr>
        <w:t xml:space="preserve">. </w:t>
      </w:r>
    </w:p>
    <w:p w14:paraId="6B0D46AD" w14:textId="775D44DE" w:rsidR="00566BFC" w:rsidRDefault="00566BFC" w:rsidP="00566BFC">
      <w:pPr>
        <w:ind w:left="720" w:hanging="720"/>
        <w:rPr>
          <w:rFonts w:asciiTheme="minorBidi" w:hAnsiTheme="minorBidi" w:cstheme="minorBidi"/>
          <w:sz w:val="24"/>
          <w:szCs w:val="24"/>
        </w:rPr>
      </w:pPr>
    </w:p>
    <w:p w14:paraId="5027F9C0" w14:textId="2FDF4B8C" w:rsidR="00566BFC" w:rsidRDefault="00566BFC" w:rsidP="00566BFC">
      <w:pPr>
        <w:ind w:left="720" w:hanging="720"/>
        <w:rPr>
          <w:rFonts w:asciiTheme="minorBidi" w:hAnsiTheme="minorBidi" w:cstheme="minorBidi"/>
          <w:sz w:val="24"/>
          <w:szCs w:val="24"/>
        </w:rPr>
      </w:pPr>
    </w:p>
    <w:p w14:paraId="24621918" w14:textId="62698263" w:rsidR="00566BFC" w:rsidRDefault="00566BFC" w:rsidP="00566BFC">
      <w:pPr>
        <w:ind w:left="720" w:hanging="720"/>
        <w:rPr>
          <w:rFonts w:asciiTheme="minorBidi" w:hAnsiTheme="minorBidi" w:cstheme="minorBidi"/>
          <w:sz w:val="24"/>
          <w:szCs w:val="24"/>
        </w:rPr>
      </w:pPr>
    </w:p>
    <w:p w14:paraId="04BBF38C" w14:textId="397B04B2" w:rsidR="00566BFC" w:rsidRDefault="00566BFC" w:rsidP="00566BFC">
      <w:pPr>
        <w:ind w:left="720" w:hanging="720"/>
        <w:rPr>
          <w:rFonts w:asciiTheme="minorBidi" w:hAnsiTheme="minorBidi" w:cstheme="minorBidi"/>
          <w:sz w:val="24"/>
          <w:szCs w:val="24"/>
        </w:rPr>
      </w:pPr>
    </w:p>
    <w:p w14:paraId="3F6FFB67" w14:textId="77777777" w:rsidR="00566BFC" w:rsidRDefault="00566BFC" w:rsidP="00566BFC">
      <w:pPr>
        <w:ind w:left="720" w:hanging="720"/>
        <w:rPr>
          <w:rFonts w:asciiTheme="minorBidi" w:hAnsiTheme="minorBidi" w:cstheme="minorBidi"/>
          <w:sz w:val="24"/>
          <w:szCs w:val="24"/>
        </w:rPr>
      </w:pPr>
    </w:p>
    <w:p w14:paraId="5FE5B898" w14:textId="460C76FC" w:rsidR="00566BFC" w:rsidRDefault="00566BFC" w:rsidP="00566BFC">
      <w:pPr>
        <w:ind w:left="720" w:hanging="720"/>
        <w:rPr>
          <w:rFonts w:asciiTheme="minorBidi" w:hAnsiTheme="minorBidi" w:cstheme="minorBidi"/>
          <w:b/>
          <w:bCs/>
          <w:sz w:val="24"/>
          <w:szCs w:val="24"/>
        </w:rPr>
      </w:pPr>
      <w:r w:rsidRPr="00566BFC">
        <w:rPr>
          <w:rFonts w:asciiTheme="minorBidi" w:hAnsiTheme="minorBidi" w:cstheme="minorBidi"/>
          <w:b/>
          <w:bCs/>
          <w:sz w:val="24"/>
          <w:szCs w:val="24"/>
        </w:rPr>
        <w:t>Including:</w:t>
      </w:r>
    </w:p>
    <w:p w14:paraId="673D6FD8" w14:textId="77777777" w:rsidR="00566BFC" w:rsidRPr="00566BFC" w:rsidRDefault="00566BFC" w:rsidP="00566BFC">
      <w:pPr>
        <w:ind w:left="720" w:hanging="720"/>
        <w:rPr>
          <w:rFonts w:asciiTheme="minorBidi" w:hAnsiTheme="minorBidi" w:cstheme="minorBidi"/>
          <w:b/>
          <w:bCs/>
          <w:sz w:val="24"/>
          <w:szCs w:val="24"/>
        </w:rPr>
      </w:pPr>
    </w:p>
    <w:p w14:paraId="795D1AC1" w14:textId="3BFCC297" w:rsidR="00566BFC" w:rsidRDefault="00566BFC" w:rsidP="00566BFC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Supplementary figure and table legends</w:t>
      </w:r>
    </w:p>
    <w:p w14:paraId="6AC1F79D" w14:textId="11235BFD" w:rsidR="00566BFC" w:rsidRDefault="00566BFC" w:rsidP="00566BFC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Supplementary references</w:t>
      </w:r>
    </w:p>
    <w:p w14:paraId="148CBC33" w14:textId="5F29AE94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5D1B452C" w14:textId="7A3987EA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0C202189" w14:textId="47B32C42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3FB5AF40" w14:textId="38110AD5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00D96C64" w14:textId="301FF818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557D7A4C" w14:textId="49C9A930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586C6410" w14:textId="51479A8B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4300B371" w14:textId="0CF0D3F0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0DFF6885" w14:textId="1A5970FD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039EC660" w14:textId="7D2D0E03" w:rsid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p w14:paraId="6D04C582" w14:textId="77777777" w:rsidR="00566BFC" w:rsidRDefault="00566BFC" w:rsidP="00566BFC">
      <w:pPr>
        <w:pStyle w:val="Acknowledgement"/>
        <w:spacing w:line="480" w:lineRule="auto"/>
        <w:rPr>
          <w:rFonts w:asciiTheme="minorBidi" w:hAnsiTheme="minorBidi" w:cstheme="minorBidi"/>
          <w:b/>
          <w:bCs/>
          <w:u w:val="single"/>
        </w:rPr>
      </w:pPr>
      <w:r>
        <w:rPr>
          <w:rFonts w:asciiTheme="minorBidi" w:hAnsiTheme="minorBidi" w:cstheme="minorBidi"/>
          <w:b/>
          <w:bCs/>
          <w:u w:val="single"/>
        </w:rPr>
        <w:lastRenderedPageBreak/>
        <w:t>Supplemental Figures and Legends:</w:t>
      </w:r>
    </w:p>
    <w:p w14:paraId="6B19EB62" w14:textId="6C2FC183" w:rsidR="00566BFC" w:rsidRDefault="00566BFC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>Fig. S1</w:t>
      </w:r>
      <w:r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ab/>
        <w:t xml:space="preserve">Gene expression differences between phenotype-based paclitaxel resistant cell line groups. </w:t>
      </w:r>
      <w:r>
        <w:rPr>
          <w:rFonts w:asciiTheme="minorBidi" w:hAnsiTheme="minorBidi" w:cstheme="minorBidi"/>
          <w:b/>
          <w:bCs/>
        </w:rPr>
        <w:t>(A</w:t>
      </w:r>
      <w:r w:rsidR="00536D96">
        <w:rPr>
          <w:rFonts w:asciiTheme="minorBidi" w:hAnsiTheme="minorBidi" w:cstheme="minorBidi"/>
          <w:b/>
          <w:bCs/>
        </w:rPr>
        <w:t>-C</w:t>
      </w:r>
      <w:r>
        <w:rPr>
          <w:rFonts w:asciiTheme="minorBidi" w:hAnsiTheme="minorBidi" w:cstheme="minorBidi"/>
          <w:b/>
          <w:bCs/>
        </w:rPr>
        <w:t>)</w:t>
      </w:r>
      <w:r>
        <w:rPr>
          <w:rFonts w:asciiTheme="minorBidi" w:hAnsiTheme="minorBidi" w:cstheme="minorBidi"/>
        </w:rPr>
        <w:t xml:space="preserve"> Volcano plots of differential gene expression between, </w:t>
      </w:r>
      <w:r w:rsidR="00536D96" w:rsidRPr="00233622">
        <w:rPr>
          <w:rFonts w:asciiTheme="minorBidi" w:hAnsiTheme="minorBidi" w:cstheme="minorBidi"/>
          <w:b/>
          <w:bCs/>
        </w:rPr>
        <w:t>(A)</w:t>
      </w:r>
      <w:r>
        <w:rPr>
          <w:rFonts w:asciiTheme="minorBidi" w:hAnsiTheme="minorBidi" w:cstheme="minorBidi"/>
        </w:rPr>
        <w:t xml:space="preserve"> DMSO control and Paclitaxel Resistant Group1, </w:t>
      </w:r>
      <w:r w:rsidR="00536D96">
        <w:rPr>
          <w:rFonts w:asciiTheme="minorBidi" w:hAnsiTheme="minorBidi" w:cstheme="minorBidi"/>
          <w:b/>
          <w:bCs/>
        </w:rPr>
        <w:t xml:space="preserve">(B) </w:t>
      </w:r>
      <w:r>
        <w:rPr>
          <w:rFonts w:asciiTheme="minorBidi" w:hAnsiTheme="minorBidi" w:cstheme="minorBidi"/>
        </w:rPr>
        <w:t xml:space="preserve">DMSO control and Paclitaxel Resistant Group 2, and </w:t>
      </w:r>
      <w:r w:rsidR="00536D96">
        <w:rPr>
          <w:rFonts w:asciiTheme="minorBidi" w:hAnsiTheme="minorBidi" w:cstheme="minorBidi"/>
          <w:b/>
          <w:bCs/>
        </w:rPr>
        <w:t xml:space="preserve">(C) </w:t>
      </w:r>
      <w:r>
        <w:rPr>
          <w:rFonts w:asciiTheme="minorBidi" w:hAnsiTheme="minorBidi" w:cstheme="minorBidi"/>
        </w:rPr>
        <w:t xml:space="preserve">Paclitaxel Resistant Group 1 and Paclitaxel Resistant Group 2. Genes highlighted in red have greater than 1.5-fold change in gene expression, and FDR &gt; 0.01. </w:t>
      </w:r>
      <w:r>
        <w:rPr>
          <w:rFonts w:asciiTheme="minorBidi" w:hAnsiTheme="minorBidi" w:cstheme="minorBidi"/>
          <w:b/>
          <w:bCs/>
        </w:rPr>
        <w:t>(</w:t>
      </w:r>
      <w:r w:rsidR="00536D96">
        <w:rPr>
          <w:rFonts w:asciiTheme="minorBidi" w:hAnsiTheme="minorBidi" w:cstheme="minorBidi"/>
          <w:b/>
          <w:bCs/>
        </w:rPr>
        <w:t>D-F</w:t>
      </w:r>
      <w:r>
        <w:rPr>
          <w:rFonts w:asciiTheme="minorBidi" w:hAnsiTheme="minorBidi" w:cstheme="minorBidi"/>
          <w:b/>
          <w:bCs/>
        </w:rPr>
        <w:t>)</w:t>
      </w:r>
      <w:r>
        <w:rPr>
          <w:rFonts w:asciiTheme="minorBidi" w:hAnsiTheme="minorBidi" w:cstheme="minorBidi"/>
        </w:rPr>
        <w:t xml:space="preserve"> </w:t>
      </w:r>
      <w:r w:rsidR="00536D96">
        <w:rPr>
          <w:rFonts w:asciiTheme="minorBidi" w:hAnsiTheme="minorBidi" w:cstheme="minorBidi"/>
        </w:rPr>
        <w:t xml:space="preserve">Enrichment of hallmark gene sets in genes differentially expressed between </w:t>
      </w:r>
      <w:r w:rsidR="00536D96" w:rsidRPr="004C7B95">
        <w:rPr>
          <w:rFonts w:asciiTheme="minorBidi" w:hAnsiTheme="minorBidi" w:cstheme="minorBidi"/>
          <w:b/>
          <w:bCs/>
        </w:rPr>
        <w:t>(</w:t>
      </w:r>
      <w:r w:rsidR="00536D96">
        <w:rPr>
          <w:rFonts w:asciiTheme="minorBidi" w:hAnsiTheme="minorBidi" w:cstheme="minorBidi"/>
          <w:b/>
          <w:bCs/>
        </w:rPr>
        <w:t>D</w:t>
      </w:r>
      <w:r w:rsidR="00536D96" w:rsidRPr="004C7B95">
        <w:rPr>
          <w:rFonts w:asciiTheme="minorBidi" w:hAnsiTheme="minorBidi" w:cstheme="minorBidi"/>
          <w:b/>
          <w:bCs/>
        </w:rPr>
        <w:t>)</w:t>
      </w:r>
      <w:r w:rsidR="00536D96">
        <w:rPr>
          <w:rFonts w:asciiTheme="minorBidi" w:hAnsiTheme="minorBidi" w:cstheme="minorBidi"/>
        </w:rPr>
        <w:t xml:space="preserve"> DMSO control and Paclitaxel Resistant Group1, </w:t>
      </w:r>
      <w:r w:rsidR="00536D96">
        <w:rPr>
          <w:rFonts w:asciiTheme="minorBidi" w:hAnsiTheme="minorBidi" w:cstheme="minorBidi"/>
          <w:b/>
          <w:bCs/>
        </w:rPr>
        <w:t xml:space="preserve">(E) </w:t>
      </w:r>
      <w:r w:rsidR="00536D96">
        <w:rPr>
          <w:rFonts w:asciiTheme="minorBidi" w:hAnsiTheme="minorBidi" w:cstheme="minorBidi"/>
        </w:rPr>
        <w:t xml:space="preserve">DMSO control and Paclitaxel Resistant Group 2, and </w:t>
      </w:r>
      <w:r w:rsidR="00536D96">
        <w:rPr>
          <w:rFonts w:asciiTheme="minorBidi" w:hAnsiTheme="minorBidi" w:cstheme="minorBidi"/>
          <w:b/>
          <w:bCs/>
        </w:rPr>
        <w:t xml:space="preserve">(F) </w:t>
      </w:r>
      <w:r w:rsidR="00536D96">
        <w:rPr>
          <w:rFonts w:asciiTheme="minorBidi" w:hAnsiTheme="minorBidi" w:cstheme="minorBidi"/>
        </w:rPr>
        <w:t xml:space="preserve">Paclitaxel Resistant Group 1 and Paclitaxel Resistant Group 2. </w:t>
      </w:r>
      <w:r w:rsidR="005D32A6">
        <w:rPr>
          <w:rFonts w:asciiTheme="minorBidi" w:hAnsiTheme="minorBidi" w:cstheme="minorBidi"/>
        </w:rPr>
        <w:t>NES = normalized enrichment score.</w:t>
      </w:r>
      <w:r w:rsidR="00536D96">
        <w:rPr>
          <w:rFonts w:asciiTheme="minorBidi" w:hAnsiTheme="minorBidi" w:cstheme="minorBidi"/>
        </w:rPr>
        <w:t xml:space="preserve"> </w:t>
      </w:r>
    </w:p>
    <w:p w14:paraId="25C3DB51" w14:textId="637899DC" w:rsidR="005E0F08" w:rsidRPr="00233622" w:rsidRDefault="005E0F08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  <w:sz w:val="16"/>
          <w:szCs w:val="16"/>
        </w:rPr>
      </w:pPr>
    </w:p>
    <w:p w14:paraId="09B119F1" w14:textId="76A7A36E" w:rsidR="00CE5ECB" w:rsidRDefault="00CE5ECB" w:rsidP="00CE5ECB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>Fig. S2</w:t>
      </w:r>
      <w:r>
        <w:rPr>
          <w:rFonts w:asciiTheme="minorBidi" w:hAnsiTheme="minorBidi" w:cstheme="minorBidi"/>
          <w:b/>
          <w:bCs/>
        </w:rPr>
        <w:tab/>
      </w:r>
      <w:r>
        <w:rPr>
          <w:rFonts w:asciiTheme="minorBidi" w:hAnsiTheme="minorBidi" w:cstheme="minorBidi"/>
        </w:rPr>
        <w:t>Differences in gene expression for paclitaxel resistance related genes between phenotype-based paclitaxel resistant cell line groups. TMM-normalized counts for genes with a significant Kruskal-</w:t>
      </w:r>
      <w:proofErr w:type="gramStart"/>
      <w:r>
        <w:rPr>
          <w:rFonts w:asciiTheme="minorBidi" w:hAnsiTheme="minorBidi" w:cstheme="minorBidi"/>
        </w:rPr>
        <w:t>Wallis</w:t>
      </w:r>
      <w:proofErr w:type="gramEnd"/>
      <w:r>
        <w:rPr>
          <w:rFonts w:asciiTheme="minorBidi" w:hAnsiTheme="minorBidi" w:cstheme="minorBidi"/>
        </w:rPr>
        <w:t xml:space="preserve"> test are shown.</w:t>
      </w:r>
    </w:p>
    <w:p w14:paraId="24B38077" w14:textId="6A3CD577" w:rsidR="00CE5ECB" w:rsidRPr="00233622" w:rsidRDefault="00CE5ECB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  <w:sz w:val="16"/>
          <w:szCs w:val="16"/>
        </w:rPr>
      </w:pPr>
    </w:p>
    <w:p w14:paraId="5C6802D0" w14:textId="0FF2728C" w:rsidR="00566BFC" w:rsidRDefault="00401CC1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 xml:space="preserve">Fig. </w:t>
      </w:r>
      <w:r w:rsidR="00CE5ECB">
        <w:rPr>
          <w:rFonts w:asciiTheme="minorBidi" w:hAnsiTheme="minorBidi" w:cstheme="minorBidi"/>
          <w:b/>
          <w:bCs/>
        </w:rPr>
        <w:t>S3</w:t>
      </w:r>
      <w:r>
        <w:rPr>
          <w:rFonts w:asciiTheme="minorBidi" w:hAnsiTheme="minorBidi" w:cstheme="minorBidi"/>
          <w:b/>
          <w:bCs/>
        </w:rPr>
        <w:tab/>
      </w:r>
      <w:r>
        <w:rPr>
          <w:rFonts w:asciiTheme="minorBidi" w:hAnsiTheme="minorBidi" w:cstheme="minorBidi"/>
        </w:rPr>
        <w:t xml:space="preserve">Buthionine </w:t>
      </w:r>
      <w:proofErr w:type="spellStart"/>
      <w:r>
        <w:rPr>
          <w:rFonts w:asciiTheme="minorBidi" w:hAnsiTheme="minorBidi" w:cstheme="minorBidi"/>
        </w:rPr>
        <w:t>Sulfoximine</w:t>
      </w:r>
      <w:proofErr w:type="spellEnd"/>
      <w:r>
        <w:rPr>
          <w:rFonts w:asciiTheme="minorBidi" w:hAnsiTheme="minorBidi" w:cstheme="minorBidi"/>
        </w:rPr>
        <w:t xml:space="preserve"> and </w:t>
      </w:r>
      <w:proofErr w:type="spellStart"/>
      <w:r>
        <w:rPr>
          <w:rFonts w:asciiTheme="minorBidi" w:hAnsiTheme="minorBidi" w:cstheme="minorBidi"/>
        </w:rPr>
        <w:t>Venetoclax</w:t>
      </w:r>
      <w:proofErr w:type="spellEnd"/>
      <w:r>
        <w:rPr>
          <w:rFonts w:asciiTheme="minorBidi" w:hAnsiTheme="minorBidi" w:cstheme="minorBidi"/>
        </w:rPr>
        <w:t xml:space="preserve"> do not affect paclitaxel resistant cell lines </w:t>
      </w:r>
      <w:r>
        <w:rPr>
          <w:rFonts w:asciiTheme="minorBidi" w:hAnsiTheme="minorBidi" w:cstheme="minorBidi"/>
          <w:b/>
          <w:bCs/>
        </w:rPr>
        <w:t>(A)</w:t>
      </w:r>
      <w:r>
        <w:rPr>
          <w:rFonts w:asciiTheme="minorBidi" w:hAnsiTheme="minorBidi" w:cstheme="minorBidi"/>
        </w:rPr>
        <w:t xml:space="preserve"> qPCR measurement of levels of Abcb1a, Abcb1b, </w:t>
      </w:r>
      <w:proofErr w:type="spellStart"/>
      <w:r>
        <w:rPr>
          <w:rFonts w:asciiTheme="minorBidi" w:hAnsiTheme="minorBidi" w:cstheme="minorBidi"/>
        </w:rPr>
        <w:t>Bcl-xL</w:t>
      </w:r>
      <w:proofErr w:type="spellEnd"/>
      <w:r>
        <w:rPr>
          <w:rFonts w:asciiTheme="minorBidi" w:hAnsiTheme="minorBidi" w:cstheme="minorBidi"/>
        </w:rPr>
        <w:t xml:space="preserve">, and Mcp-1 in the DMSO control and paclitaxel resistant cell lines relative to levels in the parental cell line. ND = not detected. </w:t>
      </w:r>
      <w:r>
        <w:rPr>
          <w:rFonts w:asciiTheme="minorBidi" w:hAnsiTheme="minorBidi" w:cstheme="minorBidi"/>
          <w:b/>
          <w:bCs/>
        </w:rPr>
        <w:t xml:space="preserve">(B-C) </w:t>
      </w:r>
      <w:r>
        <w:rPr>
          <w:rFonts w:asciiTheme="minorBidi" w:hAnsiTheme="minorBidi" w:cstheme="minorBidi"/>
        </w:rPr>
        <w:t xml:space="preserve">Dose response curves with buthionine </w:t>
      </w:r>
      <w:proofErr w:type="spellStart"/>
      <w:r>
        <w:rPr>
          <w:rFonts w:asciiTheme="minorBidi" w:hAnsiTheme="minorBidi" w:cstheme="minorBidi"/>
        </w:rPr>
        <w:t>sulfoximine</w:t>
      </w:r>
      <w:proofErr w:type="spellEnd"/>
      <w:r>
        <w:rPr>
          <w:rFonts w:asciiTheme="minorBidi" w:hAnsiTheme="minorBidi" w:cstheme="minorBidi"/>
        </w:rPr>
        <w:t xml:space="preserve"> (B) and </w:t>
      </w:r>
      <w:proofErr w:type="spellStart"/>
      <w:r>
        <w:rPr>
          <w:rFonts w:asciiTheme="minorBidi" w:hAnsiTheme="minorBidi" w:cstheme="minorBidi"/>
        </w:rPr>
        <w:t>venetoclax</w:t>
      </w:r>
      <w:proofErr w:type="spellEnd"/>
      <w:r>
        <w:rPr>
          <w:rFonts w:asciiTheme="minorBidi" w:hAnsiTheme="minorBidi" w:cstheme="minorBidi"/>
        </w:rPr>
        <w:t xml:space="preserve"> (C) in the DMSO </w:t>
      </w:r>
      <w:r>
        <w:rPr>
          <w:rFonts w:asciiTheme="minorBidi" w:hAnsiTheme="minorBidi" w:cstheme="minorBidi"/>
        </w:rPr>
        <w:lastRenderedPageBreak/>
        <w:t xml:space="preserve">control and paclitaxel resistant cell lines. </w:t>
      </w:r>
      <w:r>
        <w:rPr>
          <w:rFonts w:asciiTheme="minorBidi" w:hAnsiTheme="minorBidi" w:cstheme="minorBidi"/>
          <w:b/>
          <w:bCs/>
        </w:rPr>
        <w:t>(D-E)</w:t>
      </w:r>
      <w:r>
        <w:rPr>
          <w:rFonts w:asciiTheme="minorBidi" w:hAnsiTheme="minorBidi" w:cstheme="minorBidi"/>
        </w:rPr>
        <w:t xml:space="preserve"> Log</w:t>
      </w:r>
      <w:r>
        <w:rPr>
          <w:rFonts w:asciiTheme="minorBidi" w:hAnsiTheme="minorBidi" w:cstheme="minorBidi"/>
          <w:vertAlign w:val="subscript"/>
        </w:rPr>
        <w:t>2</w:t>
      </w:r>
      <w:r>
        <w:rPr>
          <w:rFonts w:asciiTheme="minorBidi" w:hAnsiTheme="minorBidi" w:cstheme="minorBidi"/>
        </w:rPr>
        <w:t>FC of paclitaxel EC</w:t>
      </w:r>
      <w:r w:rsidRPr="00233622">
        <w:rPr>
          <w:rFonts w:asciiTheme="minorBidi" w:hAnsiTheme="minorBidi" w:cstheme="minorBidi"/>
          <w:vertAlign w:val="subscript"/>
        </w:rPr>
        <w:t>50</w:t>
      </w:r>
      <w:r>
        <w:rPr>
          <w:rFonts w:asciiTheme="minorBidi" w:hAnsiTheme="minorBidi" w:cstheme="minorBidi"/>
        </w:rPr>
        <w:t xml:space="preserve">s, relative to the parental cell line with and without addition of </w:t>
      </w:r>
      <w:r>
        <w:rPr>
          <w:rFonts w:asciiTheme="minorBidi" w:hAnsiTheme="minorBidi" w:cstheme="minorBidi"/>
          <w:iCs/>
        </w:rPr>
        <w:t xml:space="preserve">10 </w:t>
      </w:r>
      <w:r>
        <w:rPr>
          <w:rFonts w:asciiTheme="minorBidi" w:hAnsiTheme="minorBidi" w:cstheme="minorBidi"/>
          <w:iCs/>
        </w:rPr>
        <w:sym w:font="Symbol" w:char="F06D"/>
      </w:r>
      <w:r>
        <w:rPr>
          <w:rFonts w:asciiTheme="minorBidi" w:hAnsiTheme="minorBidi" w:cstheme="minorBidi"/>
          <w:iCs/>
        </w:rPr>
        <w:t xml:space="preserve">M </w:t>
      </w:r>
      <w:r>
        <w:rPr>
          <w:rFonts w:asciiTheme="minorBidi" w:hAnsiTheme="minorBidi" w:cstheme="minorBidi"/>
        </w:rPr>
        <w:t xml:space="preserve">buthionine </w:t>
      </w:r>
      <w:proofErr w:type="spellStart"/>
      <w:r>
        <w:rPr>
          <w:rFonts w:asciiTheme="minorBidi" w:hAnsiTheme="minorBidi" w:cstheme="minorBidi"/>
        </w:rPr>
        <w:t>sulfoximine</w:t>
      </w:r>
      <w:proofErr w:type="spellEnd"/>
      <w:r>
        <w:rPr>
          <w:rFonts w:asciiTheme="minorBidi" w:hAnsiTheme="minorBidi" w:cstheme="minorBidi"/>
        </w:rPr>
        <w:t xml:space="preserve"> (D) or 0.5 </w:t>
      </w:r>
      <w:r>
        <w:rPr>
          <w:rFonts w:asciiTheme="minorBidi" w:hAnsiTheme="minorBidi" w:cstheme="minorBidi"/>
          <w:iCs/>
        </w:rPr>
        <w:sym w:font="Symbol" w:char="F06D"/>
      </w:r>
      <w:r>
        <w:rPr>
          <w:rFonts w:asciiTheme="minorBidi" w:hAnsiTheme="minorBidi" w:cstheme="minorBidi"/>
          <w:iCs/>
        </w:rPr>
        <w:t xml:space="preserve">M </w:t>
      </w:r>
      <w:proofErr w:type="spellStart"/>
      <w:r>
        <w:rPr>
          <w:rFonts w:asciiTheme="minorBidi" w:hAnsiTheme="minorBidi" w:cstheme="minorBidi"/>
          <w:iCs/>
        </w:rPr>
        <w:t>venetoclax</w:t>
      </w:r>
      <w:proofErr w:type="spellEnd"/>
      <w:r>
        <w:rPr>
          <w:rFonts w:asciiTheme="minorBidi" w:hAnsiTheme="minorBidi" w:cstheme="minorBidi"/>
          <w:iCs/>
        </w:rPr>
        <w:t xml:space="preserve"> (E).  </w:t>
      </w:r>
      <w:r>
        <w:rPr>
          <w:rFonts w:asciiTheme="minorBidi" w:hAnsiTheme="minorBidi" w:cstheme="minorBidi"/>
          <w:b/>
          <w:bCs/>
          <w:iCs/>
        </w:rPr>
        <w:t>(F)</w:t>
      </w:r>
      <w:r>
        <w:rPr>
          <w:rFonts w:asciiTheme="minorBidi" w:hAnsiTheme="minorBidi" w:cstheme="minorBidi"/>
          <w:iCs/>
        </w:rPr>
        <w:t xml:space="preserve"> </w:t>
      </w:r>
      <w:r w:rsidR="00AE5937">
        <w:rPr>
          <w:rFonts w:asciiTheme="minorBidi" w:hAnsiTheme="minorBidi" w:cstheme="minorBidi"/>
        </w:rPr>
        <w:t>TMM-normalized counts for Mrp-1 are shown. Result of Mann-Whitney test comparing paclitaxel resistance group 1 to group 2 is shown. NS = not significant.</w:t>
      </w:r>
    </w:p>
    <w:p w14:paraId="78234395" w14:textId="77777777" w:rsidR="005E0F08" w:rsidRPr="00233622" w:rsidRDefault="005E0F08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  <w:sz w:val="16"/>
          <w:szCs w:val="16"/>
        </w:rPr>
      </w:pPr>
    </w:p>
    <w:p w14:paraId="22E52AEA" w14:textId="438A87EC" w:rsidR="00D52A8D" w:rsidRDefault="00D52A8D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 xml:space="preserve">Fig. </w:t>
      </w:r>
      <w:r w:rsidR="00CE5ECB">
        <w:rPr>
          <w:rFonts w:asciiTheme="minorBidi" w:hAnsiTheme="minorBidi" w:cstheme="minorBidi"/>
          <w:b/>
          <w:bCs/>
        </w:rPr>
        <w:t>S4</w:t>
      </w:r>
      <w:r>
        <w:rPr>
          <w:rFonts w:asciiTheme="minorBidi" w:hAnsiTheme="minorBidi" w:cstheme="minorBidi"/>
          <w:b/>
          <w:bCs/>
        </w:rPr>
        <w:tab/>
      </w:r>
      <w:r>
        <w:rPr>
          <w:rFonts w:asciiTheme="minorBidi" w:hAnsiTheme="minorBidi" w:cstheme="minorBidi"/>
        </w:rPr>
        <w:t xml:space="preserve">Heterogeneity and phenotype/transcriptome discordance among DMSO control cell lines. </w:t>
      </w:r>
      <w:r>
        <w:rPr>
          <w:rFonts w:asciiTheme="minorBidi" w:hAnsiTheme="minorBidi" w:cstheme="minorBidi"/>
          <w:b/>
          <w:bCs/>
        </w:rPr>
        <w:t>(A)</w:t>
      </w:r>
      <w:r>
        <w:rPr>
          <w:rFonts w:asciiTheme="minorBidi" w:hAnsiTheme="minorBidi" w:cstheme="minorBidi"/>
        </w:rPr>
        <w:t xml:space="preserve"> PCA plots of </w:t>
      </w:r>
      <w:r w:rsidRPr="005669F9">
        <w:rPr>
          <w:rFonts w:asciiTheme="minorBidi" w:hAnsiTheme="minorBidi" w:cstheme="minorBidi"/>
        </w:rPr>
        <w:t>log</w:t>
      </w:r>
      <w:r w:rsidRPr="005669F9">
        <w:rPr>
          <w:rFonts w:asciiTheme="minorBidi" w:hAnsiTheme="minorBidi" w:cstheme="minorBidi"/>
          <w:vertAlign w:val="subscript"/>
        </w:rPr>
        <w:t>2</w:t>
      </w:r>
      <w:r w:rsidRPr="005669F9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>EC</w:t>
      </w:r>
      <w:r w:rsidRPr="00233622">
        <w:rPr>
          <w:rFonts w:asciiTheme="minorBidi" w:hAnsiTheme="minorBidi" w:cstheme="minorBidi"/>
          <w:vertAlign w:val="subscript"/>
        </w:rPr>
        <w:t>50</w:t>
      </w:r>
      <w:r>
        <w:rPr>
          <w:rFonts w:asciiTheme="minorBidi" w:hAnsiTheme="minorBidi" w:cstheme="minorBidi"/>
        </w:rPr>
        <w:t xml:space="preserve"> </w:t>
      </w:r>
      <w:r w:rsidRPr="005669F9">
        <w:rPr>
          <w:rFonts w:asciiTheme="minorBidi" w:hAnsiTheme="minorBidi" w:cstheme="minorBidi"/>
        </w:rPr>
        <w:t>fold change</w:t>
      </w:r>
      <w:r>
        <w:rPr>
          <w:rFonts w:asciiTheme="minorBidi" w:hAnsiTheme="minorBidi" w:cstheme="minorBidi"/>
        </w:rPr>
        <w:t xml:space="preserve"> values and </w:t>
      </w:r>
      <w:r>
        <w:rPr>
          <w:rFonts w:asciiTheme="minorBidi" w:hAnsiTheme="minorBidi" w:cstheme="minorBidi"/>
          <w:b/>
          <w:bCs/>
        </w:rPr>
        <w:t>(B)</w:t>
      </w:r>
      <w:r>
        <w:rPr>
          <w:rFonts w:asciiTheme="minorBidi" w:hAnsiTheme="minorBidi" w:cstheme="minorBidi"/>
        </w:rPr>
        <w:t xml:space="preserve"> log of TMM-normalized counts-per-million expression values from RNA-seq for the DMSO control lines.</w:t>
      </w:r>
    </w:p>
    <w:p w14:paraId="295AFE94" w14:textId="77777777" w:rsidR="00D52A8D" w:rsidRPr="00233622" w:rsidRDefault="00D52A8D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  <w:sz w:val="16"/>
          <w:szCs w:val="16"/>
        </w:rPr>
      </w:pPr>
    </w:p>
    <w:p w14:paraId="35E2481B" w14:textId="673323C9" w:rsidR="001C7233" w:rsidRPr="001C7233" w:rsidRDefault="001C7233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>Table S1</w:t>
      </w:r>
      <w:r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ab/>
        <w:t>Log</w:t>
      </w:r>
      <w:r>
        <w:rPr>
          <w:rFonts w:asciiTheme="minorBidi" w:hAnsiTheme="minorBidi" w:cstheme="minorBidi"/>
          <w:vertAlign w:val="subscript"/>
        </w:rPr>
        <w:t>2</w:t>
      </w:r>
      <w:r>
        <w:rPr>
          <w:rFonts w:asciiTheme="minorBidi" w:hAnsiTheme="minorBidi" w:cstheme="minorBidi"/>
        </w:rPr>
        <w:t xml:space="preserve"> fold changes and EC</w:t>
      </w:r>
      <w:r w:rsidRPr="00233622">
        <w:rPr>
          <w:rFonts w:asciiTheme="minorBidi" w:hAnsiTheme="minorBidi" w:cstheme="minorBidi"/>
          <w:vertAlign w:val="subscript"/>
        </w:rPr>
        <w:t>50</w:t>
      </w:r>
      <w:r>
        <w:rPr>
          <w:rFonts w:asciiTheme="minorBidi" w:hAnsiTheme="minorBidi" w:cstheme="minorBidi"/>
        </w:rPr>
        <w:t xml:space="preserve"> values for each drug and cell line tested.</w:t>
      </w:r>
    </w:p>
    <w:p w14:paraId="6A280414" w14:textId="77777777" w:rsidR="001C7233" w:rsidRPr="00233622" w:rsidRDefault="001C7233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  <w:sz w:val="16"/>
          <w:szCs w:val="16"/>
        </w:rPr>
      </w:pPr>
    </w:p>
    <w:p w14:paraId="65923AAF" w14:textId="17DDE210" w:rsidR="001C7233" w:rsidRDefault="001C7233" w:rsidP="00233622">
      <w:pPr>
        <w:pStyle w:val="Acknowledgement"/>
        <w:spacing w:line="480" w:lineRule="auto"/>
        <w:ind w:left="1620" w:hanging="162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>Table S2</w:t>
      </w:r>
      <w:r>
        <w:rPr>
          <w:rFonts w:asciiTheme="minorBidi" w:hAnsiTheme="minorBidi" w:cstheme="minorBidi"/>
          <w:b/>
          <w:bCs/>
        </w:rPr>
        <w:tab/>
      </w:r>
      <w:r>
        <w:rPr>
          <w:rFonts w:asciiTheme="minorBidi" w:hAnsiTheme="minorBidi" w:cstheme="minorBidi"/>
        </w:rPr>
        <w:t xml:space="preserve">Global differential gene expression between each paclitaxel resistant group and DMSO control group. For Paclitaxel Resistant Group 1 vs. DMSO control group, Paclitaxel Resistant Group 2 vs. DMSO control group, and Paclitaxel Resistant Group 1 vs. Paclitaxel Resistant Group 2, results of differential gene expression analysis with </w:t>
      </w:r>
      <w:proofErr w:type="spellStart"/>
      <w:r>
        <w:rPr>
          <w:rFonts w:asciiTheme="minorBidi" w:hAnsiTheme="minorBidi" w:cstheme="minorBidi"/>
        </w:rPr>
        <w:t>EdgeR</w:t>
      </w:r>
      <w:proofErr w:type="spellEnd"/>
      <w:r>
        <w:rPr>
          <w:rFonts w:asciiTheme="minorBidi" w:hAnsiTheme="minorBidi" w:cstheme="minorBidi"/>
        </w:rPr>
        <w:t xml:space="preserve"> are reported.</w:t>
      </w:r>
    </w:p>
    <w:p w14:paraId="36364FFD" w14:textId="77777777" w:rsidR="00233622" w:rsidRPr="00233622" w:rsidRDefault="00233622" w:rsidP="00233622">
      <w:pPr>
        <w:pStyle w:val="Acknowledgement"/>
        <w:spacing w:line="480" w:lineRule="auto"/>
        <w:ind w:left="1620" w:hanging="1620"/>
        <w:jc w:val="both"/>
        <w:rPr>
          <w:rFonts w:asciiTheme="minorBidi" w:hAnsiTheme="minorBidi" w:cstheme="minorBidi"/>
          <w:sz w:val="16"/>
          <w:szCs w:val="16"/>
        </w:rPr>
      </w:pPr>
    </w:p>
    <w:p w14:paraId="1D40DB47" w14:textId="1D76AC68" w:rsidR="00566BFC" w:rsidRDefault="00566BFC" w:rsidP="005E0F08">
      <w:pPr>
        <w:pStyle w:val="Acknowledgement"/>
        <w:spacing w:line="480" w:lineRule="auto"/>
        <w:ind w:left="1710" w:hanging="171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>Table S</w:t>
      </w:r>
      <w:r w:rsidR="00A907CE">
        <w:rPr>
          <w:rFonts w:asciiTheme="minorBidi" w:hAnsiTheme="minorBidi" w:cstheme="minorBidi"/>
          <w:b/>
          <w:bCs/>
        </w:rPr>
        <w:t>3</w:t>
      </w:r>
      <w:r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ab/>
        <w:t>Genes proposed to be involved in resistance to paclitaxel, based on a literature review. Gene name, description, proposed paclitaxel resistance mechanism, and P-value, and FDR of Kruskal-</w:t>
      </w:r>
      <w:proofErr w:type="gramStart"/>
      <w:r>
        <w:rPr>
          <w:rFonts w:asciiTheme="minorBidi" w:hAnsiTheme="minorBidi" w:cstheme="minorBidi"/>
        </w:rPr>
        <w:t>Wallis</w:t>
      </w:r>
      <w:proofErr w:type="gramEnd"/>
      <w:r>
        <w:rPr>
          <w:rFonts w:asciiTheme="minorBidi" w:hAnsiTheme="minorBidi" w:cstheme="minorBidi"/>
        </w:rPr>
        <w:t xml:space="preserve"> test comparing </w:t>
      </w:r>
      <w:r>
        <w:rPr>
          <w:rFonts w:asciiTheme="minorBidi" w:hAnsiTheme="minorBidi" w:cstheme="minorBidi"/>
        </w:rPr>
        <w:lastRenderedPageBreak/>
        <w:t>expression between the two paclitaxel resistant groups are included.</w:t>
      </w:r>
      <w:r w:rsidR="00055BCF">
        <w:rPr>
          <w:rFonts w:asciiTheme="minorBidi" w:hAnsiTheme="minorBidi" w:cstheme="minorBidi"/>
        </w:rPr>
        <w:t xml:space="preserve"> See supplemental references for citations.</w:t>
      </w:r>
      <w:r w:rsidR="00A907CE">
        <w:rPr>
          <w:rFonts w:asciiTheme="minorBidi" w:hAnsiTheme="minorBidi" w:cstheme="minorBidi"/>
        </w:rPr>
        <w:t xml:space="preserve"> See Supplemental References for references</w:t>
      </w:r>
    </w:p>
    <w:p w14:paraId="5C28F3FB" w14:textId="77777777" w:rsidR="00566BFC" w:rsidRPr="00233622" w:rsidRDefault="00566BFC" w:rsidP="005E0F08">
      <w:pPr>
        <w:pStyle w:val="Acknowledgement"/>
        <w:spacing w:line="480" w:lineRule="auto"/>
        <w:ind w:left="1620" w:hanging="1620"/>
        <w:jc w:val="both"/>
        <w:rPr>
          <w:rFonts w:asciiTheme="minorBidi" w:hAnsiTheme="minorBidi" w:cstheme="minorBidi"/>
          <w:sz w:val="16"/>
          <w:szCs w:val="16"/>
        </w:rPr>
      </w:pPr>
    </w:p>
    <w:p w14:paraId="7278048E" w14:textId="1BCEE01A" w:rsidR="00566BFC" w:rsidRDefault="00566BFC" w:rsidP="00233622">
      <w:pPr>
        <w:pStyle w:val="Acknowledgement"/>
        <w:spacing w:line="480" w:lineRule="auto"/>
        <w:ind w:left="1620" w:hanging="1620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>Table S</w:t>
      </w:r>
      <w:r w:rsidR="00A907CE">
        <w:rPr>
          <w:rFonts w:asciiTheme="minorBidi" w:hAnsiTheme="minorBidi" w:cstheme="minorBidi"/>
          <w:b/>
          <w:bCs/>
        </w:rPr>
        <w:t>4</w:t>
      </w:r>
      <w:r>
        <w:rPr>
          <w:rFonts w:asciiTheme="minorBidi" w:hAnsiTheme="minorBidi" w:cstheme="minorBidi"/>
        </w:rPr>
        <w:tab/>
        <w:t>Dunn Post-Test results of gene expression differences between each paclitaxel resistant group and DMSO control group. For each gene and comparison indicated, the Dunn test Z-score, P-value, and FDR-adjusted P-value is reported.</w:t>
      </w:r>
    </w:p>
    <w:p w14:paraId="6A7809B4" w14:textId="77777777" w:rsidR="00233622" w:rsidRPr="001F0503" w:rsidRDefault="00233622" w:rsidP="00233622">
      <w:pPr>
        <w:pStyle w:val="Acknowledgement"/>
        <w:spacing w:line="480" w:lineRule="auto"/>
        <w:ind w:left="1620" w:hanging="1620"/>
        <w:jc w:val="both"/>
        <w:rPr>
          <w:rFonts w:asciiTheme="minorBidi" w:hAnsiTheme="minorBidi" w:cstheme="minorBidi"/>
        </w:rPr>
      </w:pPr>
    </w:p>
    <w:p w14:paraId="0153A2EB" w14:textId="77777777" w:rsidR="00566BFC" w:rsidRDefault="00566BFC" w:rsidP="00566BFC">
      <w:pPr>
        <w:pStyle w:val="Acknowledgement"/>
        <w:spacing w:line="480" w:lineRule="auto"/>
        <w:ind w:left="1080" w:hanging="1080"/>
        <w:rPr>
          <w:rFonts w:asciiTheme="minorBidi" w:hAnsiTheme="minorBidi" w:cstheme="minorBidi"/>
          <w:b/>
          <w:bCs/>
          <w:u w:val="single"/>
        </w:rPr>
      </w:pPr>
      <w:r w:rsidRPr="00566BFC">
        <w:rPr>
          <w:rFonts w:asciiTheme="minorBidi" w:hAnsiTheme="minorBidi" w:cstheme="minorBidi"/>
          <w:b/>
          <w:bCs/>
          <w:u w:val="single"/>
        </w:rPr>
        <w:t>Supplemental References</w:t>
      </w:r>
    </w:p>
    <w:p w14:paraId="3F2A2512" w14:textId="77777777" w:rsidR="00EF4AAB" w:rsidRPr="00880F8B" w:rsidRDefault="00EF4AAB" w:rsidP="00EF4AAB">
      <w:pPr>
        <w:autoSpaceDE w:val="0"/>
        <w:autoSpaceDN w:val="0"/>
        <w:spacing w:after="60"/>
        <w:ind w:left="620" w:hanging="634"/>
        <w:rPr>
          <w:rFonts w:asciiTheme="minorBidi" w:eastAsia="Times New Roman" w:hAnsiTheme="minorBidi" w:cstheme="minorBidi"/>
          <w:sz w:val="24"/>
          <w:szCs w:val="24"/>
        </w:rPr>
      </w:pPr>
      <w:r w:rsidRPr="00880F8B">
        <w:rPr>
          <w:rFonts w:asciiTheme="minorBidi" w:eastAsia="Times New Roman" w:hAnsiTheme="minorBidi" w:cstheme="minorBidi"/>
          <w:sz w:val="24"/>
          <w:szCs w:val="24"/>
        </w:rPr>
        <w:t>1.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ab/>
      </w:r>
      <w:proofErr w:type="spellStart"/>
      <w:r w:rsidRPr="00880F8B">
        <w:rPr>
          <w:rFonts w:asciiTheme="minorBidi" w:eastAsia="Times New Roman" w:hAnsiTheme="minorBidi" w:cstheme="minorBidi"/>
          <w:sz w:val="24"/>
          <w:szCs w:val="24"/>
        </w:rPr>
        <w:t>Kavallaris</w:t>
      </w:r>
      <w:proofErr w:type="spellEnd"/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, M. Microtubules and resistance to tubulin-binding agents.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Na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t.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 xml:space="preserve"> 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Rev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. Cancer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80F8B">
        <w:rPr>
          <w:rFonts w:asciiTheme="minorBidi" w:eastAsia="Times New Roman" w:hAnsiTheme="minorBidi" w:cstheme="minorBidi"/>
          <w:b/>
          <w:bCs/>
          <w:sz w:val="24"/>
          <w:szCs w:val="24"/>
        </w:rPr>
        <w:t>10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>, 194–204 (2010) PMID:20147901.</w:t>
      </w:r>
    </w:p>
    <w:p w14:paraId="4EDCFAFB" w14:textId="77777777" w:rsidR="00EF4AAB" w:rsidRPr="00880F8B" w:rsidRDefault="00EF4AAB" w:rsidP="00EF4AAB">
      <w:pPr>
        <w:autoSpaceDE w:val="0"/>
        <w:autoSpaceDN w:val="0"/>
        <w:spacing w:after="60"/>
        <w:ind w:left="620" w:hanging="634"/>
        <w:rPr>
          <w:rFonts w:asciiTheme="minorBidi" w:eastAsia="Times New Roman" w:hAnsiTheme="minorBidi" w:cstheme="minorBidi"/>
          <w:sz w:val="24"/>
          <w:szCs w:val="24"/>
        </w:rPr>
      </w:pPr>
      <w:r w:rsidRPr="00880F8B">
        <w:rPr>
          <w:rFonts w:asciiTheme="minorBidi" w:eastAsia="Times New Roman" w:hAnsiTheme="minorBidi" w:cstheme="minorBidi"/>
          <w:sz w:val="24"/>
          <w:szCs w:val="24"/>
        </w:rPr>
        <w:t>2.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ab/>
        <w:t xml:space="preserve">Chen, Z.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et al.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Mammalian drug efflux transporters of the ATP binding cassette (ABC) family in multidrug resistance: A review of the past decade.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Cancer Lett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80F8B">
        <w:rPr>
          <w:rFonts w:asciiTheme="minorBidi" w:eastAsia="Times New Roman" w:hAnsiTheme="minorBidi" w:cstheme="minorBidi"/>
          <w:b/>
          <w:bCs/>
          <w:sz w:val="24"/>
          <w:szCs w:val="24"/>
        </w:rPr>
        <w:t>370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>, 153–164 (2016) PMID:26499806.</w:t>
      </w:r>
    </w:p>
    <w:p w14:paraId="0E95480D" w14:textId="77777777" w:rsidR="00EF4AAB" w:rsidRPr="00880F8B" w:rsidRDefault="00EF4AAB" w:rsidP="00EF4AAB">
      <w:pPr>
        <w:autoSpaceDE w:val="0"/>
        <w:autoSpaceDN w:val="0"/>
        <w:spacing w:after="60"/>
        <w:ind w:left="620" w:hanging="634"/>
        <w:rPr>
          <w:rFonts w:asciiTheme="minorBidi" w:eastAsia="Times New Roman" w:hAnsiTheme="minorBidi" w:cstheme="minorBidi"/>
          <w:sz w:val="24"/>
          <w:szCs w:val="24"/>
        </w:rPr>
      </w:pPr>
      <w:r w:rsidRPr="00880F8B">
        <w:rPr>
          <w:rFonts w:asciiTheme="minorBidi" w:eastAsia="Times New Roman" w:hAnsiTheme="minorBidi" w:cstheme="minorBidi"/>
          <w:sz w:val="24"/>
          <w:szCs w:val="24"/>
        </w:rPr>
        <w:t>3.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ab/>
        <w:t xml:space="preserve">Gupta, N., Gupta, P. &amp; Srivastava, S. K. </w:t>
      </w:r>
      <w:proofErr w:type="spellStart"/>
      <w:r w:rsidRPr="00880F8B">
        <w:rPr>
          <w:rFonts w:asciiTheme="minorBidi" w:eastAsia="Times New Roman" w:hAnsiTheme="minorBidi" w:cstheme="minorBidi"/>
          <w:sz w:val="24"/>
          <w:szCs w:val="24"/>
        </w:rPr>
        <w:t>Penfluridol</w:t>
      </w:r>
      <w:proofErr w:type="spellEnd"/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overcomes paclitaxel resistance in metastatic breast cancer.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Sci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.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 xml:space="preserve"> Rep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80F8B">
        <w:rPr>
          <w:rFonts w:asciiTheme="minorBidi" w:eastAsia="Times New Roman" w:hAnsiTheme="minorBidi" w:cstheme="minorBidi"/>
          <w:b/>
          <w:bCs/>
          <w:sz w:val="24"/>
          <w:szCs w:val="24"/>
        </w:rPr>
        <w:t>9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>, 1–14 (2019) PMID:30911062.</w:t>
      </w:r>
    </w:p>
    <w:p w14:paraId="0FF9DE89" w14:textId="77777777" w:rsidR="00EF4AAB" w:rsidRPr="00880F8B" w:rsidRDefault="00EF4AAB" w:rsidP="00EF4AAB">
      <w:pPr>
        <w:autoSpaceDE w:val="0"/>
        <w:autoSpaceDN w:val="0"/>
        <w:spacing w:after="60"/>
        <w:ind w:left="620" w:hanging="634"/>
        <w:rPr>
          <w:rFonts w:asciiTheme="minorBidi" w:eastAsia="Times New Roman" w:hAnsiTheme="minorBidi" w:cstheme="minorBidi"/>
          <w:sz w:val="24"/>
          <w:szCs w:val="24"/>
        </w:rPr>
      </w:pPr>
      <w:r w:rsidRPr="00880F8B">
        <w:rPr>
          <w:rFonts w:asciiTheme="minorBidi" w:eastAsia="Times New Roman" w:hAnsiTheme="minorBidi" w:cstheme="minorBidi"/>
          <w:sz w:val="24"/>
          <w:szCs w:val="24"/>
        </w:rPr>
        <w:t>4.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ab/>
        <w:t xml:space="preserve">Wang, Y.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et al.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Autocrine production of interleukin-6 confers cisplatin and paclitaxel resistance in ovarian cancer cells.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Cancer Lett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80F8B">
        <w:rPr>
          <w:rFonts w:asciiTheme="minorBidi" w:eastAsia="Times New Roman" w:hAnsiTheme="minorBidi" w:cstheme="minorBidi"/>
          <w:b/>
          <w:bCs/>
          <w:sz w:val="24"/>
          <w:szCs w:val="24"/>
        </w:rPr>
        <w:t>295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>, 110–123 (2010) PMID:20236757.</w:t>
      </w:r>
    </w:p>
    <w:p w14:paraId="7FDAF001" w14:textId="77777777" w:rsidR="00EF4AAB" w:rsidRPr="00880F8B" w:rsidRDefault="00EF4AAB" w:rsidP="00EF4AAB">
      <w:pPr>
        <w:autoSpaceDE w:val="0"/>
        <w:autoSpaceDN w:val="0"/>
        <w:spacing w:after="60"/>
        <w:ind w:left="620" w:hanging="634"/>
        <w:rPr>
          <w:rFonts w:asciiTheme="minorBidi" w:eastAsia="Times New Roman" w:hAnsiTheme="minorBidi" w:cstheme="minorBidi"/>
          <w:sz w:val="24"/>
          <w:szCs w:val="24"/>
        </w:rPr>
      </w:pPr>
      <w:r w:rsidRPr="00880F8B">
        <w:rPr>
          <w:rFonts w:asciiTheme="minorBidi" w:eastAsia="Times New Roman" w:hAnsiTheme="minorBidi" w:cstheme="minorBidi"/>
          <w:sz w:val="24"/>
          <w:szCs w:val="24"/>
        </w:rPr>
        <w:t>5.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ab/>
      </w:r>
      <w:proofErr w:type="spellStart"/>
      <w:r w:rsidRPr="00880F8B">
        <w:rPr>
          <w:rFonts w:asciiTheme="minorBidi" w:eastAsia="Times New Roman" w:hAnsiTheme="minorBidi" w:cstheme="minorBidi"/>
          <w:sz w:val="24"/>
          <w:szCs w:val="24"/>
        </w:rPr>
        <w:t>Kutuk</w:t>
      </w:r>
      <w:proofErr w:type="spellEnd"/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, O. &amp; </w:t>
      </w:r>
      <w:proofErr w:type="spellStart"/>
      <w:r w:rsidRPr="00880F8B">
        <w:rPr>
          <w:rFonts w:asciiTheme="minorBidi" w:eastAsia="Times New Roman" w:hAnsiTheme="minorBidi" w:cstheme="minorBidi"/>
          <w:sz w:val="24"/>
          <w:szCs w:val="24"/>
        </w:rPr>
        <w:t>Letai</w:t>
      </w:r>
      <w:proofErr w:type="spellEnd"/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, A. Alteration of the mitochondrial apoptotic pathway is key to acquired paclitaxel resistance and can be reversed by ABT-737.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Cancer Res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80F8B">
        <w:rPr>
          <w:rFonts w:asciiTheme="minorBidi" w:eastAsia="Times New Roman" w:hAnsiTheme="minorBidi" w:cstheme="minorBidi"/>
          <w:b/>
          <w:bCs/>
          <w:sz w:val="24"/>
          <w:szCs w:val="24"/>
        </w:rPr>
        <w:t>68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>, 7985–7994 (2008) PMID:18829556.</w:t>
      </w:r>
    </w:p>
    <w:p w14:paraId="0D364616" w14:textId="77777777" w:rsidR="00EF4AAB" w:rsidRPr="00880F8B" w:rsidRDefault="00EF4AAB" w:rsidP="00EF4AAB">
      <w:pPr>
        <w:autoSpaceDE w:val="0"/>
        <w:autoSpaceDN w:val="0"/>
        <w:spacing w:after="60"/>
        <w:ind w:left="620" w:hanging="634"/>
        <w:rPr>
          <w:rFonts w:asciiTheme="minorBidi" w:eastAsia="Times New Roman" w:hAnsiTheme="minorBidi" w:cstheme="minorBidi"/>
          <w:sz w:val="24"/>
          <w:szCs w:val="24"/>
        </w:rPr>
      </w:pPr>
      <w:r w:rsidRPr="00880F8B">
        <w:rPr>
          <w:rFonts w:asciiTheme="minorBidi" w:eastAsia="Times New Roman" w:hAnsiTheme="minorBidi" w:cstheme="minorBidi"/>
          <w:sz w:val="24"/>
          <w:szCs w:val="24"/>
        </w:rPr>
        <w:t>6.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ab/>
        <w:t xml:space="preserve">Feng, Q.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et al.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Targeting G6PD reverses paclitaxel resistance in ovarian cancer by suppressing GSTP1. </w:t>
      </w:r>
      <w:proofErr w:type="spellStart"/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Biochem</w:t>
      </w:r>
      <w:proofErr w:type="spellEnd"/>
      <w:r>
        <w:rPr>
          <w:rFonts w:asciiTheme="minorBidi" w:eastAsia="Times New Roman" w:hAnsiTheme="minorBidi" w:cstheme="minorBidi"/>
          <w:i/>
          <w:iCs/>
          <w:sz w:val="24"/>
          <w:szCs w:val="24"/>
        </w:rPr>
        <w:t>.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 xml:space="preserve"> </w:t>
      </w:r>
      <w:proofErr w:type="spellStart"/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Pharmaco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l</w:t>
      </w:r>
      <w:proofErr w:type="spellEnd"/>
      <w:r>
        <w:rPr>
          <w:rFonts w:asciiTheme="minorBidi" w:eastAsia="Times New Roman" w:hAnsiTheme="minorBidi" w:cstheme="minorBidi"/>
          <w:i/>
          <w:iCs/>
          <w:sz w:val="24"/>
          <w:szCs w:val="24"/>
        </w:rPr>
        <w:t>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80F8B">
        <w:rPr>
          <w:rFonts w:asciiTheme="minorBidi" w:eastAsia="Times New Roman" w:hAnsiTheme="minorBidi" w:cstheme="minorBidi"/>
          <w:b/>
          <w:bCs/>
          <w:sz w:val="24"/>
          <w:szCs w:val="24"/>
        </w:rPr>
        <w:t>178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>, 114092 (2020) PMID:32535103.</w:t>
      </w:r>
    </w:p>
    <w:p w14:paraId="379936FE" w14:textId="77777777" w:rsidR="00D52A8D" w:rsidRPr="00880F8B" w:rsidRDefault="00D52A8D" w:rsidP="00D52A8D">
      <w:pPr>
        <w:autoSpaceDE w:val="0"/>
        <w:autoSpaceDN w:val="0"/>
        <w:spacing w:after="60"/>
        <w:ind w:left="620" w:hanging="634"/>
        <w:rPr>
          <w:rFonts w:asciiTheme="minorBidi" w:eastAsia="Times New Roman" w:hAnsiTheme="minorBidi" w:cstheme="minorBidi"/>
          <w:sz w:val="24"/>
          <w:szCs w:val="24"/>
        </w:rPr>
      </w:pPr>
      <w:r w:rsidRPr="00880F8B">
        <w:rPr>
          <w:rFonts w:asciiTheme="minorBidi" w:eastAsia="Times New Roman" w:hAnsiTheme="minorBidi" w:cstheme="minorBidi"/>
          <w:sz w:val="24"/>
          <w:szCs w:val="24"/>
        </w:rPr>
        <w:t>7.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ab/>
        <w:t xml:space="preserve">Murphy, M., Hinman, A. &amp; Levine, A. J. </w:t>
      </w:r>
      <w:proofErr w:type="gramStart"/>
      <w:r w:rsidRPr="00880F8B">
        <w:rPr>
          <w:rFonts w:asciiTheme="minorBidi" w:eastAsia="Times New Roman" w:hAnsiTheme="minorBidi" w:cstheme="minorBidi"/>
          <w:sz w:val="24"/>
          <w:szCs w:val="24"/>
        </w:rPr>
        <w:t>Wild-type</w:t>
      </w:r>
      <w:proofErr w:type="gramEnd"/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p53 negatively regulates the expression of a microtubule- associated protein. </w:t>
      </w:r>
      <w:r w:rsidRPr="00880F8B">
        <w:rPr>
          <w:rFonts w:asciiTheme="minorBidi" w:eastAsia="Times New Roman" w:hAnsiTheme="minorBidi" w:cstheme="minorBidi"/>
          <w:i/>
          <w:iCs/>
          <w:sz w:val="24"/>
          <w:szCs w:val="24"/>
        </w:rPr>
        <w:t>Genes Dev</w:t>
      </w:r>
      <w:r>
        <w:rPr>
          <w:rFonts w:asciiTheme="minorBidi" w:eastAsia="Times New Roman" w:hAnsiTheme="minorBidi" w:cstheme="minorBidi"/>
          <w:i/>
          <w:iCs/>
          <w:sz w:val="24"/>
          <w:szCs w:val="24"/>
        </w:rPr>
        <w:t>.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80F8B">
        <w:rPr>
          <w:rFonts w:asciiTheme="minorBidi" w:eastAsia="Times New Roman" w:hAnsiTheme="minorBidi" w:cstheme="minorBidi"/>
          <w:b/>
          <w:bCs/>
          <w:sz w:val="24"/>
          <w:szCs w:val="24"/>
        </w:rPr>
        <w:t>10</w:t>
      </w:r>
      <w:r w:rsidRPr="00880F8B">
        <w:rPr>
          <w:rFonts w:asciiTheme="minorBidi" w:eastAsia="Times New Roman" w:hAnsiTheme="minorBidi" w:cstheme="minorBidi"/>
          <w:sz w:val="24"/>
          <w:szCs w:val="24"/>
        </w:rPr>
        <w:t>, 2971–2980 (1996) PMID:8956998.</w:t>
      </w:r>
    </w:p>
    <w:p w14:paraId="447F91AF" w14:textId="77777777" w:rsidR="00566BFC" w:rsidRPr="00566BFC" w:rsidRDefault="00566BFC" w:rsidP="00566BFC">
      <w:pPr>
        <w:rPr>
          <w:rFonts w:asciiTheme="minorBidi" w:hAnsiTheme="minorBidi" w:cstheme="minorBidi"/>
          <w:sz w:val="24"/>
          <w:szCs w:val="24"/>
        </w:rPr>
      </w:pPr>
    </w:p>
    <w:sectPr w:rsidR="00566BFC" w:rsidRPr="00566BFC" w:rsidSect="00CA1822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48FE6" w14:textId="77777777" w:rsidR="001C208D" w:rsidRDefault="001C208D" w:rsidP="004B65C4">
      <w:r>
        <w:separator/>
      </w:r>
    </w:p>
  </w:endnote>
  <w:endnote w:type="continuationSeparator" w:id="0">
    <w:p w14:paraId="47699DF6" w14:textId="77777777" w:rsidR="001C208D" w:rsidRDefault="001C208D" w:rsidP="004B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796852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BD7CA43" w14:textId="7C337437" w:rsidR="004B65C4" w:rsidRDefault="004B65C4" w:rsidP="00B971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078DCD" w14:textId="77777777" w:rsidR="004B65C4" w:rsidRDefault="004B65C4" w:rsidP="004B65C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187236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716835" w14:textId="609D8E97" w:rsidR="004B65C4" w:rsidRDefault="004B65C4" w:rsidP="00B971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662CD79" w14:textId="77777777" w:rsidR="004B65C4" w:rsidRDefault="004B65C4" w:rsidP="004B65C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FBB9E" w14:textId="77777777" w:rsidR="001C208D" w:rsidRDefault="001C208D" w:rsidP="004B65C4">
      <w:r>
        <w:separator/>
      </w:r>
    </w:p>
  </w:footnote>
  <w:footnote w:type="continuationSeparator" w:id="0">
    <w:p w14:paraId="243C544B" w14:textId="77777777" w:rsidR="001C208D" w:rsidRDefault="001C208D" w:rsidP="004B6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14735F"/>
    <w:multiLevelType w:val="hybridMultilevel"/>
    <w:tmpl w:val="CA62C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BFC"/>
    <w:rsid w:val="00055BCF"/>
    <w:rsid w:val="000A1F6B"/>
    <w:rsid w:val="00124E22"/>
    <w:rsid w:val="001845E5"/>
    <w:rsid w:val="001B70FB"/>
    <w:rsid w:val="001C208D"/>
    <w:rsid w:val="001C7233"/>
    <w:rsid w:val="001D6C15"/>
    <w:rsid w:val="00233622"/>
    <w:rsid w:val="002440AC"/>
    <w:rsid w:val="002B1751"/>
    <w:rsid w:val="003249B4"/>
    <w:rsid w:val="00334212"/>
    <w:rsid w:val="004010BE"/>
    <w:rsid w:val="00401CC1"/>
    <w:rsid w:val="004B65C4"/>
    <w:rsid w:val="00523390"/>
    <w:rsid w:val="00536D96"/>
    <w:rsid w:val="00566BFC"/>
    <w:rsid w:val="00593D69"/>
    <w:rsid w:val="005B7F3D"/>
    <w:rsid w:val="005C523B"/>
    <w:rsid w:val="005D32A6"/>
    <w:rsid w:val="005E0F08"/>
    <w:rsid w:val="0062132C"/>
    <w:rsid w:val="00663D71"/>
    <w:rsid w:val="006714EC"/>
    <w:rsid w:val="006F02FF"/>
    <w:rsid w:val="006F2B8A"/>
    <w:rsid w:val="0072600C"/>
    <w:rsid w:val="00772EC4"/>
    <w:rsid w:val="00797FC9"/>
    <w:rsid w:val="007E6214"/>
    <w:rsid w:val="00926FB0"/>
    <w:rsid w:val="0098475C"/>
    <w:rsid w:val="009C74B4"/>
    <w:rsid w:val="00A907CE"/>
    <w:rsid w:val="00AE5937"/>
    <w:rsid w:val="00B15FBC"/>
    <w:rsid w:val="00C21FED"/>
    <w:rsid w:val="00CA1822"/>
    <w:rsid w:val="00CA5F35"/>
    <w:rsid w:val="00CE5ECB"/>
    <w:rsid w:val="00D20A82"/>
    <w:rsid w:val="00D52A8D"/>
    <w:rsid w:val="00EF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4D3AC"/>
  <w15:chartTrackingRefBased/>
  <w15:docId w15:val="{F0090F52-ADF5-F449-B5D4-EBECBB72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BFC"/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66BFC"/>
    <w:pPr>
      <w:spacing w:before="120"/>
      <w:ind w:firstLine="720"/>
    </w:pPr>
    <w:rPr>
      <w:rFonts w:eastAsia="Times New Roman"/>
      <w:sz w:val="24"/>
      <w:szCs w:val="24"/>
    </w:rPr>
  </w:style>
  <w:style w:type="paragraph" w:customStyle="1" w:styleId="Head">
    <w:name w:val="Head"/>
    <w:basedOn w:val="Normal"/>
    <w:rsid w:val="00566BFC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  <w:style w:type="character" w:styleId="Hyperlink">
    <w:name w:val="Hyperlink"/>
    <w:rsid w:val="00566B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66BFC"/>
    <w:pPr>
      <w:ind w:left="720"/>
      <w:contextualSpacing/>
    </w:pPr>
  </w:style>
  <w:style w:type="paragraph" w:customStyle="1" w:styleId="Acknowledgement">
    <w:name w:val="Acknowledgement"/>
    <w:basedOn w:val="Normal"/>
    <w:rsid w:val="00566BFC"/>
    <w:pPr>
      <w:spacing w:before="120"/>
      <w:ind w:left="720" w:hanging="720"/>
    </w:pPr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65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5C4"/>
    <w:rPr>
      <w:rFonts w:ascii="Times New Roman" w:eastAsia="Calibri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B65C4"/>
  </w:style>
  <w:style w:type="paragraph" w:styleId="Revision">
    <w:name w:val="Revision"/>
    <w:hidden/>
    <w:uiPriority w:val="99"/>
    <w:semiHidden/>
    <w:rsid w:val="00401CC1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mann@mit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562FED-6EEA-E040-9298-093A4B83E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Dalin, Simona</dc:creator>
  <cp:keywords/>
  <dc:description/>
  <cp:lastModifiedBy>Dalin, Simona</cp:lastModifiedBy>
  <cp:revision>2</cp:revision>
  <dcterms:created xsi:type="dcterms:W3CDTF">2022-03-02T13:03:00Z</dcterms:created>
  <dcterms:modified xsi:type="dcterms:W3CDTF">2022-03-02T13:03:00Z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http://csl.mendeley.com/styles/65862521/AACR-SD</vt:lpwstr>
  </property>
  <property fmtid="{D5CDD505-2E9C-101B-9397-08002B2CF9AE}" pid="3" name="Mendeley Recent Style Name 0_1">
    <vt:lpwstr>AACR-SD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http://csl.mendeley.com/styles/65862521/NatureLRSF</vt:lpwstr>
  </property>
  <property fmtid="{D5CDD505-2E9C-101B-9397-08002B2CF9AE}" pid="13" name="Mendeley Recent Style Name 5_1">
    <vt:lpwstr>LSRF - SD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http://csl.mendeley.com/styles/65862521/nature</vt:lpwstr>
  </property>
  <property fmtid="{D5CDD505-2E9C-101B-9397-08002B2CF9AE}" pid="17" name="Mendeley Recent Style Name 7_1">
    <vt:lpwstr>Nature - Simona Dalin - PMCID</vt:lpwstr>
  </property>
  <property fmtid="{D5CDD505-2E9C-101B-9397-08002B2CF9AE}" pid="18" name="Mendeley Recent Style Id 8_1">
    <vt:lpwstr>https://csl.mendeley.com/styles/65862521/nature</vt:lpwstr>
  </property>
  <property fmtid="{D5CDD505-2E9C-101B-9397-08002B2CF9AE}" pid="19" name="Mendeley Recent Style Name 8_1">
    <vt:lpwstr>Nature - Simona Dalin - PMCID</vt:lpwstr>
  </property>
  <property fmtid="{D5CDD505-2E9C-101B-9397-08002B2CF9AE}" pid="20" name="Mendeley Recent Style Id 9_1">
    <vt:lpwstr>http://csl.mendeley.com/styles/65862521/nature-PMCID-noInLine</vt:lpwstr>
  </property>
  <property fmtid="{D5CDD505-2E9C-101B-9397-08002B2CF9AE}" pid="21" name="Mendeley Recent Style Name 9_1">
    <vt:lpwstr>Nature - Simona Dalin - PMCID - No InLine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8fb10938-2cd7-390e-836f-5a3cc1736183</vt:lpwstr>
  </property>
  <property fmtid="{D5CDD505-2E9C-101B-9397-08002B2CF9AE}" pid="24" name="Mendeley Citation Style_1">
    <vt:lpwstr>http://csl.mendeley.com/styles/65862521/nature-PMCID-noInLine</vt:lpwstr>
  </property>
</Properties>
</file>