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AF342" w14:textId="64AA3E0D" w:rsidR="00C4334A" w:rsidRDefault="00C4334A" w:rsidP="00C4334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Material</w:t>
      </w:r>
      <w:r w:rsidR="0011156E">
        <w:rPr>
          <w:rFonts w:ascii="Times New Roman" w:hAnsi="Times New Roman" w:cs="Times New Roman"/>
          <w:b/>
          <w:bCs/>
          <w:sz w:val="24"/>
          <w:szCs w:val="24"/>
          <w:lang w:val="en-US"/>
        </w:rPr>
        <w:t>s</w:t>
      </w:r>
      <w:bookmarkStart w:id="0" w:name="_GoBack"/>
      <w:bookmarkEnd w:id="0"/>
    </w:p>
    <w:p w14:paraId="5D5317B2" w14:textId="77777777" w:rsidR="00C4334A" w:rsidRDefault="00C4334A" w:rsidP="00C4334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S1. Analysis of gene arrangements of vertebrate mitochondrial genome. NCBI with Reference IDs shown for each species. The numeral in parentheses indicates the number of species belonging to each taxonomic group. Each gene is assigned a number 1 to 37 at the top of the Table which is then used to describe the annotated gene arrangement for each species. Each gene is transcribed left-to-right as shown except for those with a minus (-) symbol to indicate opposite orientation. The ancestral gene order has been inferred to be as postulated by </w:t>
      </w:r>
      <w:hyperlink r:id="rId4" w:anchor="_ENREF_2" w:tooltip="Boore, 1999 #2" w:history="1">
        <w:r>
          <w:rPr>
            <w:rStyle w:val="Hyperlink"/>
            <w:rFonts w:ascii="Times New Roman" w:hAnsi="Times New Roman" w:cs="Times New Roman"/>
            <w:color w:val="auto"/>
            <w:sz w:val="24"/>
            <w:szCs w:val="24"/>
            <w:u w:val="none"/>
            <w:lang w:val="en-US"/>
          </w:rPr>
          <w:fldChar w:fldCharType="begin"/>
        </w:r>
        <w:r>
          <w:rPr>
            <w:rStyle w:val="Hyperlink"/>
            <w:rFonts w:ascii="Times New Roman" w:hAnsi="Times New Roman" w:cs="Times New Roman"/>
            <w:color w:val="auto"/>
            <w:sz w:val="24"/>
            <w:szCs w:val="24"/>
            <w:u w:val="none"/>
            <w:lang w:val="en-US"/>
          </w:rPr>
          <w:instrText xml:space="preserve"> ADDIN EN.CITE &lt;EndNote&gt;&lt;Cite AuthorYear="1"&gt;&lt;Author&gt;Boore&lt;/Author&gt;&lt;Year&gt;1999&lt;/Year&gt;&lt;RecNum&gt;2&lt;/RecNum&gt;&lt;DisplayText&gt;Boore &lt;style face="superscript"&gt;2&lt;/style&gt;&lt;/DisplayText&gt;&lt;record&gt;&lt;rec-number&gt;2&lt;/rec-number&gt;&lt;foreign-keys&gt;&lt;key app="EN" db-id="fva90edxm0rvfhesv5bvpa2szwwaw2efap2r" timestamp="1639101485"&gt;2&lt;/key&gt;&lt;/foreign-keys&gt;&lt;ref-type name="Journal Article"&gt;17&lt;/ref-type&gt;&lt;contributors&gt;&lt;authors&gt;&lt;author&gt;Boore, Jeffrey L.&lt;/author&gt;&lt;/authors&gt;&lt;/contributors&gt;&lt;titles&gt;&lt;title&gt;Animal mitochondrial genomes&lt;/title&gt;&lt;secondary-title&gt;Nucleic acids research&lt;/secondary-title&gt;&lt;/titles&gt;&lt;periodical&gt;&lt;full-title&gt;Nucleic acids research&lt;/full-title&gt;&lt;/periodical&gt;&lt;pages&gt;1767-1780&lt;/pages&gt;&lt;volume&gt;27&lt;/volume&gt;&lt;number&gt;8&lt;/number&gt;&lt;dates&gt;&lt;year&gt;1999&lt;/year&gt;&lt;/dates&gt;&lt;urls&gt;&lt;/urls&gt;&lt;/record&gt;&lt;/Cite&gt;&lt;/EndNote&gt;</w:instrText>
        </w:r>
        <w:r>
          <w:rPr>
            <w:rStyle w:val="Hyperlink"/>
            <w:rFonts w:ascii="Times New Roman" w:hAnsi="Times New Roman" w:cs="Times New Roman"/>
            <w:color w:val="auto"/>
            <w:sz w:val="24"/>
            <w:szCs w:val="24"/>
            <w:u w:val="none"/>
            <w:lang w:val="en-US"/>
          </w:rPr>
          <w:fldChar w:fldCharType="separate"/>
        </w:r>
        <w:r>
          <w:rPr>
            <w:rStyle w:val="Hyperlink"/>
            <w:rFonts w:ascii="Times New Roman" w:hAnsi="Times New Roman" w:cs="Times New Roman"/>
            <w:noProof/>
            <w:color w:val="auto"/>
            <w:sz w:val="24"/>
            <w:szCs w:val="24"/>
            <w:u w:val="none"/>
            <w:lang w:val="en-US"/>
          </w:rPr>
          <w:t xml:space="preserve">Boore </w:t>
        </w:r>
        <w:r>
          <w:rPr>
            <w:rStyle w:val="Hyperlink"/>
            <w:rFonts w:ascii="Times New Roman" w:hAnsi="Times New Roman" w:cs="Times New Roman"/>
            <w:noProof/>
            <w:color w:val="auto"/>
            <w:sz w:val="24"/>
            <w:szCs w:val="24"/>
            <w:u w:val="none"/>
            <w:vertAlign w:val="superscript"/>
            <w:lang w:val="en-US"/>
          </w:rPr>
          <w:t>2</w:t>
        </w:r>
        <w:r>
          <w:rPr>
            <w:rStyle w:val="Hyperlink"/>
            <w:rFonts w:ascii="Times New Roman" w:hAnsi="Times New Roman" w:cs="Times New Roman"/>
            <w:color w:val="auto"/>
            <w:sz w:val="24"/>
            <w:szCs w:val="24"/>
            <w:u w:val="none"/>
            <w:lang w:val="en-US"/>
          </w:rPr>
          <w:fldChar w:fldCharType="end"/>
        </w:r>
      </w:hyperlink>
      <w:r>
        <w:rPr>
          <w:rFonts w:ascii="Times New Roman" w:hAnsi="Times New Roman" w:cs="Times New Roman"/>
          <w:sz w:val="24"/>
          <w:szCs w:val="24"/>
          <w:lang w:val="en-US"/>
        </w:rPr>
        <w:t>. Highlighting indicates all deviations from that ancestral arrangement as confirmed by the bioinformatics tools used in this study, with being yellow to gene inversion-translocation, light blue to gene duplication, purple to pseudogenes and red to gene deletions.</w:t>
      </w:r>
    </w:p>
    <w:p w14:paraId="57C0F702" w14:textId="77777777" w:rsidR="00C4334A" w:rsidRDefault="00C4334A" w:rsidP="00C4334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S2. Mitochondrial genome rearrangement proportion in each gene by taxonomic order presenting species with rearrangements in vertebrates. (M) manual rearrangement proportion analysis and </w:t>
      </w:r>
      <w:proofErr w:type="spellStart"/>
      <w:r>
        <w:rPr>
          <w:rFonts w:ascii="Times New Roman" w:hAnsi="Times New Roman" w:cs="Times New Roman"/>
          <w:sz w:val="24"/>
          <w:szCs w:val="24"/>
          <w:lang w:val="en-US"/>
        </w:rPr>
        <w:t>qMGR</w:t>
      </w:r>
      <w:proofErr w:type="spellEnd"/>
      <w:r>
        <w:rPr>
          <w:rFonts w:ascii="Times New Roman" w:hAnsi="Times New Roman" w:cs="Times New Roman"/>
          <w:sz w:val="24"/>
          <w:szCs w:val="24"/>
          <w:lang w:val="en-US"/>
        </w:rPr>
        <w:t xml:space="preserve"> is indicated for each mitochondrial gene. </w:t>
      </w:r>
    </w:p>
    <w:p w14:paraId="2F598AD3" w14:textId="77777777" w:rsidR="00B94D91" w:rsidRPr="00C4334A" w:rsidRDefault="00B94D91">
      <w:pPr>
        <w:rPr>
          <w:rFonts w:ascii="Times New Roman" w:hAnsi="Times New Roman" w:cs="Times New Roman"/>
          <w:sz w:val="24"/>
          <w:szCs w:val="24"/>
        </w:rPr>
      </w:pPr>
    </w:p>
    <w:sectPr w:rsidR="00B94D91" w:rsidRPr="00C4334A" w:rsidSect="00883AF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4A"/>
    <w:rsid w:val="0011156E"/>
    <w:rsid w:val="00883AF9"/>
    <w:rsid w:val="00B94D91"/>
    <w:rsid w:val="00C433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D40F"/>
  <w15:chartTrackingRefBased/>
  <w15:docId w15:val="{531B4358-B9BB-4618-AF30-5716FB36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34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334A"/>
    <w:rPr>
      <w:color w:val="0563C1" w:themeColor="hyperlink"/>
      <w:u w:val="single"/>
    </w:rPr>
  </w:style>
  <w:style w:type="character" w:styleId="LineNumber">
    <w:name w:val="line number"/>
    <w:basedOn w:val="DefaultParagraphFont"/>
    <w:uiPriority w:val="99"/>
    <w:semiHidden/>
    <w:unhideWhenUsed/>
    <w:rsid w:val="00C43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JavaG\AppData\Local\Temp\Rar$DIa15976.9463\main_modificado%20-%20Final.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Gomez</dc:creator>
  <cp:keywords/>
  <dc:description/>
  <cp:lastModifiedBy>Kiruthika S.</cp:lastModifiedBy>
  <cp:revision>3</cp:revision>
  <dcterms:created xsi:type="dcterms:W3CDTF">2022-01-01T17:26:00Z</dcterms:created>
  <dcterms:modified xsi:type="dcterms:W3CDTF">2022-03-25T10:14:00Z</dcterms:modified>
</cp:coreProperties>
</file>