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hAnsi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drawing>
          <wp:inline distT="0" distB="0" distL="0" distR="0">
            <wp:extent cx="4953692" cy="3429480"/>
            <wp:effectExtent l="0" t="0" r="0" b="0"/>
            <wp:docPr id="1073741825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7.png" descr="image7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692" cy="34294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it-IT"/>
        </w:rPr>
        <w:t>Supplemental figure 1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. OPLS-DA scores plot to identify those variables with greatest influence on separation of HCV genotypes 1 and 3 in ESI positive mode.</w:t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  <w:lang w:val="en-US"/>
        </w:rPr>
        <w:br w:type="page"/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drawing>
          <wp:inline distT="0" distB="0" distL="0" distR="0">
            <wp:extent cx="4953692" cy="3429480"/>
            <wp:effectExtent l="0" t="0" r="0" b="0"/>
            <wp:docPr id="1073741826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8.png" descr="image8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692" cy="34294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it-IT"/>
        </w:rPr>
        <w:t>Supplemental figure 2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: S-plot to determine variables with the greatest contribution to HCV genotypes 1 and 3 separation in fasting samples.</w:t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  <w:lang w:val="en-US"/>
        </w:rPr>
        <w:br w:type="page"/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drawing>
          <wp:inline distT="0" distB="0" distL="0" distR="0">
            <wp:extent cx="5086350" cy="3521319"/>
            <wp:effectExtent l="0" t="0" r="0" b="0"/>
            <wp:docPr id="1073741827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9.png" descr="image9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5213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it-IT"/>
        </w:rPr>
        <w:t>Supplemental figure 3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. Principal components analysis (PCA) of fasting sera in negative electrospray ionisation mode demonstrating separation between HCV genotypes</w:t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  <w:lang w:val="en-US"/>
        </w:rPr>
        <w:br w:type="page"/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drawing>
          <wp:inline distT="0" distB="0" distL="0" distR="0">
            <wp:extent cx="4572638" cy="3429480"/>
            <wp:effectExtent l="0" t="0" r="0" b="0"/>
            <wp:docPr id="1073741828" name="officeArt object" descr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0.png" descr="image10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it-IT"/>
        </w:rPr>
        <w:t>Supplemental figure 4.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 xml:space="preserve"> OPLS-DA and S-plot to determine variables with the greatest contribution to HCV genotypes 1 and 3 separation in fasting samples in negative electrospray ionisation mode.</w:t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  <w:lang w:val="en-US"/>
        </w:rPr>
        <w:br w:type="page"/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drawing>
          <wp:inline distT="0" distB="0" distL="0" distR="0">
            <wp:extent cx="4889500" cy="3152775"/>
            <wp:effectExtent l="0" t="0" r="0" b="0"/>
            <wp:docPr id="1073741829" name="officeArt object" descr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11.png" descr="image11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3152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it-IT"/>
        </w:rPr>
        <w:t>Supplemental figure 5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. Principal components analysis (PCA) of non-fasting sera, (cohort 2 HCV RNA positive viraemic) in both positive and negative electrospray ionisation mode demonstrating separation between HCV genotypes 1 and 3.</w:t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  <w:lang w:val="en-US"/>
        </w:rPr>
        <w:br w:type="page"/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drawing>
          <wp:inline distT="0" distB="0" distL="0" distR="0">
            <wp:extent cx="4572000" cy="3095625"/>
            <wp:effectExtent l="0" t="0" r="0" b="0"/>
            <wp:docPr id="1073741830" name="officeArt object" descr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12.png" descr="image12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956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Default"/>
        <w:bidi w:val="0"/>
        <w:spacing w:after="200" w:line="360" w:lineRule="auto"/>
        <w:ind w:left="0" w:right="0" w:firstLine="0"/>
        <w:jc w:val="both"/>
        <w:rPr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it-IT"/>
        </w:rPr>
        <w:t>Supplemental figure 6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. Principal components analysis (PCA) of non-fasting sera, (cohort 3 HCV RNA negative, non-viraemic) following sustained virological response to pegylated interferon-alpha and ribavirin in both positive and negative electrospray ionisation mode demonstrating no significant separation between HCV genotypes 1 and 3.</w:t>
      </w:r>
    </w:p>
    <w:sectPr>
      <w:headerReference w:type="default" r:id="rId10"/>
      <w:footerReference w:type="default" r:id="rId11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