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67F2" w14:textId="77777777" w:rsidR="00DF491C" w:rsidRPr="007D7ED5" w:rsidRDefault="00DF491C" w:rsidP="00DF491C">
      <w:pPr>
        <w:pStyle w:val="Level1"/>
        <w:rPr>
          <w:rFonts w:ascii="Times New Roman" w:hAnsi="Times New Roman" w:cs="Times New Roman"/>
          <w:sz w:val="48"/>
          <w:szCs w:val="48"/>
        </w:rPr>
      </w:pPr>
      <w:r>
        <w:t>Supplementary Information</w:t>
      </w:r>
    </w:p>
    <w:p w14:paraId="43E4BBB1" w14:textId="77777777" w:rsidR="0080326B" w:rsidRPr="00C64FA9" w:rsidRDefault="0080326B" w:rsidP="00C64FA9">
      <w:pPr>
        <w:spacing w:line="360" w:lineRule="auto"/>
        <w:rPr>
          <w:rFonts w:ascii="Times New Roman" w:hAnsi="Times New Roman" w:cs="Times New Roman"/>
          <w:b/>
          <w:bCs/>
          <w:sz w:val="24"/>
          <w:szCs w:val="36"/>
        </w:rPr>
      </w:pPr>
      <w:r w:rsidRPr="00C64FA9">
        <w:rPr>
          <w:b/>
          <w:bCs/>
          <w:sz w:val="28"/>
          <w:szCs w:val="40"/>
        </w:rPr>
        <w:t>Host-pathogen dynamics in longitudinal clinical specimens from patients with COVID-19</w:t>
      </w:r>
    </w:p>
    <w:p w14:paraId="746C3E23" w14:textId="77777777" w:rsidR="00C64FA9" w:rsidRDefault="00C64FA9" w:rsidP="00C64FA9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p w14:paraId="5C24B0C3" w14:textId="3A694AED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27358">
        <w:rPr>
          <w:rFonts w:eastAsia="Times New Roman" w:cs="Arial"/>
          <w:color w:val="000000"/>
          <w:sz w:val="22"/>
          <w:szCs w:val="22"/>
        </w:rPr>
        <w:t>Michelle J. Lin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Victoria M. Rachleff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1,2,3</w:t>
      </w:r>
      <w:r w:rsidRPr="00E27358">
        <w:rPr>
          <w:rFonts w:eastAsia="Times New Roman" w:cs="Arial"/>
          <w:color w:val="000000"/>
          <w:sz w:val="22"/>
          <w:szCs w:val="22"/>
        </w:rPr>
        <w:t>, Hong Xie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 xml:space="preserve">, </w:t>
      </w:r>
      <w:proofErr w:type="spellStart"/>
      <w:r w:rsidRPr="00E27358">
        <w:rPr>
          <w:rFonts w:eastAsia="Times New Roman" w:cs="Arial"/>
          <w:color w:val="000000"/>
          <w:sz w:val="22"/>
          <w:szCs w:val="22"/>
        </w:rPr>
        <w:t>Lasata</w:t>
      </w:r>
      <w:proofErr w:type="spellEnd"/>
      <w:r w:rsidRPr="00E27358">
        <w:rPr>
          <w:rFonts w:eastAsia="Times New Roman" w:cs="Arial"/>
          <w:color w:val="000000"/>
          <w:sz w:val="22"/>
          <w:szCs w:val="22"/>
        </w:rPr>
        <w:t xml:space="preserve"> Shrestha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Nicole A.P. Lieberman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Vikas Peddu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Amin Addetia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Amanda M. Casto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4</w:t>
      </w:r>
      <w:r w:rsidRPr="00E27358">
        <w:rPr>
          <w:rFonts w:eastAsia="Times New Roman" w:cs="Arial"/>
          <w:color w:val="000000"/>
          <w:sz w:val="22"/>
          <w:szCs w:val="22"/>
        </w:rPr>
        <w:t>, Nathan Breit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, Patrick C. Mathias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 xml:space="preserve">, </w:t>
      </w:r>
      <w:proofErr w:type="spellStart"/>
      <w:r w:rsidRPr="00E27358">
        <w:rPr>
          <w:rFonts w:eastAsia="Times New Roman" w:cs="Arial"/>
          <w:color w:val="000000"/>
          <w:sz w:val="22"/>
          <w:szCs w:val="22"/>
        </w:rPr>
        <w:t>Meei</w:t>
      </w:r>
      <w:proofErr w:type="spellEnd"/>
      <w:r w:rsidRPr="00E27358">
        <w:rPr>
          <w:rFonts w:eastAsia="Times New Roman" w:cs="Arial"/>
          <w:color w:val="000000"/>
          <w:sz w:val="22"/>
          <w:szCs w:val="22"/>
        </w:rPr>
        <w:t>-Li Huang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1,2</w:t>
      </w:r>
      <w:r w:rsidRPr="00E27358">
        <w:rPr>
          <w:rFonts w:eastAsia="Times New Roman" w:cs="Arial"/>
          <w:color w:val="000000"/>
          <w:sz w:val="22"/>
          <w:szCs w:val="22"/>
        </w:rPr>
        <w:t>, Keith R. Jerome*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¶1,2</w:t>
      </w:r>
      <w:r w:rsidRPr="00E27358">
        <w:rPr>
          <w:rFonts w:eastAsia="Times New Roman" w:cs="Arial"/>
          <w:color w:val="000000"/>
          <w:sz w:val="22"/>
          <w:szCs w:val="22"/>
        </w:rPr>
        <w:t xml:space="preserve">, Alexander L. </w:t>
      </w:r>
      <w:proofErr w:type="spellStart"/>
      <w:r w:rsidRPr="00E27358">
        <w:rPr>
          <w:rFonts w:eastAsia="Times New Roman" w:cs="Arial"/>
          <w:color w:val="000000"/>
          <w:sz w:val="22"/>
          <w:szCs w:val="22"/>
        </w:rPr>
        <w:t>Greninger</w:t>
      </w:r>
      <w:proofErr w:type="spellEnd"/>
      <w:r w:rsidRPr="00E27358">
        <w:rPr>
          <w:rFonts w:eastAsia="Times New Roman" w:cs="Arial"/>
          <w:color w:val="000000"/>
          <w:sz w:val="22"/>
          <w:szCs w:val="22"/>
        </w:rPr>
        <w:t>*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¶1,2</w:t>
      </w:r>
      <w:r w:rsidRPr="00E27358">
        <w:rPr>
          <w:rFonts w:eastAsia="Times New Roman" w:cs="Arial"/>
          <w:color w:val="000000"/>
          <w:sz w:val="22"/>
          <w:szCs w:val="22"/>
        </w:rPr>
        <w:t xml:space="preserve">, Pavitra </w:t>
      </w:r>
      <w:proofErr w:type="spellStart"/>
      <w:r w:rsidRPr="00E27358">
        <w:rPr>
          <w:rFonts w:eastAsia="Times New Roman" w:cs="Arial"/>
          <w:color w:val="000000"/>
          <w:sz w:val="22"/>
          <w:szCs w:val="22"/>
        </w:rPr>
        <w:t>Roychoudhury</w:t>
      </w:r>
      <w:proofErr w:type="spellEnd"/>
      <w:r w:rsidRPr="00E27358">
        <w:rPr>
          <w:rFonts w:eastAsia="Times New Roman" w:cs="Arial"/>
          <w:color w:val="000000"/>
          <w:sz w:val="22"/>
          <w:szCs w:val="22"/>
        </w:rPr>
        <w:t>*</w:t>
      </w: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¶1,2</w:t>
      </w:r>
    </w:p>
    <w:p w14:paraId="069E0BC0" w14:textId="77777777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8356F3B" w14:textId="77777777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E27358">
        <w:rPr>
          <w:rFonts w:eastAsia="Times New Roman" w:cs="Arial"/>
          <w:color w:val="000000"/>
          <w:sz w:val="22"/>
          <w:szCs w:val="22"/>
        </w:rPr>
        <w:t>Department of Laboratory Medicine and Pathology, University of Washington School of Medicine</w:t>
      </w:r>
      <w:r>
        <w:rPr>
          <w:rFonts w:eastAsia="Times New Roman" w:cs="Arial"/>
          <w:color w:val="000000"/>
          <w:sz w:val="22"/>
          <w:szCs w:val="22"/>
        </w:rPr>
        <w:t>, Seattle, WA, USA, 98102</w:t>
      </w:r>
    </w:p>
    <w:p w14:paraId="34F92A43" w14:textId="77777777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2</w:t>
      </w:r>
      <w:r w:rsidRPr="00E27358">
        <w:rPr>
          <w:rFonts w:eastAsia="Times New Roman" w:cs="Arial"/>
          <w:color w:val="000000"/>
          <w:sz w:val="22"/>
          <w:szCs w:val="22"/>
        </w:rPr>
        <w:t>Vaccine and Infectious Disease Division, Fred Hutchinson Cancer Research Center</w:t>
      </w:r>
      <w:r>
        <w:rPr>
          <w:rFonts w:eastAsia="Times New Roman" w:cs="Arial"/>
          <w:color w:val="000000"/>
          <w:sz w:val="22"/>
          <w:szCs w:val="22"/>
        </w:rPr>
        <w:t>, Seattle, WA, USA</w:t>
      </w:r>
    </w:p>
    <w:p w14:paraId="55D721AF" w14:textId="77777777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3</w:t>
      </w:r>
      <w:r w:rsidRPr="00E27358">
        <w:rPr>
          <w:rFonts w:eastAsia="Times New Roman" w:cs="Arial"/>
          <w:color w:val="000000"/>
          <w:sz w:val="22"/>
          <w:szCs w:val="22"/>
        </w:rPr>
        <w:t>Program in Molecular and Cellular Biology, University of Washington School of Medicine</w:t>
      </w:r>
      <w:r>
        <w:rPr>
          <w:rFonts w:eastAsia="Times New Roman" w:cs="Arial"/>
          <w:color w:val="000000"/>
          <w:sz w:val="22"/>
          <w:szCs w:val="22"/>
        </w:rPr>
        <w:t>, Seattle, WA, USA</w:t>
      </w:r>
    </w:p>
    <w:p w14:paraId="39340C25" w14:textId="77777777" w:rsidR="00C64FA9" w:rsidRPr="00E27358" w:rsidRDefault="00C64FA9" w:rsidP="00C64FA9">
      <w:pPr>
        <w:spacing w:line="48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27358">
        <w:rPr>
          <w:rFonts w:eastAsia="Times New Roman" w:cs="Arial"/>
          <w:color w:val="000000"/>
          <w:sz w:val="22"/>
          <w:szCs w:val="22"/>
          <w:vertAlign w:val="superscript"/>
        </w:rPr>
        <w:t>4</w:t>
      </w:r>
      <w:r w:rsidRPr="00E27358">
        <w:rPr>
          <w:rFonts w:eastAsia="Times New Roman" w:cs="Arial"/>
          <w:color w:val="000000"/>
          <w:sz w:val="22"/>
          <w:szCs w:val="22"/>
        </w:rPr>
        <w:t>Division of Allergy and Infectious Diseases, University of Washington School of Medicine</w:t>
      </w:r>
      <w:r>
        <w:rPr>
          <w:rFonts w:eastAsia="Times New Roman" w:cs="Arial"/>
          <w:color w:val="000000"/>
          <w:sz w:val="22"/>
          <w:szCs w:val="22"/>
        </w:rPr>
        <w:t>, Seattle, WA, USA</w:t>
      </w:r>
    </w:p>
    <w:p w14:paraId="64759050" w14:textId="77777777" w:rsidR="0080326B" w:rsidRDefault="0080326B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4D1ED509" w14:textId="77777777" w:rsidR="0080326B" w:rsidRDefault="0080326B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76CE2C8C" w14:textId="77777777" w:rsidR="00C64FA9" w:rsidRDefault="00C64FA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65546B61" w14:textId="58BD7213" w:rsidR="00DF491C" w:rsidRPr="007D7ED5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Table S1</w:t>
      </w:r>
      <w:r>
        <w:rPr>
          <w:rFonts w:eastAsia="Times New Roman" w:cs="Arial"/>
          <w:color w:val="000000"/>
          <w:sz w:val="22"/>
          <w:szCs w:val="22"/>
        </w:rPr>
        <w:t>.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 </w:t>
      </w:r>
      <w:r>
        <w:rPr>
          <w:rFonts w:eastAsia="Times New Roman" w:cs="Arial"/>
          <w:b/>
          <w:bCs/>
          <w:color w:val="000000"/>
          <w:sz w:val="22"/>
          <w:szCs w:val="22"/>
        </w:rPr>
        <w:t>Description of patients included in this study.</w:t>
      </w:r>
    </w:p>
    <w:p w14:paraId="72A8587A" w14:textId="223EFACB" w:rsidR="00DF491C" w:rsidRDefault="00DF491C" w:rsidP="00DF491C">
      <w:pPr>
        <w:spacing w:line="480" w:lineRule="auto"/>
        <w:jc w:val="both"/>
        <w:rPr>
          <w:rFonts w:eastAsia="Times New Roman" w:cs="Arial"/>
          <w:color w:val="000000"/>
          <w:sz w:val="22"/>
          <w:szCs w:val="22"/>
        </w:rPr>
      </w:pPr>
      <w:r w:rsidRPr="00DE257A">
        <w:rPr>
          <w:rFonts w:eastAsia="Times New Roman" w:cs="Arial"/>
          <w:color w:val="000000"/>
          <w:sz w:val="22"/>
          <w:szCs w:val="22"/>
          <w:vertAlign w:val="superscript"/>
        </w:rPr>
        <w:t>1</w:t>
      </w:r>
      <w:r w:rsidRPr="00DE257A">
        <w:rPr>
          <w:rFonts w:eastAsia="Times New Roman" w:cs="Arial"/>
          <w:color w:val="000000"/>
          <w:sz w:val="22"/>
          <w:szCs w:val="22"/>
        </w:rPr>
        <w:t>at sample collection. IP = inpatient, ER = emergency room, OP = outpatient, NH = nursing home</w:t>
      </w:r>
      <w:r>
        <w:rPr>
          <w:rFonts w:eastAsia="Times New Roman" w:cs="Arial"/>
          <w:color w:val="000000"/>
          <w:sz w:val="22"/>
          <w:szCs w:val="22"/>
        </w:rPr>
        <w:t xml:space="preserve">, NP = nasopharyngeal, OP = oropharyngeal </w:t>
      </w:r>
    </w:p>
    <w:tbl>
      <w:tblPr>
        <w:tblW w:w="0" w:type="auto"/>
        <w:tblInd w:w="-278" w:type="dxa"/>
        <w:tblLook w:val="04A0" w:firstRow="1" w:lastRow="0" w:firstColumn="1" w:lastColumn="0" w:noHBand="0" w:noVBand="1"/>
      </w:tblPr>
      <w:tblGrid>
        <w:gridCol w:w="747"/>
        <w:gridCol w:w="540"/>
        <w:gridCol w:w="521"/>
        <w:gridCol w:w="1279"/>
        <w:gridCol w:w="2613"/>
        <w:gridCol w:w="1994"/>
        <w:gridCol w:w="1126"/>
        <w:gridCol w:w="802"/>
      </w:tblGrid>
      <w:tr w:rsidR="007714C4" w:rsidRPr="007714C4" w14:paraId="51D125EA" w14:textId="77777777" w:rsidTr="007714C4">
        <w:trPr>
          <w:trHeight w:val="34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5BC18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Patient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1B03D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Age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6F661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Sex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AC340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Status when tested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55E3A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Comorbidities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0BBDC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Treatment for COVID-19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7C975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Sample type(s)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C7D8B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b/>
                <w:bCs/>
                <w:color w:val="000000"/>
                <w:szCs w:val="20"/>
              </w:rPr>
              <w:t>Time points</w:t>
            </w:r>
          </w:p>
        </w:tc>
      </w:tr>
      <w:tr w:rsidR="007714C4" w:rsidRPr="007714C4" w14:paraId="2C0901FB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A8688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P001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BE2FA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72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36C6C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974811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NH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89C73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CLL, hypogammaglobulinemia, hypothyroidism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AC841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Hydroxychloroquine, Convalescent Plasma x 2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542A8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61F0D53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3053B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78DAFA55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9DB3F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P002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0D733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42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096A8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C48B8C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E4735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Asthma, Hypertension, Sleep Apnea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28D4E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Azithromycin, ACTT-1 Trial (Remdesivir versus Placebo)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7C59B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D8B8DD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CE27D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2E25CF6F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C2749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P003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FE582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49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88D7F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1D0F11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BF116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0C29F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B19D8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49F5068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07611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71E0AAC2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93A1B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P004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B1271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98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350C7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2D42F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7008D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Lewy Body Dementia, Coronary Artery Disease, Chronic Kidney Disease, Hypertension, Heart Failure, Benign Prostatic Hypertrophy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0F7ED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Azithromycin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81BF1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2B8BDB8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pharyngeal, Oro-</w:t>
            </w:r>
          </w:p>
          <w:p w14:paraId="2F71702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E9800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3</w:t>
            </w:r>
          </w:p>
        </w:tc>
      </w:tr>
      <w:tr w:rsidR="007714C4" w:rsidRPr="007714C4" w14:paraId="20F09A41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03D31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P005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C68BB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90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EC0F8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1C928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OP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2DE86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Dementia, Diabetes, Hypertension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39D3CB" w14:textId="77777777" w:rsidR="007714C4" w:rsidRPr="007714C4" w:rsidRDefault="007714C4" w:rsidP="00C64FA9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7EEFD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AC2A29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E4D5F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1C836CA4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5A747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P006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331D0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88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ED4B9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F78D21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NH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20A31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Hypertension, Hyperlipidemia, Cardiomyopathy, Previous Stroke, Chronic Kidney Disease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1D3797" w14:textId="77777777" w:rsidR="007714C4" w:rsidRPr="007714C4" w:rsidRDefault="007714C4" w:rsidP="00C64FA9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EA897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03A8DD4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pharyngeal, Oro-</w:t>
            </w:r>
          </w:p>
          <w:p w14:paraId="003D72A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63B77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1</w:t>
            </w:r>
          </w:p>
        </w:tc>
      </w:tr>
      <w:tr w:rsidR="007714C4" w:rsidRPr="007714C4" w14:paraId="212EDAF1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EB87D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C7797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54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8C420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CD87A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OP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DA7A6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Obesity, Protein S Deficiency, Hyperlipidemia, Sleep Apnea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96554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ACTT-1 Trial (Remdesivir versus Placebo), Tocilizumab, Azithromycin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523D7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130BD7D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63368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34202BD5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920E7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P008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42C16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80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0361A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C5B1C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414FD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Hypertension, Neurocognitive Disorder with delusions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A1E32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Hydroxychloroquine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94DB8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4B7EF3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60EAE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4A1ECB2B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3E5FA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P009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E831E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70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CF598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A9D45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4356E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Heart Failure, COPD, Obesity, Sleep Apnea, Chronic Kidney Disease, Diabetes, Coronary Artery Disease,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69EB8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7E884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763F79B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2C49F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673777C4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65184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P010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600AB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73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88FD6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6E453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621EE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Dementia, Benign Prostatic Hyperplasia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49630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690A3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46B8BCF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35137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4</w:t>
            </w:r>
          </w:p>
        </w:tc>
      </w:tr>
      <w:tr w:rsidR="007714C4" w:rsidRPr="007714C4" w14:paraId="36DADBA5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FA905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P011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812AC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80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53232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79847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DB7A2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Diabetes, Hypertension, Hyperlipidemia, Chronic Kidney Disease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EA41D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Azithromycin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EC07B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4EF06C5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7836C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3</w:t>
            </w:r>
          </w:p>
        </w:tc>
      </w:tr>
      <w:tr w:rsidR="007714C4" w:rsidRPr="007714C4" w14:paraId="54616113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2910F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P012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7C031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51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9011E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0C994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5FF22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Chronic Hepatitis 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D9D46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B7490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1B78FC3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6FA03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1</w:t>
            </w:r>
          </w:p>
        </w:tc>
      </w:tr>
      <w:tr w:rsidR="007714C4" w:rsidRPr="007714C4" w14:paraId="19BE125F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D5F79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lastRenderedPageBreak/>
              <w:t>P013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88F01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44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707D9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8E3F9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2AD08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Seizure Disorder, Chronic Kidney Disease, Sleep Apnea, Hypertension, Hyperlipidemia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8FE11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BAA20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74E666E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071BB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620A9A72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D37B6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P014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324E1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83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EBF97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CD396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NH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1FAD4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Dementia, Hypertension, Hyperlipidemia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46A77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92C4F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4A9AF79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186C9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29CB866C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D3ED1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P015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3B77D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78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71C0A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F7E9E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ER / 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D5481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Mitral Stenosis, Tachy-brady Syndrome, Coronary Artery Disease, Heart Failure, Kidney Transplant, Diabetes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3A856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1C700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20170A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4BFA3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3</w:t>
            </w:r>
          </w:p>
        </w:tc>
      </w:tr>
      <w:tr w:rsidR="007714C4" w:rsidRPr="007714C4" w14:paraId="63C3DBBA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F0A0A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P016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50AC3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98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ECA48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71DA3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CD48C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Atrial Fibrillation, Sick Sinus Syndrome, Peripheral Vascular Disease, Hyperlipidemia, Hypertension, Chronic Kidney Disease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6D90C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57C24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2C559D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1549F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547BDB92" w14:textId="77777777" w:rsidTr="007714C4">
        <w:trPr>
          <w:trHeight w:val="31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D15B9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B394B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77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5CD07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B6A14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56DDA9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Atrial Fibrillation, Diabetes, Hypertension, Diabetes, Stroke, Aortic Stenosis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82A2AB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Azithromycin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A740C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6D6CF72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52330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236077F4" w14:textId="77777777" w:rsidTr="007714C4">
        <w:trPr>
          <w:trHeight w:val="133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A355F1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P018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24D997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69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BC43E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86E5A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IP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2498C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Renal Failure, Multiple Myeloma, Heart Failure, Coronary Artery Disease, Chronic Obstructive Pulmonary Disease, Diabetes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06AA3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Convalescent plasma, Dexamethasone, Empiric Vitamin C, Thiamine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BDE81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3F7D6C7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B79874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5B8C2B84" w14:textId="77777777" w:rsidTr="007714C4">
        <w:trPr>
          <w:trHeight w:val="49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E68F00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P019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08D82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42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59323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E9922C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OP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99826A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2D13F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Unknown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62F312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5213D04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2B2736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  <w:tr w:rsidR="007714C4" w:rsidRPr="007714C4" w14:paraId="37E6F5EC" w14:textId="77777777" w:rsidTr="007714C4">
        <w:trPr>
          <w:trHeight w:val="705"/>
        </w:trPr>
        <w:tc>
          <w:tcPr>
            <w:tcW w:w="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6E4C2F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P020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6D69C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59</w:t>
            </w:r>
          </w:p>
        </w:tc>
        <w:tc>
          <w:tcPr>
            <w:tcW w:w="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7F2AA5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M</w:t>
            </w:r>
          </w:p>
        </w:tc>
        <w:tc>
          <w:tcPr>
            <w:tcW w:w="12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93B66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OP</w:t>
            </w:r>
          </w:p>
        </w:tc>
        <w:tc>
          <w:tcPr>
            <w:tcW w:w="26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C8C183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Chronic Liver Disease/Liver Failure, Anemia, Coronary Artery Disease, Diabetes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B4BEB8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None</w:t>
            </w:r>
          </w:p>
        </w:tc>
        <w:tc>
          <w:tcPr>
            <w:tcW w:w="10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05638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7714C4">
              <w:rPr>
                <w:rFonts w:eastAsia="Times New Roman" w:cs="Arial"/>
                <w:color w:val="000000"/>
                <w:szCs w:val="20"/>
              </w:rPr>
              <w:t>Naso</w:t>
            </w:r>
            <w:proofErr w:type="spellEnd"/>
            <w:r w:rsidRPr="007714C4">
              <w:rPr>
                <w:rFonts w:eastAsia="Times New Roman" w:cs="Arial"/>
                <w:color w:val="000000"/>
                <w:szCs w:val="20"/>
              </w:rPr>
              <w:t>-</w:t>
            </w:r>
          </w:p>
          <w:p w14:paraId="69C8CF5E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pharyngeal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C83D5D" w14:textId="77777777" w:rsidR="007714C4" w:rsidRPr="007714C4" w:rsidRDefault="007714C4" w:rsidP="00C64FA9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714C4">
              <w:rPr>
                <w:rFonts w:eastAsia="Times New Roman" w:cs="Arial"/>
                <w:color w:val="000000"/>
                <w:szCs w:val="20"/>
              </w:rPr>
              <w:t>2</w:t>
            </w:r>
          </w:p>
        </w:tc>
      </w:tr>
    </w:tbl>
    <w:p w14:paraId="4F620685" w14:textId="77777777" w:rsidR="007714C4" w:rsidRPr="0065107E" w:rsidRDefault="007714C4" w:rsidP="00DF491C">
      <w:pPr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574445" w14:textId="77777777" w:rsidR="00DF491C" w:rsidRDefault="00DF491C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04B2B2A1" w14:textId="77777777" w:rsidR="00C64FA9" w:rsidRDefault="00C64FA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11E2DFF7" w14:textId="175DCDF3" w:rsidR="00DF491C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Figure S1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. </w:t>
      </w:r>
      <w:r w:rsidRPr="00DE257A">
        <w:rPr>
          <w:rFonts w:eastAsia="Times New Roman" w:cs="Arial"/>
          <w:b/>
          <w:bCs/>
          <w:color w:val="000000"/>
          <w:sz w:val="22"/>
          <w:szCs w:val="22"/>
        </w:rPr>
        <w:t>Viral loads for all patients included in the study with samples that returned positive (DET), negative (NDET, Ct &gt;42), and inconclusive (INCON) result by RT-PCR.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16B5DAD" w14:textId="203EC648" w:rsidR="007714C4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begin"/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instrText xml:space="preserve"> INCLUDEPICTURE "https://lh6.googleusercontent.com/MckyBEnlqvPeTehFrNHRv-zvQ2cTnpc7lwVxWrd22XeSQnAyfmvSMLqTgkmLfv-sYOaPmNzyLS3Oent1LB4EeKtqDrdT_s8enJCQvAW-oJINFECgNybkLYBtCQXfzIBUcw" \* MERGEFORMATINET </w:instrText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end"/>
      </w:r>
      <w:r w:rsidRPr="007D7ED5">
        <w:rPr>
          <w:rFonts w:eastAsia="Times New Roman" w:cs="Arial"/>
          <w:color w:val="000000"/>
          <w:sz w:val="22"/>
          <w:szCs w:val="22"/>
        </w:rPr>
        <w:t>Red dots represent samples for which we attempted sequencing for this study.</w:t>
      </w:r>
      <w:r>
        <w:rPr>
          <w:rFonts w:eastAsia="Times New Roman" w:cs="Arial"/>
          <w:color w:val="000000"/>
          <w:sz w:val="22"/>
          <w:szCs w:val="22"/>
        </w:rPr>
        <w:t xml:space="preserve"> Legend above the plot matches shapes of dots to respective RT-PCR results.</w:t>
      </w:r>
    </w:p>
    <w:p w14:paraId="4DBC9432" w14:textId="4A9C8329" w:rsidR="007714C4" w:rsidRPr="0065107E" w:rsidRDefault="007714C4" w:rsidP="00DF491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7160A52B" wp14:editId="175A7F33">
            <wp:extent cx="5943600" cy="4239895"/>
            <wp:effectExtent l="0" t="0" r="0" b="8255"/>
            <wp:docPr id="4" name="Picture 4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alenda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A423F" w14:textId="77777777" w:rsidR="00DF491C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p w14:paraId="3893CEF0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23FC46C0" w14:textId="31F2542B" w:rsidR="00DF491C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Figure S2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. </w:t>
      </w:r>
      <w:r w:rsidRPr="00DE257A">
        <w:rPr>
          <w:rFonts w:eastAsia="Times New Roman" w:cs="Arial"/>
          <w:b/>
          <w:bCs/>
          <w:color w:val="000000"/>
          <w:sz w:val="22"/>
          <w:szCs w:val="22"/>
        </w:rPr>
        <w:t>Sequencing quality and reproducibility.</w:t>
      </w:r>
    </w:p>
    <w:p w14:paraId="203301C1" w14:textId="00B7871E" w:rsidR="00DF491C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begin"/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instrText xml:space="preserve"> INCLUDEPICTURE "https://lh3.googleusercontent.com/q4WCLAvqAZgNCyhlTvBQS0ICnTgyqFk7F2XGoWYdkJlhqwUqKWcXZKNpSYXxJo3Q1eWWKdi_wyKQz2NV1VgDJc5nHkYDckEUrg-AvGl8z1T7ktTffHYStcOuxXAwrQQwJA" \* MERGEFORMATINET </w:instrText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end"/>
      </w:r>
      <w:r>
        <w:rPr>
          <w:rFonts w:eastAsia="Times New Roman" w:cs="Arial"/>
          <w:color w:val="000000"/>
          <w:sz w:val="22"/>
          <w:szCs w:val="22"/>
        </w:rPr>
        <w:t>(A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) Samples were sequenced by metagenomic, probe-capture or amplicon-based approaches. Hollow circles show samples for which a consensus genome could not be recovered. Genome completeness </w:t>
      </w:r>
      <w:r>
        <w:rPr>
          <w:rFonts w:eastAsia="Times New Roman" w:cs="Arial"/>
          <w:color w:val="000000"/>
          <w:sz w:val="22"/>
          <w:szCs w:val="22"/>
        </w:rPr>
        <w:t xml:space="preserve">indicates the 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percentage of non-N nucleotides in consensus sequence (an N was called when there was less than </w:t>
      </w:r>
      <w:r>
        <w:rPr>
          <w:rFonts w:eastAsia="Times New Roman" w:cs="Arial"/>
          <w:color w:val="000000"/>
          <w:sz w:val="22"/>
          <w:szCs w:val="22"/>
        </w:rPr>
        <w:t>5</w:t>
      </w:r>
      <w:r w:rsidRPr="007D7ED5">
        <w:rPr>
          <w:rFonts w:eastAsia="Times New Roman" w:cs="Arial"/>
          <w:color w:val="000000"/>
          <w:sz w:val="22"/>
          <w:szCs w:val="22"/>
        </w:rPr>
        <w:t>X coverage at a site). </w:t>
      </w:r>
      <w:r>
        <w:rPr>
          <w:rFonts w:eastAsia="Times New Roman" w:cs="Arial"/>
          <w:color w:val="000000"/>
          <w:sz w:val="22"/>
          <w:szCs w:val="22"/>
        </w:rPr>
        <w:t xml:space="preserve">(B) 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Each dot represents </w:t>
      </w:r>
      <w:r w:rsidR="001E7C49">
        <w:rPr>
          <w:rFonts w:eastAsia="Times New Roman" w:cs="Arial"/>
          <w:color w:val="000000"/>
          <w:sz w:val="22"/>
          <w:szCs w:val="22"/>
        </w:rPr>
        <w:t>a coding change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 in a single sample relative to the Wuhan-Hu</w:t>
      </w:r>
      <w:r w:rsidR="001E7C49">
        <w:rPr>
          <w:rFonts w:eastAsia="Times New Roman" w:cs="Arial"/>
          <w:color w:val="000000"/>
          <w:sz w:val="22"/>
          <w:szCs w:val="22"/>
        </w:rPr>
        <w:t>-</w:t>
      </w:r>
      <w:r w:rsidR="001E7C49" w:rsidRPr="007D7ED5">
        <w:rPr>
          <w:rFonts w:eastAsia="Times New Roman" w:cs="Arial"/>
          <w:color w:val="000000"/>
          <w:sz w:val="22"/>
          <w:szCs w:val="22"/>
        </w:rPr>
        <w:t>1 (NC_045512</w:t>
      </w:r>
      <w:r w:rsidR="001E7C49">
        <w:rPr>
          <w:rFonts w:eastAsia="Times New Roman" w:cs="Arial"/>
          <w:color w:val="000000"/>
          <w:sz w:val="22"/>
          <w:szCs w:val="22"/>
        </w:rPr>
        <w:t>.2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) reference </w:t>
      </w:r>
      <w:r w:rsidR="001E7C49">
        <w:rPr>
          <w:rFonts w:eastAsia="Times New Roman" w:cs="Arial"/>
          <w:color w:val="000000"/>
          <w:sz w:val="22"/>
          <w:szCs w:val="22"/>
        </w:rPr>
        <w:t>genome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 with variant allele frequency between 5-</w:t>
      </w:r>
      <w:r w:rsidR="001E7C49">
        <w:rPr>
          <w:rFonts w:eastAsia="Times New Roman" w:cs="Arial"/>
          <w:color w:val="000000"/>
          <w:sz w:val="22"/>
          <w:szCs w:val="22"/>
        </w:rPr>
        <w:t>100</w:t>
      </w:r>
      <w:r w:rsidR="001E7C49" w:rsidRPr="007D7ED5">
        <w:rPr>
          <w:rFonts w:eastAsia="Times New Roman" w:cs="Arial"/>
          <w:color w:val="000000"/>
          <w:sz w:val="22"/>
          <w:szCs w:val="22"/>
        </w:rPr>
        <w:t>%</w:t>
      </w:r>
      <w:r w:rsidR="001E7C49">
        <w:rPr>
          <w:rFonts w:eastAsia="Times New Roman" w:cs="Arial"/>
          <w:color w:val="000000"/>
          <w:sz w:val="22"/>
          <w:szCs w:val="22"/>
        </w:rPr>
        <w:t xml:space="preserve">, </w:t>
      </w:r>
      <w:r w:rsidR="001E7C49" w:rsidRPr="007D7ED5">
        <w:rPr>
          <w:rFonts w:eastAsia="Times New Roman" w:cs="Arial"/>
          <w:color w:val="000000"/>
          <w:sz w:val="22"/>
          <w:szCs w:val="22"/>
        </w:rPr>
        <w:t>at least 100x coverage at the site</w:t>
      </w:r>
      <w:r w:rsidR="001E7C49">
        <w:rPr>
          <w:rFonts w:eastAsia="Times New Roman" w:cs="Arial"/>
          <w:color w:val="000000"/>
          <w:sz w:val="22"/>
          <w:szCs w:val="22"/>
        </w:rPr>
        <w:t>, and intra-host reproducibility across longitudinal samples of the same patient</w:t>
      </w:r>
      <w:r w:rsidR="001E7C49" w:rsidRPr="007D7ED5">
        <w:rPr>
          <w:rFonts w:eastAsia="Times New Roman" w:cs="Arial"/>
          <w:color w:val="000000"/>
          <w:sz w:val="22"/>
          <w:szCs w:val="22"/>
        </w:rPr>
        <w:t>. Color scale represents the change in allele frequency across time points</w:t>
      </w:r>
      <w:r w:rsidR="001E7C49">
        <w:rPr>
          <w:rFonts w:eastAsia="Times New Roman" w:cs="Arial"/>
          <w:color w:val="000000"/>
          <w:sz w:val="22"/>
          <w:szCs w:val="22"/>
        </w:rPr>
        <w:t xml:space="preserve"> in the same patient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 with darker colors representing variants that had greater changes in frequency across samples</w:t>
      </w:r>
      <w:r w:rsidR="001E7C49">
        <w:rPr>
          <w:rFonts w:eastAsia="Times New Roman" w:cs="Arial"/>
          <w:color w:val="000000"/>
          <w:sz w:val="22"/>
          <w:szCs w:val="22"/>
        </w:rPr>
        <w:t>. S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mall </w:t>
      </w:r>
      <w:r w:rsidR="001E7C49">
        <w:rPr>
          <w:rFonts w:eastAsia="Times New Roman" w:cs="Arial"/>
          <w:color w:val="000000"/>
          <w:sz w:val="22"/>
          <w:szCs w:val="22"/>
        </w:rPr>
        <w:t xml:space="preserve">dark 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grey marks along the top margin shows positions with variant frequencies &gt;95% (fixed mutations relative to </w:t>
      </w:r>
      <w:r w:rsidR="001E7C49">
        <w:rPr>
          <w:rFonts w:eastAsia="Times New Roman" w:cs="Arial"/>
          <w:color w:val="000000"/>
          <w:sz w:val="22"/>
          <w:szCs w:val="22"/>
        </w:rPr>
        <w:t xml:space="preserve">the </w:t>
      </w:r>
      <w:r w:rsidR="001E7C49" w:rsidRPr="007D7ED5">
        <w:rPr>
          <w:rFonts w:eastAsia="Times New Roman" w:cs="Arial"/>
          <w:color w:val="000000"/>
          <w:sz w:val="22"/>
          <w:szCs w:val="22"/>
        </w:rPr>
        <w:t>reference)</w:t>
      </w:r>
      <w:r w:rsidR="001E7C49">
        <w:rPr>
          <w:rFonts w:eastAsia="Times New Roman" w:cs="Arial"/>
          <w:color w:val="000000"/>
          <w:sz w:val="22"/>
          <w:szCs w:val="22"/>
        </w:rPr>
        <w:t>. S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ize of circles </w:t>
      </w:r>
      <w:r w:rsidR="001E7C49">
        <w:rPr>
          <w:rFonts w:eastAsia="Times New Roman" w:cs="Arial"/>
          <w:color w:val="000000"/>
          <w:sz w:val="22"/>
          <w:szCs w:val="22"/>
        </w:rPr>
        <w:t>indicates</w:t>
      </w:r>
      <w:r w:rsidR="001E7C49" w:rsidRPr="007D7ED5">
        <w:rPr>
          <w:rFonts w:eastAsia="Times New Roman" w:cs="Arial"/>
          <w:color w:val="000000"/>
          <w:sz w:val="22"/>
          <w:szCs w:val="22"/>
        </w:rPr>
        <w:t xml:space="preserve"> sequencing depth at the site. Marginal histogram shows distribution of variants using bin width of 500 </w:t>
      </w:r>
      <w:r w:rsidR="001E7C49">
        <w:rPr>
          <w:rFonts w:eastAsia="Times New Roman" w:cs="Arial"/>
          <w:color w:val="000000"/>
          <w:sz w:val="22"/>
          <w:szCs w:val="22"/>
        </w:rPr>
        <w:t>nucleotides</w:t>
      </w:r>
      <w:r w:rsidR="001E7C49" w:rsidRPr="007D7ED5">
        <w:rPr>
          <w:rFonts w:eastAsia="Times New Roman" w:cs="Arial"/>
          <w:color w:val="000000"/>
          <w:sz w:val="22"/>
          <w:szCs w:val="22"/>
        </w:rPr>
        <w:t>.</w:t>
      </w:r>
    </w:p>
    <w:p w14:paraId="0C18CF44" w14:textId="18E44125" w:rsidR="002364DD" w:rsidRDefault="002364DD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p w14:paraId="07A3EFB4" w14:textId="1BC7349C" w:rsidR="002364DD" w:rsidRDefault="001E7C49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 w:rsidRPr="001E7C49">
        <w:rPr>
          <w:noProof/>
        </w:rPr>
        <w:lastRenderedPageBreak/>
        <w:t xml:space="preserve"> </w:t>
      </w:r>
      <w:r w:rsidRPr="001E7C49">
        <w:rPr>
          <w:rFonts w:eastAsia="Times New Roman" w:cs="Arial"/>
          <w:noProof/>
          <w:color w:val="000000"/>
          <w:sz w:val="22"/>
          <w:szCs w:val="22"/>
        </w:rPr>
        <w:drawing>
          <wp:inline distT="0" distB="0" distL="0" distR="0" wp14:anchorId="33C5E79C" wp14:editId="4A531CAB">
            <wp:extent cx="5499100" cy="8229600"/>
            <wp:effectExtent l="0" t="0" r="6350" b="0"/>
            <wp:docPr id="5" name="Picture 5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ime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6FFF6" w14:textId="77777777" w:rsidR="00DF491C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p w14:paraId="79482E52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562658B5" w14:textId="562F8D2F" w:rsidR="00DF491C" w:rsidRPr="007D7ED5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  <w:r w:rsidRPr="007D7ED5"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</w:t>
      </w:r>
      <w:r>
        <w:rPr>
          <w:rFonts w:eastAsia="Times New Roman" w:cs="Arial"/>
          <w:b/>
          <w:bCs/>
          <w:color w:val="000000"/>
          <w:sz w:val="22"/>
          <w:szCs w:val="22"/>
        </w:rPr>
        <w:t>upplementary Table S2</w:t>
      </w:r>
      <w:r>
        <w:rPr>
          <w:rFonts w:eastAsia="Times New Roman" w:cs="Arial"/>
          <w:color w:val="000000"/>
          <w:sz w:val="22"/>
          <w:szCs w:val="22"/>
        </w:rPr>
        <w:t>.</w:t>
      </w:r>
      <w:r w:rsidRPr="00DE257A">
        <w:rPr>
          <w:rFonts w:eastAsia="Times New Roman" w:cs="Arial"/>
          <w:b/>
          <w:bCs/>
          <w:color w:val="000000"/>
          <w:sz w:val="22"/>
          <w:szCs w:val="22"/>
        </w:rPr>
        <w:t xml:space="preserve"> Data availability (NCBI </w:t>
      </w:r>
      <w:proofErr w:type="spellStart"/>
      <w:r w:rsidRPr="00DE257A">
        <w:rPr>
          <w:rFonts w:eastAsia="Times New Roman" w:cs="Arial"/>
          <w:b/>
          <w:bCs/>
          <w:color w:val="000000"/>
          <w:sz w:val="22"/>
          <w:szCs w:val="22"/>
        </w:rPr>
        <w:t>Bioproject</w:t>
      </w:r>
      <w:proofErr w:type="spellEnd"/>
      <w:r w:rsidRPr="00DE257A">
        <w:rPr>
          <w:rFonts w:eastAsia="Times New Roman" w:cs="Arial"/>
          <w:b/>
          <w:bCs/>
          <w:color w:val="000000"/>
          <w:sz w:val="22"/>
          <w:szCs w:val="22"/>
        </w:rPr>
        <w:t xml:space="preserve"> PRJNA610428)</w:t>
      </w:r>
      <w:r>
        <w:rPr>
          <w:rFonts w:eastAsia="Times New Roman" w:cs="Arial"/>
          <w:b/>
          <w:bCs/>
          <w:color w:val="000000"/>
          <w:sz w:val="22"/>
          <w:szCs w:val="22"/>
        </w:rPr>
        <w:t>.</w:t>
      </w:r>
    </w:p>
    <w:p w14:paraId="72F3BFC5" w14:textId="55D608DA" w:rsidR="002364DD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Table of consensus sequences and their respective GISAID accession numbers</w:t>
      </w:r>
      <w:r w:rsidR="002A27D1">
        <w:rPr>
          <w:rFonts w:eastAsia="Times New Roman" w:cs="Arial"/>
          <w:color w:val="000000"/>
          <w:sz w:val="22"/>
          <w:szCs w:val="22"/>
        </w:rPr>
        <w:t xml:space="preserve"> and sequencing platforms.</w:t>
      </w:r>
      <w:r>
        <w:rPr>
          <w:rFonts w:eastAsia="Times New Roman" w:cs="Arial"/>
          <w:color w:val="000000"/>
          <w:sz w:val="22"/>
          <w:szCs w:val="22"/>
        </w:rPr>
        <w:t xml:space="preserve"> </w:t>
      </w:r>
      <w:r w:rsidR="00CE6C1A">
        <w:rPr>
          <w:rFonts w:eastAsia="Times New Roman" w:cs="Arial"/>
          <w:color w:val="000000"/>
          <w:sz w:val="22"/>
          <w:szCs w:val="22"/>
        </w:rPr>
        <w:t>Information on whether samples were sequenced multiple times for reproducibility analysis is also included.</w:t>
      </w:r>
    </w:p>
    <w:tbl>
      <w:tblPr>
        <w:tblW w:w="7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958"/>
        <w:gridCol w:w="2505"/>
        <w:gridCol w:w="1560"/>
        <w:gridCol w:w="1161"/>
      </w:tblGrid>
      <w:tr w:rsidR="002364DD" w:rsidRPr="002364DD" w14:paraId="77B37A8D" w14:textId="77777777" w:rsidTr="00F46A43">
        <w:trPr>
          <w:trHeight w:val="540"/>
        </w:trPr>
        <w:tc>
          <w:tcPr>
            <w:tcW w:w="960" w:type="dxa"/>
            <w:shd w:val="clear" w:color="auto" w:fill="auto"/>
            <w:vAlign w:val="center"/>
            <w:hideMark/>
          </w:tcPr>
          <w:p w14:paraId="2EFD6738" w14:textId="77777777" w:rsidR="002364DD" w:rsidRPr="002364DD" w:rsidRDefault="002364DD" w:rsidP="002364DD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</w:pPr>
            <w:r w:rsidRPr="002364DD"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  <w:t>Patient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6D92EE" w14:textId="77777777" w:rsidR="002364DD" w:rsidRPr="002364DD" w:rsidRDefault="002364DD" w:rsidP="002364DD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</w:pPr>
            <w:r w:rsidRPr="002364DD"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  <w:t>Sample #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68AA8827" w14:textId="77777777" w:rsidR="002364DD" w:rsidRPr="002364DD" w:rsidRDefault="002364DD" w:rsidP="002364DD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</w:pPr>
            <w:r w:rsidRPr="002364DD"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  <w:t>GISAID accession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1363C3F" w14:textId="77777777" w:rsidR="002364DD" w:rsidRPr="002364DD" w:rsidRDefault="002364DD" w:rsidP="002364DD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</w:pPr>
            <w:r w:rsidRPr="002364DD"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  <w:t>Sequencing platform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8B2354C" w14:textId="77777777" w:rsidR="002364DD" w:rsidRPr="002364DD" w:rsidRDefault="002364DD" w:rsidP="002364DD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</w:pPr>
            <w:r w:rsidRPr="002364DD">
              <w:rPr>
                <w:rFonts w:eastAsia="Times New Roman" w:cs="Arial"/>
                <w:b/>
                <w:bCs/>
                <w:color w:val="000000"/>
                <w:szCs w:val="20"/>
                <w:lang w:eastAsia="zh-CN"/>
              </w:rPr>
              <w:t>Has replicate?</w:t>
            </w:r>
          </w:p>
        </w:tc>
      </w:tr>
      <w:tr w:rsidR="002364DD" w:rsidRPr="002364DD" w14:paraId="15E1782F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B715A2D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9D3A0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58C7010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7FE42D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66182BD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7225721A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05CC6FBB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E7057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FC895D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EPI_ISL_570115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D29587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6345EC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0808EB4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21973FE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7BC036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089A70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EPI_ISL_416643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DA192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903C3EF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7C25BC0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EEF51ED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26D65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52F922A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EPI_ISL_418914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AB3BEE8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CAF9A62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508864F2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1646866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A9FEDD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5474670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EPI_ISL_427186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0A1AFDF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5E4AB32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2AD3921F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1B957235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4B0A0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CCBD5C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2D41D9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E7FE07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3A6F2B6D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11998C07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9D971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AB98607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EPI_ISL_416454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A577104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7978250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2D1C157C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5E1D1CF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3ACA8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178EFE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797DCE9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802C3BD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B5B84D2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2970F82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EC1221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4807DC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EPI_ISL_416448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06592C2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3BBEC0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6278363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1031486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37474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9B6262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EPI_ISL_418942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E2FC16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NovaSeq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DEDC83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B1F76E4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4E81B6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70C96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CEABBE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EPI_ISL_424228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382838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NovaSeq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96BE43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23FDCE6E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2120B8EF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6373D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55F5F0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EPI_ISL_461429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CDBFFF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E4B90C6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5AB48059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5AE504E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P009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FA4C4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34C9C9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EPI_ISL_570975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D1FA55F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217EB8E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495862BC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9ACC766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6A7190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293958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2DC2B5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376A30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7666C623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5ED0AC6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739B2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C14F56D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EPI_ISL_416717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B181589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5FF18C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761FE855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FCC14DD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494EB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E5D493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EPI_ISL_515280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BCEF6E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DE21A8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3BF3C3A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4120EF6D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8E0DD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FB540B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80063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57A669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2EA1EC02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A763078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2E5CA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4A59CE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EPI_ISL_486097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0813E2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93984A0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32EC8941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14E7CDBD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CC8A4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0E2801F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EPI_ISL_570059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C59D810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DC2BD7E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32DC771C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375A4D78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5AB9A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9920DD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EPI_ISL_486102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329015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724339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70746EB3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4ED230AF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0A2764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3A141D0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EPI_ISL_461405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C669A4E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73AA910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6EA9EBF4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DC7C97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884DD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6C20189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EPI_ISL_424190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65D0625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NovaSeq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9C17B74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44F95811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07CDCF2E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91BB9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5AD6DD0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EPI_ISL_424205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E97C7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NovaSeq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B58491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2F92C28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2CB4540D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D09425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7424E8F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5CC86B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258C7E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3ED6250F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2C1FA218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9A48F6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3DEDF8D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EPI_ISL_460634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D6FD9B2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6FF651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1EF0F735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858741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6B30D6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F3D535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EPI_ISL_486103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B3030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487F5E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03ADFA2A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1D487BE8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C629F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D454C96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697FE7E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00B119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67E1A30E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4462D4D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8CA6D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4E9FC7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EPI_ISL_424262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F876A6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90AA17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7EB0EB47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63932D7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604B61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6838A9F1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EPI_ISL_485994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0DC7D5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5C2011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6107163A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643F02C5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5A22B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7CF1EC6A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80791F8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577D3D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0BAAA212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67ECAC9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A566C1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D63F4C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EPI_ISL_570071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EB210BF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039276E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69E70FF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2C1850BA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DDAE4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27401A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EPI_ISL_825015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76F78E4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A7DC94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DAF35FE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5761AAD2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E31F5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1C373444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EPI_ISL_486110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CDCC36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C4066A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6090064B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65B7078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lastRenderedPageBreak/>
              <w:t>P017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A866A3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C76559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EPI_ISL_792099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2BDEADB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AE7901A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182C3D8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104E44B7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AECF50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3E53F7B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EPI_ISL_570078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6523404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AA25AD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1F21EE99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609FE69F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5F419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6E644A4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8822232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36685A5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778B3402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73CB2D62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99059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D77FE12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F5AC35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803DEE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4014556F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25726BD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P019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75FDC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4D964C7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EPI_ISL_570762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00EE91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0CCE906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76A1D59B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671E5D63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F1858B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569CF285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EPI_ISL_570779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10CE07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MiSeq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5BCCA18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  <w:tr w:rsidR="002364DD" w:rsidRPr="002364DD" w14:paraId="5BC27C5F" w14:textId="77777777" w:rsidTr="00F46A43">
        <w:trPr>
          <w:trHeight w:val="30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98C81D0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P020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5CCE9E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296F7D3C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24279C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7106A15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Yes</w:t>
            </w:r>
          </w:p>
        </w:tc>
      </w:tr>
      <w:tr w:rsidR="002364DD" w:rsidRPr="002364DD" w14:paraId="5CD82276" w14:textId="77777777" w:rsidTr="00F46A43">
        <w:trPr>
          <w:trHeight w:val="300"/>
        </w:trPr>
        <w:tc>
          <w:tcPr>
            <w:tcW w:w="960" w:type="dxa"/>
            <w:vMerge/>
            <w:vAlign w:val="center"/>
            <w:hideMark/>
          </w:tcPr>
          <w:p w14:paraId="4F2A330F" w14:textId="77777777" w:rsidR="002364DD" w:rsidRPr="002364DD" w:rsidRDefault="002364DD" w:rsidP="002364DD">
            <w:pPr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F5AB88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14:paraId="0BC23529" w14:textId="77777777" w:rsidR="002364DD" w:rsidRPr="002364DD" w:rsidRDefault="002364DD" w:rsidP="002364D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</w:pPr>
            <w:r w:rsidRPr="002364DD">
              <w:rPr>
                <w:rFonts w:eastAsia="Times New Roman" w:cs="Arial"/>
                <w:color w:val="000000"/>
                <w:sz w:val="18"/>
                <w:szCs w:val="18"/>
                <w:lang w:eastAsia="zh-CN"/>
              </w:rPr>
              <w:t>EPI_ISL_570503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47E1493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NextSeq</w:t>
            </w:r>
            <w:proofErr w:type="spellEnd"/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3E82B75" w14:textId="77777777" w:rsidR="002364DD" w:rsidRPr="002364DD" w:rsidRDefault="002364DD" w:rsidP="002364D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</w:pPr>
            <w:r w:rsidRPr="002364D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zh-CN"/>
              </w:rPr>
              <w:t>No</w:t>
            </w:r>
          </w:p>
        </w:tc>
      </w:tr>
    </w:tbl>
    <w:p w14:paraId="2B5BE668" w14:textId="77777777" w:rsidR="002364DD" w:rsidRPr="0065107E" w:rsidRDefault="002364DD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p w14:paraId="03953BAE" w14:textId="77777777" w:rsidR="00DF491C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</w:p>
    <w:p w14:paraId="0AFEB17C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0F1F2295" w14:textId="24E1F19C" w:rsidR="00DF491C" w:rsidRPr="00DE257A" w:rsidRDefault="00DF491C" w:rsidP="00DF491C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Table S3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. </w:t>
      </w:r>
      <w:r w:rsidRPr="00DE257A">
        <w:rPr>
          <w:rFonts w:eastAsia="Times New Roman" w:cs="Arial"/>
          <w:b/>
          <w:bCs/>
          <w:color w:val="000000"/>
          <w:sz w:val="22"/>
          <w:szCs w:val="22"/>
        </w:rPr>
        <w:t xml:space="preserve">Samples used for host gene expression analysis using </w:t>
      </w:r>
      <w:proofErr w:type="spellStart"/>
      <w:r w:rsidRPr="00DE257A">
        <w:rPr>
          <w:rFonts w:eastAsia="Times New Roman" w:cs="Arial"/>
          <w:b/>
          <w:bCs/>
          <w:color w:val="000000"/>
          <w:sz w:val="22"/>
          <w:szCs w:val="22"/>
        </w:rPr>
        <w:t>RNAseq</w:t>
      </w:r>
      <w:proofErr w:type="spellEnd"/>
      <w:r>
        <w:rPr>
          <w:rFonts w:eastAsia="Times New Roman" w:cs="Arial"/>
          <w:b/>
          <w:bCs/>
          <w:color w:val="000000"/>
          <w:sz w:val="22"/>
          <w:szCs w:val="2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2"/>
        <w:gridCol w:w="1080"/>
        <w:gridCol w:w="1800"/>
        <w:gridCol w:w="4860"/>
      </w:tblGrid>
      <w:tr w:rsidR="00A83EB9" w:rsidRPr="00A83EB9" w14:paraId="5D105FF5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7A20EA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</w:rPr>
              <w:t>Patient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4D98EF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</w:rPr>
              <w:t>Sample #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F0E030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</w:rPr>
              <w:t>COVID Positivity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D589B3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</w:rPr>
              <w:t>Reads Pseudo-aligned to Human Transcriptome</w:t>
            </w:r>
          </w:p>
        </w:tc>
      </w:tr>
      <w:tr w:rsidR="00A83EB9" w:rsidRPr="00A83EB9" w14:paraId="449FF0E4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3E223A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B3FE4F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30047A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repeat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2885C1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914378</w:t>
            </w:r>
          </w:p>
        </w:tc>
      </w:tr>
      <w:tr w:rsidR="00A83EB9" w:rsidRPr="00A83EB9" w14:paraId="4DDEAE8B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E92203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CAACFF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5B9FA9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08D4F5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1458465</w:t>
            </w:r>
          </w:p>
        </w:tc>
      </w:tr>
      <w:tr w:rsidR="00A83EB9" w:rsidRPr="00A83EB9" w14:paraId="6D8E0608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DAE7C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FAC2F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16595D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6F4A9B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920298</w:t>
            </w:r>
          </w:p>
        </w:tc>
      </w:tr>
      <w:tr w:rsidR="00A83EB9" w:rsidRPr="00A83EB9" w14:paraId="67EF30A5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8A460E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AE8FAE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CAE525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repeat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C59B99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2115575</w:t>
            </w:r>
          </w:p>
        </w:tc>
      </w:tr>
      <w:tr w:rsidR="00A83EB9" w:rsidRPr="00A83EB9" w14:paraId="5603579C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2A11B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F6894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FD1C92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3DD438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11890988</w:t>
            </w:r>
          </w:p>
        </w:tc>
      </w:tr>
      <w:tr w:rsidR="00A83EB9" w:rsidRPr="00A83EB9" w14:paraId="302B7DD6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44F1C2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FB8381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F0D881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repeat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AEDB9A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2450327</w:t>
            </w:r>
          </w:p>
        </w:tc>
      </w:tr>
      <w:tr w:rsidR="00A83EB9" w:rsidRPr="00A83EB9" w14:paraId="3477BFC7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873AE2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EAB629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5B165E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75D4F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1113231</w:t>
            </w:r>
          </w:p>
        </w:tc>
      </w:tr>
      <w:tr w:rsidR="00A83EB9" w:rsidRPr="00A83EB9" w14:paraId="2D9FF64C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050A09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5EE5D1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A3682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DF8938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5543628</w:t>
            </w:r>
          </w:p>
        </w:tc>
      </w:tr>
      <w:tr w:rsidR="00A83EB9" w:rsidRPr="00A83EB9" w14:paraId="7F5BC15E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B889FD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P015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929A94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4120B7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90FD8C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1544930</w:t>
            </w:r>
          </w:p>
        </w:tc>
      </w:tr>
      <w:tr w:rsidR="00A83EB9" w:rsidRPr="00A83EB9" w14:paraId="5469903A" w14:textId="77777777" w:rsidTr="00A83EB9">
        <w:trPr>
          <w:trHeight w:val="345"/>
        </w:trPr>
        <w:tc>
          <w:tcPr>
            <w:tcW w:w="8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16275C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P016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F0EA23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5301FA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initial</w:t>
            </w:r>
          </w:p>
        </w:tc>
        <w:tc>
          <w:tcPr>
            <w:tcW w:w="4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7FB5AE" w14:textId="77777777" w:rsidR="00A83EB9" w:rsidRPr="00A83EB9" w:rsidRDefault="00A83EB9" w:rsidP="00A83EB9">
            <w:pPr>
              <w:spacing w:line="276" w:lineRule="auto"/>
              <w:jc w:val="center"/>
              <w:rPr>
                <w:rFonts w:eastAsia="Times New Roman" w:cs="Arial"/>
              </w:rPr>
            </w:pPr>
            <w:r w:rsidRPr="00A83EB9">
              <w:rPr>
                <w:rFonts w:eastAsia="Times New Roman" w:cs="Arial"/>
                <w:color w:val="000000"/>
              </w:rPr>
              <w:t>1179241</w:t>
            </w:r>
          </w:p>
        </w:tc>
      </w:tr>
    </w:tbl>
    <w:p w14:paraId="387E7397" w14:textId="6B5E0FC7" w:rsidR="00DF491C" w:rsidRDefault="00DF491C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12902E7F" w14:textId="77777777" w:rsidR="00A83EB9" w:rsidRDefault="00A83EB9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00B5A0DF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35483A2A" w14:textId="2C6D85E0" w:rsidR="00C3401E" w:rsidRPr="001E7C49" w:rsidRDefault="00C3401E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Figure S3</w:t>
      </w:r>
      <w:r w:rsidRPr="007D7ED5">
        <w:rPr>
          <w:rFonts w:eastAsia="Times New Roman" w:cs="Arial"/>
          <w:b/>
          <w:bCs/>
          <w:color w:val="000000"/>
          <w:sz w:val="22"/>
          <w:szCs w:val="22"/>
        </w:rPr>
        <w:t xml:space="preserve">. </w:t>
      </w:r>
      <w:r w:rsidRPr="00AC499D">
        <w:rPr>
          <w:rFonts w:eastAsia="Times New Roman" w:cs="Arial"/>
          <w:b/>
          <w:bCs/>
          <w:color w:val="000000"/>
          <w:sz w:val="22"/>
          <w:szCs w:val="22"/>
        </w:rPr>
        <w:t>Dynamics of metagenomically classified pathogens.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 </w:t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begin"/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instrText xml:space="preserve"> INCLUDEPICTURE "https://lh6.googleusercontent.com/iHKhQLnu683CmhmaGM7jWjoEY9YTyWOVGlAm_MflXLnUmst5avxn983l8escL1alVoYcwjKVG4_U4Shgndn-R0VuxPRf9nr8odJh247nwvPgTXVFsRTpt9bgcSki2-FNbw" \* MERGEFORMATINET </w:instrText>
      </w:r>
      <w:r w:rsidRPr="007D7ED5">
        <w:rPr>
          <w:rFonts w:eastAsia="Times New Roman" w:cs="Arial"/>
          <w:color w:val="000000"/>
          <w:sz w:val="22"/>
          <w:szCs w:val="22"/>
          <w:bdr w:val="none" w:sz="0" w:space="0" w:color="auto" w:frame="1"/>
        </w:rPr>
        <w:fldChar w:fldCharType="end"/>
      </w:r>
      <w:r w:rsidRPr="007D7ED5">
        <w:rPr>
          <w:rFonts w:eastAsia="Times New Roman" w:cs="Arial"/>
          <w:color w:val="000000"/>
          <w:sz w:val="22"/>
          <w:szCs w:val="22"/>
        </w:rPr>
        <w:t>A) Summary of read classifications from CLOMP</w:t>
      </w:r>
      <w:r>
        <w:rPr>
          <w:rFonts w:eastAsia="Times New Roman" w:cs="Arial"/>
          <w:color w:val="000000"/>
          <w:sz w:val="22"/>
          <w:szCs w:val="22"/>
        </w:rPr>
        <w:t>. Individual bars represent unique samples collected from each patient. Colors correspond to different taxonomic classifications. Reads mapping to SARS-CoV-2 are included in “Viral reads.” B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) Longitudinal RPM values for </w:t>
      </w:r>
      <w:r>
        <w:rPr>
          <w:rFonts w:eastAsia="Times New Roman" w:cs="Arial"/>
          <w:i/>
          <w:iCs/>
          <w:color w:val="000000"/>
          <w:sz w:val="22"/>
          <w:szCs w:val="22"/>
        </w:rPr>
        <w:t xml:space="preserve">Moraxella catarrhalis </w:t>
      </w:r>
      <w:r>
        <w:rPr>
          <w:rFonts w:eastAsia="Times New Roman" w:cs="Arial"/>
          <w:color w:val="000000"/>
          <w:sz w:val="22"/>
          <w:szCs w:val="22"/>
        </w:rPr>
        <w:t xml:space="preserve">and </w:t>
      </w:r>
      <w:r>
        <w:rPr>
          <w:rFonts w:eastAsia="Times New Roman" w:cs="Arial"/>
          <w:i/>
          <w:iCs/>
          <w:color w:val="000000"/>
          <w:sz w:val="22"/>
          <w:szCs w:val="22"/>
        </w:rPr>
        <w:t xml:space="preserve">Staphylococcus aureus </w:t>
      </w:r>
      <w:r w:rsidRPr="007D7ED5">
        <w:rPr>
          <w:rFonts w:eastAsia="Times New Roman" w:cs="Arial"/>
          <w:color w:val="000000"/>
          <w:sz w:val="22"/>
          <w:szCs w:val="22"/>
        </w:rPr>
        <w:t>detected by metagenomic analysis. </w:t>
      </w:r>
    </w:p>
    <w:p w14:paraId="710DAD80" w14:textId="43E32DB0" w:rsidR="00C3401E" w:rsidRDefault="00C3401E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7D5C8B5B" w14:textId="159D0E4F" w:rsidR="00A83EB9" w:rsidRDefault="00A83EB9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  <w:r w:rsidRPr="00A83EB9">
        <w:rPr>
          <w:rFonts w:eastAsia="Times New Roman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453AA831" wp14:editId="54FD32FE">
            <wp:extent cx="5943600" cy="4073525"/>
            <wp:effectExtent l="0" t="0" r="0" b="3175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11061" w14:textId="77777777" w:rsidR="00A83EB9" w:rsidRDefault="00A83EB9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</w:p>
    <w:p w14:paraId="427A72E9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662529F1" w14:textId="32806448" w:rsidR="00DF491C" w:rsidRDefault="00DF491C" w:rsidP="00DF491C">
      <w:pPr>
        <w:spacing w:line="480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Figure S</w:t>
      </w:r>
      <w:r w:rsidR="00C3401E">
        <w:rPr>
          <w:rFonts w:eastAsia="Times New Roman" w:cs="Arial"/>
          <w:b/>
          <w:bCs/>
          <w:color w:val="000000"/>
          <w:sz w:val="22"/>
          <w:szCs w:val="22"/>
        </w:rPr>
        <w:t>4</w:t>
      </w:r>
      <w:r w:rsidRPr="007D7ED5">
        <w:rPr>
          <w:rFonts w:eastAsia="Times New Roman" w:cs="Arial"/>
          <w:b/>
          <w:bCs/>
          <w:color w:val="000000"/>
          <w:sz w:val="22"/>
          <w:szCs w:val="22"/>
        </w:rPr>
        <w:t>.</w:t>
      </w:r>
      <w:r w:rsidRPr="007D7ED5">
        <w:rPr>
          <w:rFonts w:eastAsia="Times New Roman" w:cs="Arial"/>
          <w:color w:val="000000"/>
          <w:sz w:val="22"/>
          <w:szCs w:val="22"/>
        </w:rPr>
        <w:t xml:space="preserve"> </w:t>
      </w:r>
      <w:r w:rsidRPr="00DE257A">
        <w:rPr>
          <w:rFonts w:eastAsia="Times New Roman" w:cs="Arial"/>
          <w:b/>
          <w:bCs/>
          <w:color w:val="000000"/>
          <w:sz w:val="22"/>
          <w:szCs w:val="22"/>
        </w:rPr>
        <w:t>Post-trimmed reads used as input to metagenomic analysis. </w:t>
      </w:r>
    </w:p>
    <w:p w14:paraId="52D6E19D" w14:textId="4BEFF142" w:rsidR="00A83EB9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t>S</w:t>
      </w:r>
      <w:r w:rsidRPr="007D7ED5">
        <w:rPr>
          <w:rFonts w:eastAsia="Times New Roman" w:cs="Arial"/>
          <w:color w:val="000000"/>
          <w:sz w:val="22"/>
          <w:szCs w:val="22"/>
        </w:rPr>
        <w:t>amples with under 10,000 reads after trimming, and samples that underwent targeted sequencing (non-metagenomic) were excluded from downstream analysis.</w:t>
      </w:r>
    </w:p>
    <w:p w14:paraId="797979D5" w14:textId="1B983A51" w:rsidR="00A83EB9" w:rsidRDefault="00A83EB9" w:rsidP="00DF491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3A01E30F" wp14:editId="73F9A573">
            <wp:extent cx="5943600" cy="2553970"/>
            <wp:effectExtent l="0" t="0" r="0" b="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26C4A" w14:textId="77777777" w:rsidR="00DF491C" w:rsidRPr="007D7ED5" w:rsidRDefault="00DF491C" w:rsidP="00DF491C">
      <w:pPr>
        <w:spacing w:line="480" w:lineRule="auto"/>
        <w:rPr>
          <w:rFonts w:ascii="Times New Roman" w:eastAsia="Times New Roman" w:hAnsi="Times New Roman" w:cs="Times New Roman"/>
        </w:rPr>
      </w:pPr>
    </w:p>
    <w:p w14:paraId="1B99501F" w14:textId="77777777" w:rsidR="00A83EB9" w:rsidRDefault="00A83EB9">
      <w:pPr>
        <w:spacing w:after="160" w:line="259" w:lineRule="auto"/>
        <w:rPr>
          <w:rFonts w:eastAsia="Times New Roman" w:cs="Arial"/>
          <w:b/>
          <w:bCs/>
          <w:color w:val="000000"/>
          <w:sz w:val="22"/>
          <w:szCs w:val="22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br w:type="page"/>
      </w:r>
    </w:p>
    <w:p w14:paraId="587143CC" w14:textId="2F7E4E94" w:rsidR="00DF491C" w:rsidRPr="007D7ED5" w:rsidRDefault="00DF491C" w:rsidP="00DF491C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eastAsia="Times New Roman" w:cs="Arial"/>
          <w:b/>
          <w:bCs/>
          <w:color w:val="000000"/>
          <w:sz w:val="22"/>
          <w:szCs w:val="22"/>
        </w:rPr>
        <w:lastRenderedPageBreak/>
        <w:t>Supplementary Table S4</w:t>
      </w:r>
      <w:r w:rsidRPr="00FD0826">
        <w:rPr>
          <w:rFonts w:eastAsia="Times New Roman" w:cs="Arial"/>
          <w:b/>
          <w:bCs/>
          <w:color w:val="000000"/>
          <w:sz w:val="22"/>
          <w:szCs w:val="22"/>
        </w:rPr>
        <w:t>. Clinically relevant taxa</w:t>
      </w:r>
      <w:r>
        <w:rPr>
          <w:rFonts w:eastAsia="Times New Roman" w:cs="Arial"/>
          <w:color w:val="000000"/>
          <w:sz w:val="22"/>
          <w:szCs w:val="22"/>
        </w:rPr>
        <w:t>.</w:t>
      </w:r>
    </w:p>
    <w:p w14:paraId="5F6F906E" w14:textId="5470AD30" w:rsidR="00A83EB9" w:rsidRDefault="00DF491C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  <w:r w:rsidRPr="0065107E">
        <w:rPr>
          <w:sz w:val="22"/>
          <w:szCs w:val="32"/>
        </w:rPr>
        <w:t xml:space="preserve">List of species and their respective NCBI taxonomic IDs </w:t>
      </w:r>
      <w:r>
        <w:rPr>
          <w:sz w:val="22"/>
          <w:szCs w:val="32"/>
        </w:rPr>
        <w:t xml:space="preserve">deemed clinically relevant. Of these, </w:t>
      </w:r>
      <w:r>
        <w:rPr>
          <w:rFonts w:eastAsia="Times New Roman" w:cs="Arial"/>
          <w:i/>
          <w:iCs/>
          <w:color w:val="000000"/>
          <w:sz w:val="22"/>
          <w:szCs w:val="22"/>
        </w:rPr>
        <w:t xml:space="preserve">Moraxella catarrhalis </w:t>
      </w:r>
      <w:r>
        <w:rPr>
          <w:rFonts w:eastAsia="Times New Roman" w:cs="Arial"/>
          <w:color w:val="000000"/>
          <w:sz w:val="22"/>
          <w:szCs w:val="22"/>
        </w:rPr>
        <w:t xml:space="preserve">and </w:t>
      </w:r>
      <w:r>
        <w:rPr>
          <w:rFonts w:eastAsia="Times New Roman" w:cs="Arial"/>
          <w:i/>
          <w:iCs/>
          <w:color w:val="000000"/>
          <w:sz w:val="22"/>
          <w:szCs w:val="22"/>
        </w:rPr>
        <w:t>Staphylococcus aureus</w:t>
      </w:r>
      <w:r>
        <w:rPr>
          <w:rFonts w:eastAsia="Times New Roman" w:cs="Arial"/>
          <w:color w:val="000000"/>
          <w:sz w:val="22"/>
          <w:szCs w:val="22"/>
        </w:rPr>
        <w:t xml:space="preserve"> were present in our dataset at significant RPMs.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0"/>
        <w:gridCol w:w="570"/>
        <w:gridCol w:w="1032"/>
      </w:tblGrid>
      <w:tr w:rsidR="00A83EB9" w:rsidRPr="00A83EB9" w14:paraId="22B7D18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DCA711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01E4C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83EB9">
              <w:rPr>
                <w:rFonts w:eastAsia="Times New Roman" w:cs="Arial"/>
                <w:b/>
                <w:bCs/>
                <w:color w:val="000000"/>
                <w:szCs w:val="20"/>
              </w:rPr>
              <w:t>Rank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B3A46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83EB9">
              <w:rPr>
                <w:rFonts w:eastAsia="Times New Roman" w:cs="Arial"/>
                <w:b/>
                <w:bCs/>
                <w:color w:val="000000"/>
                <w:szCs w:val="20"/>
              </w:rPr>
              <w:t>taxID</w:t>
            </w:r>
            <w:proofErr w:type="spellEnd"/>
          </w:p>
        </w:tc>
      </w:tr>
      <w:tr w:rsidR="00A83EB9" w:rsidRPr="00A83EB9" w14:paraId="6C1B21F8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EDD90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Adenoviridae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AC734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F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CE72E8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10508</w:t>
            </w:r>
          </w:p>
        </w:tc>
      </w:tr>
      <w:tr w:rsidR="00A83EB9" w:rsidRPr="00A83EB9" w14:paraId="1B13115A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F31250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Human coronavirus HKU1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128491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749208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290028</w:t>
            </w:r>
          </w:p>
        </w:tc>
      </w:tr>
      <w:tr w:rsidR="00A83EB9" w:rsidRPr="00A83EB9" w14:paraId="2B34271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8D785F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Rousettus bat coronavirus HKU9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4FA3B6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4856BC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694006</w:t>
            </w:r>
          </w:p>
        </w:tc>
      </w:tr>
      <w:tr w:rsidR="00A83EB9" w:rsidRPr="00A83EB9" w14:paraId="3F83991A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CB7692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Human coronavirus NL63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9065C7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9D599C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277944</w:t>
            </w:r>
          </w:p>
        </w:tc>
      </w:tr>
      <w:tr w:rsidR="00A83EB9" w:rsidRPr="00A83EB9" w14:paraId="33C5DCE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9555B5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Human coronavirus 229E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05E3B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FE7B1C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11137</w:t>
            </w:r>
          </w:p>
        </w:tc>
      </w:tr>
      <w:tr w:rsidR="00A83EB9" w:rsidRPr="00A83EB9" w14:paraId="5428C423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B77962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Severe acute respiratory syndrome-related coronavirus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B86FA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A1403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694009</w:t>
            </w:r>
          </w:p>
        </w:tc>
      </w:tr>
      <w:tr w:rsidR="00A83EB9" w:rsidRPr="00A83EB9" w14:paraId="035052DB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F943D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Enterovirus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AD444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G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20830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12059</w:t>
            </w:r>
          </w:p>
        </w:tc>
      </w:tr>
      <w:tr w:rsidR="00A83EB9" w:rsidRPr="00A83EB9" w14:paraId="245B644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8759D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Rhinovirus 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8DCB5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BDE73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463676</w:t>
            </w:r>
          </w:p>
        </w:tc>
      </w:tr>
      <w:tr w:rsidR="00A83EB9" w:rsidRPr="00A83EB9" w14:paraId="7E60F158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22959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Propionibacterium phage PacnesP2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D28D1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7C6CA6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1983621</w:t>
            </w:r>
          </w:p>
        </w:tc>
      </w:tr>
      <w:tr w:rsidR="00A83EB9" w:rsidRPr="00A83EB9" w14:paraId="53FD2238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17C36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Propionibacterium phage pa33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AFA81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CFA516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2079406</w:t>
            </w:r>
          </w:p>
        </w:tc>
      </w:tr>
      <w:tr w:rsidR="00A83EB9" w:rsidRPr="00A83EB9" w14:paraId="32C385AE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16A765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Propionibacterium phage Aquarius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209A7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D3B494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2041558</w:t>
            </w:r>
          </w:p>
        </w:tc>
      </w:tr>
      <w:tr w:rsidR="00A83EB9" w:rsidRPr="00A83EB9" w14:paraId="00FB99DC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EC3E0E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Propionibacterium phage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Moyashi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154A65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D3DE14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1654781</w:t>
            </w:r>
          </w:p>
        </w:tc>
      </w:tr>
      <w:tr w:rsidR="00A83EB9" w:rsidRPr="00A83EB9" w14:paraId="56AF13D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4A324F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Propionibacterium phage PHL055N00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78F30A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10B2FA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1500802</w:t>
            </w:r>
          </w:p>
        </w:tc>
      </w:tr>
      <w:tr w:rsidR="00A83EB9" w:rsidRPr="00A83EB9" w14:paraId="040FEDDC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98CBB1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Propionibacterium virus Pacnes201215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CAFBB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26D6E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1982270</w:t>
            </w:r>
          </w:p>
        </w:tc>
      </w:tr>
      <w:tr w:rsidR="00A83EB9" w:rsidRPr="00A83EB9" w14:paraId="26FD44D2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24C765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Propionibacterium phage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Pacnes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2012-15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02608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3EB6F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1498188</w:t>
            </w:r>
          </w:p>
        </w:tc>
      </w:tr>
      <w:tr w:rsidR="00A83EB9" w:rsidRPr="00A83EB9" w14:paraId="6AC289E9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45FD2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Streptococcus virus MS1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0D012D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F316E7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1962672</w:t>
            </w:r>
          </w:p>
        </w:tc>
      </w:tr>
      <w:tr w:rsidR="00A83EB9" w:rsidRPr="00A83EB9" w14:paraId="46B9CE57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31A25C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environmental samples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2E80C8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0F5EE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2100420</w:t>
            </w:r>
          </w:p>
        </w:tc>
      </w:tr>
      <w:tr w:rsidR="00A83EB9" w:rsidRPr="00A83EB9" w14:paraId="2DC1FB0D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2DBF70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uncultured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Caudovirales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phage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1611B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B368A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2100421</w:t>
            </w:r>
          </w:p>
        </w:tc>
      </w:tr>
      <w:tr w:rsidR="00A83EB9" w:rsidRPr="00A83EB9" w14:paraId="5ED09B9B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C8E04B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unclassified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Papillomaviridae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514410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ACD0BB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333774</w:t>
            </w:r>
          </w:p>
        </w:tc>
      </w:tr>
      <w:tr w:rsidR="00A83EB9" w:rsidRPr="00A83EB9" w14:paraId="76C46048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EE64F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Human papillomavirus types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A3775F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276115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173087</w:t>
            </w:r>
          </w:p>
        </w:tc>
      </w:tr>
      <w:tr w:rsidR="00A83EB9" w:rsidRPr="00A83EB9" w14:paraId="67C2D123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AE9B85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Human papillomavirus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9136C6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EF34A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10566</w:t>
            </w:r>
          </w:p>
        </w:tc>
      </w:tr>
      <w:tr w:rsidR="00A83EB9" w:rsidRPr="00A83EB9" w14:paraId="03CB8C5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DE24F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Betacoronavirus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BtCoV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>/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Rhi_hip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>/R8-09/SPA/2010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3C541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720F8F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1346312</w:t>
            </w:r>
          </w:p>
        </w:tc>
      </w:tr>
      <w:tr w:rsidR="00A83EB9" w:rsidRPr="00A83EB9" w14:paraId="52857AD5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D3793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Bat Hp-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betacoronavirus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Zhejiang2013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DEE34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C173D6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2501961</w:t>
            </w:r>
          </w:p>
        </w:tc>
      </w:tr>
      <w:tr w:rsidR="00A83EB9" w:rsidRPr="00A83EB9" w14:paraId="5A741F5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C63005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Bat Hp-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betacoronavirus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>/Zhejiang2013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2D1D35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C681F4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1541205</w:t>
            </w:r>
          </w:p>
        </w:tc>
      </w:tr>
      <w:tr w:rsidR="00A83EB9" w:rsidRPr="00A83EB9" w14:paraId="7E37829A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E250A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Colobus guereza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3DD185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9B9889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33548</w:t>
            </w:r>
          </w:p>
        </w:tc>
      </w:tr>
      <w:tr w:rsidR="00A83EB9" w:rsidRPr="00A83EB9" w14:paraId="276A9EAB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9A4F0C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lastRenderedPageBreak/>
              <w:t>Influenza A virus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D757FF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57CD45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11320</w:t>
            </w:r>
          </w:p>
        </w:tc>
      </w:tr>
      <w:tr w:rsidR="00A83EB9" w:rsidRPr="00A83EB9" w14:paraId="47872BC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55CE5A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Bordetella pertussis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DA306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80CEB7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520</w:t>
            </w:r>
          </w:p>
        </w:tc>
      </w:tr>
      <w:tr w:rsidR="00A83EB9" w:rsidRPr="00A83EB9" w14:paraId="1E0109DD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A66CE6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Staphylococcus aureus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AC689B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35CCDE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1280</w:t>
            </w:r>
          </w:p>
        </w:tc>
      </w:tr>
      <w:tr w:rsidR="00A83EB9" w:rsidRPr="00A83EB9" w14:paraId="163B5B4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E41304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Staphylococcus aureus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BA4EFA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74B473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1280</w:t>
            </w:r>
          </w:p>
        </w:tc>
      </w:tr>
      <w:tr w:rsidR="00A83EB9" w:rsidRPr="00A83EB9" w14:paraId="0B1C7240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294872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Haemophilus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influenzae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CD2A37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D92991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727</w:t>
            </w:r>
          </w:p>
        </w:tc>
      </w:tr>
      <w:tr w:rsidR="00A83EB9" w:rsidRPr="00A83EB9" w14:paraId="770604AB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57BB2B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Pseudomonas aeruginosa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B44A20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8C578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287</w:t>
            </w:r>
          </w:p>
        </w:tc>
      </w:tr>
      <w:tr w:rsidR="00A83EB9" w:rsidRPr="00A83EB9" w14:paraId="5F71E7F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EE0A49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Pseudomonas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oleovorans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>/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pseudoalcaligenes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group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0D573B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D83B91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1232139</w:t>
            </w:r>
          </w:p>
        </w:tc>
      </w:tr>
      <w:tr w:rsidR="00A83EB9" w:rsidRPr="00A83EB9" w14:paraId="358EAE1C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DBE038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Streptococcus pneumoniae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35A2C1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B19ADC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1313</w:t>
            </w:r>
          </w:p>
        </w:tc>
      </w:tr>
      <w:tr w:rsidR="00A83EB9" w:rsidRPr="00A83EB9" w14:paraId="70F2744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BA26E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Streptococcus sp. A12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72AD94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79DBD0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1759399</w:t>
            </w:r>
          </w:p>
        </w:tc>
      </w:tr>
      <w:tr w:rsidR="00A83EB9" w:rsidRPr="00A83EB9" w14:paraId="2B326861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62DC9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Streptococcus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pseudopneumoniae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B4A9BB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E0127F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257758</w:t>
            </w:r>
          </w:p>
        </w:tc>
      </w:tr>
      <w:tr w:rsidR="00A83EB9" w:rsidRPr="00A83EB9" w14:paraId="5C07AA16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DB2DB3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 xml:space="preserve">Streptococcus </w:t>
            </w:r>
            <w:proofErr w:type="spellStart"/>
            <w:r w:rsidRPr="00A83EB9">
              <w:rPr>
                <w:rFonts w:eastAsia="Times New Roman" w:cs="Arial"/>
                <w:color w:val="000000"/>
                <w:szCs w:val="20"/>
              </w:rPr>
              <w:t>pseudopneumoniae</w:t>
            </w:r>
            <w:proofErr w:type="spellEnd"/>
            <w:r w:rsidRPr="00A83EB9">
              <w:rPr>
                <w:rFonts w:eastAsia="Times New Roman" w:cs="Arial"/>
                <w:color w:val="000000"/>
                <w:szCs w:val="20"/>
              </w:rPr>
              <w:t xml:space="preserve"> IS7493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750B69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439DC0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1054460</w:t>
            </w:r>
          </w:p>
        </w:tc>
      </w:tr>
      <w:tr w:rsidR="00A83EB9" w:rsidRPr="00A83EB9" w14:paraId="625A865A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14F7F1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Streptococcus sp. I-G2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78AC40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74C29A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1156431</w:t>
            </w:r>
          </w:p>
        </w:tc>
      </w:tr>
      <w:tr w:rsidR="00A83EB9" w:rsidRPr="00A83EB9" w14:paraId="11DC2759" w14:textId="77777777" w:rsidTr="00A83EB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E126ED" w14:textId="77777777" w:rsidR="00A83EB9" w:rsidRPr="00A83EB9" w:rsidRDefault="00A83EB9" w:rsidP="00A83EB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Moraxella catarrhalis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9F3214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511D42" w14:textId="77777777" w:rsidR="00A83EB9" w:rsidRPr="00A83EB9" w:rsidRDefault="00A83EB9" w:rsidP="00A83EB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3EB9">
              <w:rPr>
                <w:rFonts w:eastAsia="Times New Roman" w:cs="Arial"/>
                <w:color w:val="000000"/>
                <w:szCs w:val="20"/>
              </w:rPr>
              <w:t>480</w:t>
            </w:r>
          </w:p>
        </w:tc>
      </w:tr>
    </w:tbl>
    <w:p w14:paraId="00E360F8" w14:textId="77777777" w:rsidR="00A83EB9" w:rsidRPr="00DF491C" w:rsidRDefault="00A83EB9" w:rsidP="00DF491C">
      <w:pPr>
        <w:spacing w:line="480" w:lineRule="auto"/>
        <w:rPr>
          <w:rFonts w:eastAsia="Times New Roman" w:cs="Arial"/>
          <w:color w:val="000000"/>
          <w:sz w:val="22"/>
          <w:szCs w:val="22"/>
        </w:rPr>
      </w:pPr>
    </w:p>
    <w:sectPr w:rsidR="00A83EB9" w:rsidRPr="00DF491C" w:rsidSect="00515442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1C"/>
    <w:rsid w:val="001E7C49"/>
    <w:rsid w:val="002364DD"/>
    <w:rsid w:val="002A27D1"/>
    <w:rsid w:val="007714C4"/>
    <w:rsid w:val="0080326B"/>
    <w:rsid w:val="008E165F"/>
    <w:rsid w:val="00A83EB9"/>
    <w:rsid w:val="00C3401E"/>
    <w:rsid w:val="00C64FA9"/>
    <w:rsid w:val="00CE6C1A"/>
    <w:rsid w:val="00DF491C"/>
    <w:rsid w:val="00F46A43"/>
    <w:rsid w:val="00F4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7AE0E"/>
  <w15:chartTrackingRefBased/>
  <w15:docId w15:val="{18C920DD-24D6-4722-BF74-5E57D6CD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1C"/>
    <w:pPr>
      <w:spacing w:after="0" w:line="240" w:lineRule="auto"/>
    </w:pPr>
    <w:rPr>
      <w:rFonts w:ascii="Arial" w:eastAsiaTheme="minorHAnsi" w:hAnsi="Arial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qFormat/>
    <w:rsid w:val="00DF491C"/>
    <w:pPr>
      <w:spacing w:before="400" w:after="120" w:line="480" w:lineRule="auto"/>
      <w:jc w:val="both"/>
      <w:outlineLvl w:val="0"/>
    </w:pPr>
    <w:rPr>
      <w:rFonts w:eastAsia="Times New Roman" w:cs="Arial"/>
      <w:b/>
      <w:bCs/>
      <w:color w:val="000000"/>
      <w:kern w:val="36"/>
      <w:sz w:val="28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DF491C"/>
  </w:style>
  <w:style w:type="paragraph" w:styleId="Revision">
    <w:name w:val="Revision"/>
    <w:hidden/>
    <w:uiPriority w:val="99"/>
    <w:semiHidden/>
    <w:rsid w:val="002A27D1"/>
    <w:pPr>
      <w:spacing w:after="0" w:line="240" w:lineRule="auto"/>
    </w:pPr>
    <w:rPr>
      <w:rFonts w:ascii="Arial" w:eastAsiaTheme="minorHAnsi" w:hAnsi="Arial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771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14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J Lin</dc:creator>
  <cp:keywords/>
  <dc:description/>
  <cp:lastModifiedBy>Pavitra Roychoudhury</cp:lastModifiedBy>
  <cp:revision>8</cp:revision>
  <dcterms:created xsi:type="dcterms:W3CDTF">2021-09-21T13:13:00Z</dcterms:created>
  <dcterms:modified xsi:type="dcterms:W3CDTF">2022-02-22T21:42:00Z</dcterms:modified>
</cp:coreProperties>
</file>